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outlineLvl w:val="0"/>
        <w:rPr>
          <w:color w:val="auto"/>
        </w:rPr>
      </w:pPr>
    </w:p>
    <w:p>
      <w:pPr>
        <w:pStyle w:val="26"/>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outlineLvl w:val="0"/>
        <w:rPr>
          <w:color w:val="auto"/>
        </w:rPr>
      </w:pPr>
      <w:r>
        <w:rPr>
          <w:color w:val="auto"/>
        </w:rPr>
        <w:t>建设项目环境影响报告表</w:t>
      </w:r>
    </w:p>
    <w:p>
      <w:pPr>
        <w:keepNext w:val="0"/>
        <w:keepLines w:val="0"/>
        <w:pageBreakBefore w:val="0"/>
        <w:widowControl w:val="0"/>
        <w:kinsoku/>
        <w:wordWrap/>
        <w:overflowPunct/>
        <w:topLinePunct w:val="0"/>
        <w:autoSpaceDE w:val="0"/>
        <w:autoSpaceDN w:val="0"/>
        <w:bidi w:val="0"/>
        <w:adjustRightInd/>
        <w:snapToGrid/>
        <w:spacing w:before="115"/>
        <w:ind w:left="2496" w:right="2514" w:firstLine="0" w:firstLineChars="0"/>
        <w:jc w:val="center"/>
        <w:textAlignment w:val="auto"/>
        <w:outlineLvl w:val="0"/>
        <w:rPr>
          <w:rFonts w:hint="eastAsia" w:ascii="微软雅黑" w:eastAsia="微软雅黑"/>
          <w:color w:val="auto"/>
          <w:sz w:val="48"/>
        </w:rPr>
      </w:pPr>
      <w:r>
        <w:rPr>
          <w:rFonts w:hint="eastAsia" w:ascii="微软雅黑" w:eastAsia="微软雅黑"/>
          <w:color w:val="auto"/>
          <w:sz w:val="48"/>
        </w:rPr>
        <w:t>（</w:t>
      </w:r>
      <w:r>
        <w:rPr>
          <w:rFonts w:hint="eastAsia" w:ascii="微软雅黑" w:eastAsia="微软雅黑"/>
          <w:color w:val="auto"/>
          <w:sz w:val="48"/>
          <w:lang w:eastAsia="zh-CN"/>
        </w:rPr>
        <w:t>生态</w:t>
      </w:r>
      <w:r>
        <w:rPr>
          <w:rFonts w:hint="eastAsia" w:ascii="微软雅黑" w:eastAsia="微软雅黑"/>
          <w:color w:val="auto"/>
          <w:sz w:val="48"/>
        </w:rPr>
        <w:t>影响类）</w:t>
      </w:r>
    </w:p>
    <w:p>
      <w:pPr>
        <w:pStyle w:val="20"/>
        <w:rPr>
          <w:color w:val="auto"/>
        </w:rPr>
      </w:pPr>
    </w:p>
    <w:p>
      <w:pPr>
        <w:pStyle w:val="2"/>
        <w:keepNext w:val="0"/>
        <w:keepLines w:val="0"/>
        <w:pageBreakBefore w:val="0"/>
        <w:widowControl w:val="0"/>
        <w:kinsoku/>
        <w:wordWrap/>
        <w:overflowPunct/>
        <w:topLinePunct w:val="0"/>
        <w:autoSpaceDE w:val="0"/>
        <w:autoSpaceDN w:val="0"/>
        <w:bidi w:val="0"/>
        <w:adjustRightInd/>
        <w:snapToGrid/>
        <w:spacing w:before="3"/>
        <w:textAlignment w:val="auto"/>
        <w:rPr>
          <w:rFonts w:ascii="微软雅黑"/>
          <w:color w:val="auto"/>
          <w:sz w:val="57"/>
        </w:rPr>
      </w:pPr>
    </w:p>
    <w:p>
      <w:pPr>
        <w:pStyle w:val="3"/>
        <w:numPr>
          <w:ilvl w:val="0"/>
          <w:numId w:val="0"/>
        </w:numPr>
        <w:ind w:leftChars="200"/>
        <w:rPr>
          <w:rFonts w:ascii="微软雅黑"/>
          <w:color w:val="auto"/>
          <w:sz w:val="57"/>
        </w:rPr>
      </w:pPr>
    </w:p>
    <w:p>
      <w:pPr>
        <w:rPr>
          <w:color w:val="auto"/>
        </w:rPr>
      </w:pPr>
    </w:p>
    <w:p>
      <w:pPr>
        <w:rPr>
          <w:color w:val="auto"/>
        </w:rPr>
      </w:pPr>
    </w:p>
    <w:p>
      <w:pPr>
        <w:ind w:left="1606" w:leftChars="0" w:hanging="1606" w:hangingChars="500"/>
        <w:outlineLvl w:val="0"/>
        <w:rPr>
          <w:rFonts w:hint="default" w:cs="Times New Roman"/>
          <w:b/>
          <w:bCs/>
          <w:color w:val="auto"/>
          <w:sz w:val="32"/>
          <w:szCs w:val="32"/>
          <w:u w:val="single"/>
          <w:lang w:val="en-US" w:eastAsia="zh-CN"/>
        </w:rPr>
      </w:pPr>
      <w:r>
        <w:rPr>
          <w:rFonts w:hint="default" w:cs="Times New Roman"/>
          <w:b/>
          <w:bCs/>
          <w:color w:val="auto"/>
          <w:sz w:val="32"/>
          <w:szCs w:val="32"/>
          <w:u w:val="none"/>
          <w:lang w:val="en-US" w:eastAsia="zh-CN"/>
        </w:rPr>
        <w:t>项目名称：</w:t>
      </w:r>
      <w:r>
        <w:rPr>
          <w:rFonts w:hint="eastAsia" w:cs="Times New Roman"/>
          <w:b/>
          <w:bCs/>
          <w:color w:val="auto"/>
          <w:sz w:val="32"/>
          <w:szCs w:val="32"/>
          <w:u w:val="single"/>
          <w:lang w:val="en-US" w:eastAsia="zh-CN"/>
        </w:rPr>
        <w:t xml:space="preserve"> 新疆富华石业有限公司新疆焉耆县霍拉山14号饰面石材用花岗岩矿开采项目                                 </w:t>
      </w:r>
    </w:p>
    <w:p>
      <w:pPr>
        <w:ind w:left="0" w:leftChars="0" w:firstLine="0" w:firstLineChars="0"/>
        <w:outlineLvl w:val="0"/>
        <w:rPr>
          <w:rFonts w:hint="default" w:ascii="Times New Roman" w:hAnsi="Times New Roman" w:cs="Times New Roman"/>
          <w:b/>
          <w:bCs/>
          <w:color w:val="auto"/>
          <w:sz w:val="32"/>
          <w:szCs w:val="32"/>
          <w:u w:val="single"/>
          <w:lang w:val="en-US"/>
        </w:rPr>
      </w:pPr>
      <w:r>
        <w:rPr>
          <w:rFonts w:hint="default" w:ascii="Times New Roman" w:hAnsi="Times New Roman" w:cs="Times New Roman"/>
          <w:b/>
          <w:bCs/>
          <w:color w:val="auto"/>
          <w:sz w:val="32"/>
          <w:szCs w:val="32"/>
        </w:rPr>
        <w:t>建设单位（盖章）</w:t>
      </w:r>
      <w:r>
        <w:rPr>
          <w:rFonts w:hint="default" w:ascii="Times New Roman" w:hAnsi="Times New Roman" w:cs="Times New Roman"/>
          <w:b/>
          <w:bCs/>
          <w:color w:val="auto"/>
          <w:sz w:val="32"/>
          <w:szCs w:val="32"/>
          <w:lang w:eastAsia="zh-CN"/>
        </w:rPr>
        <w:t>：</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新疆富华石业有限公司</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r>
        <w:rPr>
          <w:rFonts w:hint="eastAsia" w:ascii="Times New Roman" w:hAnsi="Times New Roman" w:cs="Times New Roman"/>
          <w:b/>
          <w:bCs/>
          <w:color w:val="auto"/>
          <w:sz w:val="32"/>
          <w:szCs w:val="32"/>
          <w:u w:val="single"/>
          <w:lang w:val="en-US" w:eastAsia="zh-CN"/>
        </w:rPr>
        <w:t xml:space="preserve"> </w:t>
      </w:r>
    </w:p>
    <w:p>
      <w:pPr>
        <w:ind w:left="0" w:leftChars="0" w:firstLine="0" w:firstLineChars="0"/>
        <w:outlineLvl w:val="0"/>
        <w:rPr>
          <w:rFonts w:hint="eastAsia" w:ascii="Times New Roman" w:hAnsi="Times New Roman" w:cs="Times New Roman"/>
          <w:b/>
          <w:bCs/>
          <w:color w:val="auto"/>
          <w:sz w:val="32"/>
          <w:szCs w:val="32"/>
          <w:u w:val="single"/>
          <w:lang w:val="en-US" w:eastAsia="zh-CN"/>
        </w:rPr>
      </w:pPr>
      <w:r>
        <w:rPr>
          <w:rFonts w:hint="default" w:ascii="Times New Roman" w:hAnsi="Times New Roman" w:cs="Times New Roman"/>
          <w:b/>
          <w:bCs/>
          <w:color w:val="auto"/>
          <w:sz w:val="32"/>
          <w:szCs w:val="32"/>
        </w:rPr>
        <w:t>编制日期：</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r>
        <w:rPr>
          <w:rFonts w:hint="eastAsia" w:ascii="Times New Roman" w:hAnsi="Times New Roman" w:cs="Times New Roman"/>
          <w:b/>
          <w:bCs/>
          <w:color w:val="auto"/>
          <w:sz w:val="32"/>
          <w:szCs w:val="32"/>
          <w:u w:val="single"/>
          <w:lang w:val="en-US" w:eastAsia="zh-CN"/>
        </w:rPr>
        <w:t xml:space="preserve">    </w:t>
      </w:r>
      <w:r>
        <w:rPr>
          <w:rFonts w:hint="default" w:ascii="Times New Roman" w:hAnsi="Times New Roman" w:cs="Times New Roman"/>
          <w:b/>
          <w:bCs/>
          <w:color w:val="auto"/>
          <w:sz w:val="32"/>
          <w:szCs w:val="32"/>
          <w:u w:val="single"/>
          <w:lang w:val="en-US" w:eastAsia="zh-CN"/>
        </w:rPr>
        <w:t>202</w:t>
      </w:r>
      <w:r>
        <w:rPr>
          <w:rFonts w:hint="eastAsia" w:cs="Times New Roman"/>
          <w:b/>
          <w:bCs/>
          <w:color w:val="auto"/>
          <w:sz w:val="32"/>
          <w:szCs w:val="32"/>
          <w:u w:val="single"/>
          <w:lang w:val="en-US" w:eastAsia="zh-CN"/>
        </w:rPr>
        <w:t>5</w:t>
      </w:r>
      <w:r>
        <w:rPr>
          <w:rFonts w:hint="default" w:ascii="Times New Roman" w:hAnsi="Times New Roman" w:cs="Times New Roman"/>
          <w:b/>
          <w:bCs/>
          <w:color w:val="auto"/>
          <w:sz w:val="32"/>
          <w:szCs w:val="32"/>
          <w:u w:val="single"/>
          <w:lang w:val="en-US" w:eastAsia="zh-CN"/>
        </w:rPr>
        <w:t>年</w:t>
      </w:r>
      <w:r>
        <w:rPr>
          <w:rFonts w:hint="eastAsia" w:cs="Times New Roman"/>
          <w:b/>
          <w:bCs/>
          <w:color w:val="auto"/>
          <w:sz w:val="32"/>
          <w:szCs w:val="32"/>
          <w:u w:val="single"/>
          <w:lang w:val="en-US" w:eastAsia="zh-CN"/>
        </w:rPr>
        <w:t>8</w:t>
      </w:r>
      <w:r>
        <w:rPr>
          <w:rFonts w:hint="default" w:ascii="Times New Roman" w:hAnsi="Times New Roman" w:cs="Times New Roman"/>
          <w:b/>
          <w:bCs/>
          <w:color w:val="auto"/>
          <w:sz w:val="32"/>
          <w:szCs w:val="32"/>
          <w:u w:val="single"/>
          <w:lang w:val="en-US" w:eastAsia="zh-CN"/>
        </w:rPr>
        <w:t>月</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r>
        <w:rPr>
          <w:rFonts w:hint="eastAsia" w:ascii="Times New Roman" w:hAnsi="Times New Roman" w:cs="Times New Roman"/>
          <w:b/>
          <w:bCs/>
          <w:color w:val="auto"/>
          <w:sz w:val="32"/>
          <w:szCs w:val="32"/>
          <w:u w:val="single"/>
          <w:lang w:val="en-US" w:eastAsia="zh-CN"/>
        </w:rPr>
        <w:t xml:space="preserve">        </w:t>
      </w:r>
    </w:p>
    <w:p>
      <w:pPr>
        <w:pStyle w:val="29"/>
        <w:rPr>
          <w:rFonts w:hint="eastAsia" w:ascii="Times New Roman" w:hAnsi="Times New Roman" w:cs="Times New Roman"/>
          <w:b/>
          <w:bCs/>
          <w:color w:val="auto"/>
          <w:sz w:val="32"/>
          <w:szCs w:val="32"/>
          <w:u w:val="single"/>
          <w:lang w:val="en-US" w:eastAsia="zh-CN"/>
        </w:rPr>
      </w:pPr>
    </w:p>
    <w:p>
      <w:pPr>
        <w:rPr>
          <w:rFonts w:hint="eastAsia" w:ascii="Times New Roman" w:hAnsi="Times New Roman" w:cs="Times New Roman"/>
          <w:b/>
          <w:bCs/>
          <w:color w:val="auto"/>
          <w:sz w:val="32"/>
          <w:szCs w:val="32"/>
          <w:u w:val="single"/>
          <w:lang w:val="en-US" w:eastAsia="zh-CN"/>
        </w:rPr>
      </w:pPr>
    </w:p>
    <w:p>
      <w:pPr>
        <w:pStyle w:val="29"/>
        <w:rPr>
          <w:rFonts w:hint="eastAsia" w:ascii="Times New Roman" w:hAnsi="Times New Roman" w:cs="Times New Roman"/>
          <w:b/>
          <w:bCs/>
          <w:color w:val="auto"/>
          <w:sz w:val="32"/>
          <w:szCs w:val="32"/>
          <w:u w:val="single"/>
          <w:lang w:val="en-US" w:eastAsia="zh-CN"/>
        </w:rPr>
      </w:pPr>
    </w:p>
    <w:p>
      <w:pPr>
        <w:rPr>
          <w:rFonts w:hint="eastAsia" w:ascii="Times New Roman" w:hAnsi="Times New Roman" w:cs="Times New Roman"/>
          <w:b/>
          <w:bCs/>
          <w:color w:val="auto"/>
          <w:sz w:val="32"/>
          <w:szCs w:val="32"/>
          <w:u w:val="single"/>
          <w:lang w:val="en-US" w:eastAsia="zh-CN"/>
        </w:rPr>
      </w:pPr>
    </w:p>
    <w:p>
      <w:pPr>
        <w:pStyle w:val="29"/>
        <w:rPr>
          <w:rFonts w:hint="eastAsia"/>
          <w:color w:val="auto"/>
          <w:lang w:val="en-US" w:eastAsia="zh-CN"/>
        </w:rPr>
      </w:pPr>
    </w:p>
    <w:p>
      <w:pPr>
        <w:ind w:left="0" w:leftChars="0" w:firstLine="0" w:firstLineChars="0"/>
        <w:jc w:val="center"/>
        <w:rPr>
          <w:rFonts w:hint="eastAsia" w:ascii="Times New Roman" w:hAnsi="Times New Roman" w:cs="Times New Roman"/>
          <w:b/>
          <w:bCs/>
          <w:color w:val="auto"/>
          <w:sz w:val="28"/>
          <w:szCs w:val="28"/>
          <w:u w:val="none"/>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cs="Times New Roman"/>
          <w:b/>
          <w:bCs/>
          <w:color w:val="auto"/>
          <w:sz w:val="28"/>
          <w:szCs w:val="28"/>
          <w:u w:val="none"/>
          <w:lang w:val="en-US" w:eastAsia="zh-CN"/>
        </w:rPr>
        <w:t>中华人民共和国生态环境部制</w:t>
      </w:r>
    </w:p>
    <w:p>
      <w:pPr>
        <w:pStyle w:val="42"/>
        <w:rPr>
          <w:rFonts w:hint="default"/>
          <w:color w:val="auto"/>
          <w:lang w:val="en-US"/>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0"/>
        <w:tblW w:w="0" w:type="auto"/>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9"/>
        <w:gridCol w:w="2588"/>
        <w:gridCol w:w="1914"/>
        <w:gridCol w:w="3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9" w:type="dxa"/>
            <w:tcMar>
              <w:top w:w="16" w:type="dxa"/>
              <w:left w:w="16" w:type="dxa"/>
              <w:right w:w="16" w:type="dxa"/>
            </w:tcMar>
            <w:vAlign w:val="center"/>
          </w:tcPr>
          <w:p>
            <w:pPr>
              <w:spacing w:line="240" w:lineRule="auto"/>
              <w:ind w:firstLine="0" w:firstLineChars="0"/>
              <w:jc w:val="center"/>
              <w:rPr>
                <w:color w:val="auto"/>
              </w:rPr>
            </w:pPr>
          </w:p>
        </w:tc>
        <w:tc>
          <w:tcPr>
            <w:tcW w:w="7630" w:type="dxa"/>
            <w:gridSpan w:val="3"/>
            <w:vAlign w:val="center"/>
          </w:tcPr>
          <w:p>
            <w:pPr>
              <w:spacing w:line="240" w:lineRule="auto"/>
              <w:ind w:firstLine="0" w:firstLineChars="0"/>
              <w:jc w:val="center"/>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p>
        </w:tc>
        <w:tc>
          <w:tcPr>
            <w:tcW w:w="7630" w:type="dxa"/>
            <w:gridSpan w:val="3"/>
            <w:vAlign w:val="center"/>
          </w:tcPr>
          <w:p>
            <w:pPr>
              <w:spacing w:line="240" w:lineRule="auto"/>
              <w:ind w:firstLine="0" w:firstLineChars="0"/>
              <w:jc w:val="center"/>
              <w:rPr>
                <w:rFonts w:hint="eastAsia"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p>
        </w:tc>
        <w:tc>
          <w:tcPr>
            <w:tcW w:w="2588" w:type="dxa"/>
            <w:vAlign w:val="center"/>
          </w:tcPr>
          <w:p>
            <w:pPr>
              <w:spacing w:line="240" w:lineRule="auto"/>
              <w:ind w:firstLine="0" w:firstLineChars="0"/>
              <w:jc w:val="center"/>
              <w:rPr>
                <w:rFonts w:hint="eastAsia" w:eastAsia="宋体"/>
                <w:color w:val="auto"/>
                <w:lang w:val="en-US" w:eastAsia="zh-CN"/>
              </w:rPr>
            </w:pPr>
          </w:p>
        </w:tc>
        <w:tc>
          <w:tcPr>
            <w:tcW w:w="1914" w:type="dxa"/>
            <w:vAlign w:val="center"/>
          </w:tcPr>
          <w:p>
            <w:pPr>
              <w:spacing w:line="240" w:lineRule="auto"/>
              <w:ind w:firstLine="0" w:firstLineChars="0"/>
              <w:jc w:val="center"/>
              <w:rPr>
                <w:color w:val="auto"/>
              </w:rPr>
            </w:pPr>
          </w:p>
        </w:tc>
        <w:tc>
          <w:tcPr>
            <w:tcW w:w="3128" w:type="dxa"/>
            <w:vAlign w:val="center"/>
          </w:tcPr>
          <w:p>
            <w:pPr>
              <w:spacing w:line="240" w:lineRule="auto"/>
              <w:ind w:firstLine="0" w:firstLineChars="0"/>
              <w:jc w:val="center"/>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p>
        </w:tc>
        <w:tc>
          <w:tcPr>
            <w:tcW w:w="7630" w:type="dxa"/>
            <w:gridSpan w:val="3"/>
            <w:vAlign w:val="center"/>
          </w:tcPr>
          <w:p>
            <w:pPr>
              <w:spacing w:line="240" w:lineRule="auto"/>
              <w:ind w:firstLine="0" w:firstLineChars="0"/>
              <w:jc w:val="center"/>
              <w:rPr>
                <w:rFonts w:hint="eastAsia"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p>
        </w:tc>
        <w:tc>
          <w:tcPr>
            <w:tcW w:w="7630" w:type="dxa"/>
            <w:gridSpan w:val="3"/>
            <w:vAlign w:val="center"/>
          </w:tcPr>
          <w:p>
            <w:pPr>
              <w:spacing w:line="240" w:lineRule="auto"/>
              <w:ind w:firstLine="0" w:firstLineChars="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行业类别</w:t>
            </w:r>
          </w:p>
        </w:tc>
        <w:tc>
          <w:tcPr>
            <w:tcW w:w="2588" w:type="dxa"/>
            <w:vAlign w:val="center"/>
          </w:tcPr>
          <w:p>
            <w:pPr>
              <w:spacing w:line="240" w:lineRule="auto"/>
              <w:ind w:firstLine="0" w:firstLineChars="0"/>
              <w:jc w:val="center"/>
              <w:rPr>
                <w:color w:val="auto"/>
              </w:rPr>
            </w:pPr>
            <w:r>
              <w:rPr>
                <w:rFonts w:hint="eastAsia"/>
                <w:color w:val="auto"/>
              </w:rPr>
              <w:t>八、非金属矿采选业，11、土</w:t>
            </w:r>
            <w:r>
              <w:rPr>
                <w:rFonts w:hint="eastAsia"/>
                <w:color w:val="auto"/>
                <w:lang w:eastAsia="zh-CN"/>
              </w:rPr>
              <w:t>砂</w:t>
            </w:r>
            <w:r>
              <w:rPr>
                <w:rFonts w:hint="eastAsia"/>
                <w:color w:val="auto"/>
              </w:rPr>
              <w:t>石开采（不含河道采矿项目）</w:t>
            </w:r>
          </w:p>
        </w:tc>
        <w:tc>
          <w:tcPr>
            <w:tcW w:w="1914" w:type="dxa"/>
            <w:vAlign w:val="center"/>
          </w:tcPr>
          <w:p>
            <w:pPr>
              <w:spacing w:line="240" w:lineRule="auto"/>
              <w:ind w:firstLine="0" w:firstLineChars="0"/>
              <w:jc w:val="center"/>
              <w:rPr>
                <w:color w:val="auto"/>
              </w:rPr>
            </w:pPr>
            <w:r>
              <w:rPr>
                <w:color w:val="auto"/>
              </w:rPr>
              <w:t>用地面积（m</w:t>
            </w:r>
            <w:r>
              <w:rPr>
                <w:color w:val="auto"/>
                <w:vertAlign w:val="superscript"/>
              </w:rPr>
              <w:t>2</w:t>
            </w:r>
            <w:r>
              <w:rPr>
                <w:color w:val="auto"/>
              </w:rPr>
              <w:t>）</w:t>
            </w:r>
          </w:p>
        </w:tc>
        <w:tc>
          <w:tcPr>
            <w:tcW w:w="3128" w:type="dxa"/>
            <w:vAlign w:val="center"/>
          </w:tcPr>
          <w:p>
            <w:pPr>
              <w:spacing w:line="240" w:lineRule="auto"/>
              <w:ind w:firstLine="0" w:firstLineChars="0"/>
              <w:jc w:val="center"/>
              <w:rPr>
                <w:rFonts w:hint="eastAsia"/>
                <w:color w:val="auto"/>
                <w:lang w:val="en-US" w:eastAsia="zh-CN"/>
              </w:rPr>
            </w:pPr>
            <w:r>
              <w:rPr>
                <w:rFonts w:hint="eastAsia"/>
                <w:color w:val="auto"/>
                <w:lang w:val="en-US" w:eastAsia="zh-CN"/>
              </w:rPr>
              <w:t>矿区范围1384100</w:t>
            </w:r>
            <w:r>
              <w:rPr>
                <w:color w:val="auto"/>
              </w:rPr>
              <w:t>m</w:t>
            </w:r>
            <w:r>
              <w:rPr>
                <w:color w:val="auto"/>
                <w:vertAlign w:val="superscript"/>
              </w:rPr>
              <w:t>2</w:t>
            </w:r>
          </w:p>
          <w:p>
            <w:pPr>
              <w:spacing w:line="240" w:lineRule="auto"/>
              <w:ind w:firstLine="0" w:firstLineChars="0"/>
              <w:jc w:val="center"/>
              <w:rPr>
                <w:rFonts w:hint="default" w:eastAsia="宋体"/>
                <w:color w:val="auto"/>
                <w:lang w:val="en-US" w:eastAsia="zh-CN"/>
              </w:rPr>
            </w:pPr>
            <w:r>
              <w:rPr>
                <w:rFonts w:hint="eastAsia"/>
                <w:color w:val="auto"/>
                <w:lang w:val="en-US" w:eastAsia="zh-CN"/>
              </w:rPr>
              <w:t>工程占地面积</w:t>
            </w:r>
            <w:r>
              <w:rPr>
                <w:color w:val="auto"/>
              </w:rPr>
              <w:t>2467</w:t>
            </w:r>
            <w:r>
              <w:rPr>
                <w:rFonts w:hint="eastAsia"/>
                <w:color w:val="auto"/>
                <w:lang w:val="en-US" w:eastAsia="zh-CN"/>
              </w:rPr>
              <w:t>00</w:t>
            </w:r>
            <w:r>
              <w:rPr>
                <w:color w:val="auto"/>
              </w:rPr>
              <w:t>m</w:t>
            </w:r>
            <w:r>
              <w:rPr>
                <w:color w:val="auto"/>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color w:val="auto"/>
              </w:rPr>
              <w:t>建设性质</w:t>
            </w:r>
          </w:p>
        </w:tc>
        <w:tc>
          <w:tcPr>
            <w:tcW w:w="2588" w:type="dxa"/>
            <w:vAlign w:val="center"/>
          </w:tcPr>
          <w:p>
            <w:pPr>
              <w:spacing w:line="240" w:lineRule="auto"/>
              <w:ind w:firstLine="0" w:firstLineChars="0"/>
              <w:jc w:val="left"/>
              <w:rPr>
                <w:color w:val="auto"/>
              </w:rPr>
            </w:pPr>
            <w:r>
              <w:rPr>
                <w:color w:val="auto"/>
              </w:rPr>
              <w:sym w:font="Wingdings" w:char="00FE"/>
            </w:r>
            <w:r>
              <w:rPr>
                <w:color w:val="auto"/>
              </w:rPr>
              <w:t>新建（迁建）</w:t>
            </w:r>
          </w:p>
          <w:p>
            <w:pPr>
              <w:spacing w:line="240" w:lineRule="auto"/>
              <w:ind w:firstLine="0" w:firstLineChars="0"/>
              <w:jc w:val="left"/>
              <w:rPr>
                <w:color w:val="auto"/>
              </w:rPr>
            </w:pPr>
            <w:r>
              <w:rPr>
                <w:color w:val="auto"/>
              </w:rPr>
              <w:sym w:font="Wingdings" w:char="00A8"/>
            </w:r>
            <w:r>
              <w:rPr>
                <w:color w:val="auto"/>
              </w:rPr>
              <w:t>改建</w:t>
            </w:r>
          </w:p>
          <w:p>
            <w:pPr>
              <w:spacing w:line="240" w:lineRule="auto"/>
              <w:ind w:firstLine="0" w:firstLineChars="0"/>
              <w:jc w:val="left"/>
              <w:rPr>
                <w:color w:val="auto"/>
              </w:rPr>
            </w:pPr>
            <w:r>
              <w:rPr>
                <w:color w:val="auto"/>
              </w:rPr>
              <w:sym w:font="Wingdings" w:char="00A8"/>
            </w:r>
            <w:r>
              <w:rPr>
                <w:color w:val="auto"/>
              </w:rPr>
              <w:t>扩建</w:t>
            </w:r>
          </w:p>
          <w:p>
            <w:pPr>
              <w:spacing w:line="240" w:lineRule="auto"/>
              <w:ind w:firstLine="0" w:firstLineChars="0"/>
              <w:jc w:val="left"/>
              <w:rPr>
                <w:color w:val="auto"/>
              </w:rPr>
            </w:pPr>
            <w:r>
              <w:rPr>
                <w:color w:val="auto"/>
              </w:rPr>
              <w:sym w:font="Wingdings" w:char="00A8"/>
            </w:r>
            <w:r>
              <w:rPr>
                <w:color w:val="auto"/>
              </w:rPr>
              <w:t>技术改造</w:t>
            </w:r>
          </w:p>
        </w:tc>
        <w:tc>
          <w:tcPr>
            <w:tcW w:w="1914" w:type="dxa"/>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申报情形</w:t>
            </w:r>
          </w:p>
        </w:tc>
        <w:tc>
          <w:tcPr>
            <w:tcW w:w="3128" w:type="dxa"/>
            <w:vAlign w:val="center"/>
          </w:tcPr>
          <w:p>
            <w:pPr>
              <w:spacing w:line="240" w:lineRule="auto"/>
              <w:ind w:firstLine="0" w:firstLineChars="0"/>
              <w:jc w:val="left"/>
              <w:rPr>
                <w:color w:val="auto"/>
              </w:rPr>
            </w:pPr>
            <w:r>
              <w:rPr>
                <w:color w:val="auto"/>
              </w:rPr>
              <w:sym w:font="Wingdings" w:char="00FE"/>
            </w:r>
            <w:r>
              <w:rPr>
                <w:color w:val="auto"/>
              </w:rPr>
              <w:t>首次申报项目</w:t>
            </w:r>
          </w:p>
          <w:p>
            <w:pPr>
              <w:spacing w:line="240" w:lineRule="auto"/>
              <w:ind w:firstLine="0" w:firstLineChars="0"/>
              <w:jc w:val="left"/>
              <w:rPr>
                <w:color w:val="auto"/>
              </w:rPr>
            </w:pPr>
            <w:r>
              <w:rPr>
                <w:color w:val="auto"/>
              </w:rPr>
              <w:sym w:font="Wingdings" w:char="00A8"/>
            </w:r>
            <w:r>
              <w:rPr>
                <w:color w:val="auto"/>
              </w:rPr>
              <w:t>不予批准后再次申报项目</w:t>
            </w:r>
          </w:p>
          <w:p>
            <w:pPr>
              <w:spacing w:line="240" w:lineRule="auto"/>
              <w:ind w:firstLine="0" w:firstLineChars="0"/>
              <w:jc w:val="left"/>
              <w:rPr>
                <w:color w:val="auto"/>
              </w:rPr>
            </w:pPr>
            <w:r>
              <w:rPr>
                <w:color w:val="auto"/>
              </w:rPr>
              <w:sym w:font="Wingdings" w:char="00A8"/>
            </w:r>
            <w:r>
              <w:rPr>
                <w:color w:val="auto"/>
              </w:rPr>
              <w:t>超五年重新审核项目</w:t>
            </w:r>
          </w:p>
          <w:p>
            <w:pPr>
              <w:spacing w:line="240" w:lineRule="auto"/>
              <w:ind w:firstLine="0" w:firstLineChars="0"/>
              <w:rPr>
                <w:color w:val="auto"/>
              </w:rPr>
            </w:pPr>
            <w:r>
              <w:rPr>
                <w:color w:val="auto"/>
              </w:rPr>
              <w:sym w:font="Wingdings" w:char="00A8"/>
            </w:r>
            <w:r>
              <w:rPr>
                <w:color w:val="auto"/>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color w:val="auto"/>
              </w:rPr>
              <w:t>项目审批部门</w:t>
            </w:r>
          </w:p>
        </w:tc>
        <w:tc>
          <w:tcPr>
            <w:tcW w:w="2588" w:type="dxa"/>
            <w:vAlign w:val="center"/>
          </w:tcPr>
          <w:p>
            <w:pPr>
              <w:spacing w:line="240" w:lineRule="auto"/>
              <w:ind w:firstLine="0" w:firstLineChars="0"/>
              <w:jc w:val="center"/>
              <w:rPr>
                <w:rFonts w:hint="eastAsia" w:eastAsia="宋体"/>
                <w:color w:val="auto"/>
                <w:lang w:eastAsia="zh-CN"/>
              </w:rPr>
            </w:pPr>
            <w:r>
              <w:rPr>
                <w:rFonts w:hint="eastAsia"/>
                <w:color w:val="auto"/>
                <w:lang w:eastAsia="zh-CN"/>
              </w:rPr>
              <w:t>无</w:t>
            </w:r>
          </w:p>
        </w:tc>
        <w:tc>
          <w:tcPr>
            <w:tcW w:w="1914" w:type="dxa"/>
            <w:vAlign w:val="center"/>
          </w:tcPr>
          <w:p>
            <w:pPr>
              <w:spacing w:line="240" w:lineRule="auto"/>
              <w:ind w:firstLine="0" w:firstLineChars="0"/>
              <w:jc w:val="center"/>
              <w:rPr>
                <w:color w:val="auto"/>
              </w:rPr>
            </w:pPr>
            <w:r>
              <w:rPr>
                <w:color w:val="auto"/>
              </w:rPr>
              <w:t>项目审批文号</w:t>
            </w:r>
          </w:p>
        </w:tc>
        <w:tc>
          <w:tcPr>
            <w:tcW w:w="3128" w:type="dxa"/>
            <w:vAlign w:val="center"/>
          </w:tcPr>
          <w:p>
            <w:pPr>
              <w:spacing w:line="240" w:lineRule="auto"/>
              <w:ind w:firstLine="0" w:firstLineChars="0"/>
              <w:jc w:val="center"/>
              <w:rPr>
                <w:color w:val="auto"/>
              </w:rPr>
            </w:pPr>
            <w:r>
              <w:rPr>
                <w:rFonts w:hint="eastAsia"/>
                <w:color w:val="auto"/>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总投资（万元）</w:t>
            </w:r>
          </w:p>
        </w:tc>
        <w:tc>
          <w:tcPr>
            <w:tcW w:w="2588" w:type="dxa"/>
            <w:vAlign w:val="center"/>
          </w:tcPr>
          <w:p>
            <w:pPr>
              <w:spacing w:line="240" w:lineRule="auto"/>
              <w:ind w:firstLine="0" w:firstLineChars="0"/>
              <w:jc w:val="center"/>
              <w:rPr>
                <w:rFonts w:hint="default" w:ascii="Times New Roman" w:hAnsi="Times New Roman" w:cs="Times New Roman"/>
                <w:color w:val="auto"/>
                <w:lang w:val="en-US" w:eastAsia="zh-CN"/>
              </w:rPr>
            </w:pPr>
            <w:r>
              <w:rPr>
                <w:rFonts w:ascii="Times New Roman" w:hAnsi="Times New Roman" w:eastAsia="Times New Roman" w:cs="Times New Roman"/>
                <w:color w:val="auto"/>
                <w:spacing w:val="-4"/>
                <w:sz w:val="24"/>
                <w:szCs w:val="24"/>
              </w:rPr>
              <w:t>1793.09</w:t>
            </w:r>
            <w:r>
              <w:rPr>
                <w:rFonts w:ascii="Times New Roman" w:hAnsi="Times New Roman" w:eastAsia="Times New Roman" w:cs="Times New Roman"/>
                <w:color w:val="auto"/>
                <w:spacing w:val="15"/>
                <w:w w:val="101"/>
                <w:sz w:val="24"/>
                <w:szCs w:val="24"/>
              </w:rPr>
              <w:t xml:space="preserve"> </w:t>
            </w:r>
          </w:p>
        </w:tc>
        <w:tc>
          <w:tcPr>
            <w:tcW w:w="1914" w:type="dxa"/>
            <w:tcMar>
              <w:top w:w="16" w:type="dxa"/>
              <w:left w:w="16" w:type="dxa"/>
              <w:right w:w="16" w:type="dxa"/>
            </w:tcMar>
            <w:vAlign w:val="center"/>
          </w:tcPr>
          <w:p>
            <w:pPr>
              <w:spacing w:line="240" w:lineRule="auto"/>
              <w:ind w:firstLine="0" w:firstLineChars="0"/>
              <w:jc w:val="center"/>
              <w:rPr>
                <w:color w:val="auto"/>
              </w:rPr>
            </w:pPr>
            <w:r>
              <w:rPr>
                <w:color w:val="auto"/>
              </w:rPr>
              <w:t>环保投资（万元）</w:t>
            </w:r>
          </w:p>
        </w:tc>
        <w:tc>
          <w:tcPr>
            <w:tcW w:w="3128"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color w:val="auto"/>
              </w:rPr>
              <w:t>环保投资占比（%）</w:t>
            </w:r>
          </w:p>
        </w:tc>
        <w:tc>
          <w:tcPr>
            <w:tcW w:w="2588"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5.99</w:t>
            </w:r>
          </w:p>
        </w:tc>
        <w:tc>
          <w:tcPr>
            <w:tcW w:w="1914" w:type="dxa"/>
            <w:tcMar>
              <w:top w:w="16" w:type="dxa"/>
              <w:left w:w="16" w:type="dxa"/>
              <w:right w:w="16" w:type="dxa"/>
            </w:tcMar>
            <w:vAlign w:val="center"/>
          </w:tcPr>
          <w:p>
            <w:pPr>
              <w:spacing w:line="240" w:lineRule="auto"/>
              <w:ind w:firstLine="0" w:firstLineChars="0"/>
              <w:jc w:val="center"/>
              <w:rPr>
                <w:color w:val="auto"/>
              </w:rPr>
            </w:pPr>
            <w:r>
              <w:rPr>
                <w:color w:val="auto"/>
              </w:rPr>
              <w:t>施工工期</w:t>
            </w:r>
          </w:p>
        </w:tc>
        <w:tc>
          <w:tcPr>
            <w:tcW w:w="3128" w:type="dxa"/>
            <w:vAlign w:val="center"/>
          </w:tcPr>
          <w:p>
            <w:pPr>
              <w:spacing w:line="240" w:lineRule="auto"/>
              <w:ind w:firstLine="0" w:firstLineChars="0"/>
              <w:jc w:val="center"/>
              <w:rPr>
                <w:color w:val="auto"/>
              </w:rPr>
            </w:pPr>
            <w:r>
              <w:rPr>
                <w:rFonts w:hint="eastAsia"/>
                <w:color w:val="auto"/>
                <w:lang w:val="en-US" w:eastAsia="zh-CN"/>
              </w:rPr>
              <w:t>3</w:t>
            </w:r>
            <w:r>
              <w:rPr>
                <w:rFonts w:hint="eastAsia"/>
                <w:color w:val="auto"/>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color w:val="auto"/>
              </w:rPr>
              <w:t>是否开工建设</w:t>
            </w:r>
          </w:p>
        </w:tc>
        <w:tc>
          <w:tcPr>
            <w:tcW w:w="7630" w:type="dxa"/>
            <w:gridSpan w:val="3"/>
            <w:vAlign w:val="center"/>
          </w:tcPr>
          <w:p>
            <w:pPr>
              <w:spacing w:line="240" w:lineRule="auto"/>
              <w:ind w:firstLine="0" w:firstLineChars="0"/>
              <w:jc w:val="left"/>
              <w:rPr>
                <w:color w:val="auto"/>
              </w:rPr>
            </w:pPr>
            <w:r>
              <w:rPr>
                <w:color w:val="auto"/>
              </w:rPr>
              <w:sym w:font="Wingdings" w:char="00FE"/>
            </w:r>
            <w:r>
              <w:rPr>
                <w:color w:val="auto"/>
              </w:rPr>
              <w:t>否</w:t>
            </w:r>
          </w:p>
          <w:p>
            <w:pPr>
              <w:spacing w:line="240" w:lineRule="auto"/>
              <w:ind w:firstLine="0" w:firstLineChars="0"/>
              <w:rPr>
                <w:color w:val="auto"/>
              </w:rPr>
            </w:pPr>
            <w:r>
              <w:rPr>
                <w:color w:val="auto"/>
              </w:rPr>
              <w:sym w:font="Wingdings" w:char="00A8"/>
            </w:r>
            <w:r>
              <w:rPr>
                <w:color w:val="auto"/>
              </w:rPr>
              <w:t>是：</w:t>
            </w:r>
            <w:r>
              <w:rPr>
                <w:color w:val="auto"/>
                <w:u w:val="single"/>
              </w:rPr>
              <w:t xml:space="preserve"> </w:t>
            </w:r>
            <w:r>
              <w:rPr>
                <w:rFonts w:hint="eastAsia"/>
                <w:color w:val="auto"/>
                <w:u w:val="single"/>
                <w:lang w:val="en-US" w:eastAsia="zh-CN"/>
              </w:rPr>
              <w:t xml:space="preserve">                 </w:t>
            </w:r>
            <w:r>
              <w:rPr>
                <w:rFonts w:hint="eastAsia"/>
                <w:color w:val="auto"/>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color w:val="auto"/>
              </w:rPr>
              <w:t>专项评价设置情况</w:t>
            </w:r>
          </w:p>
        </w:tc>
        <w:tc>
          <w:tcPr>
            <w:tcW w:w="7630" w:type="dxa"/>
            <w:gridSpan w:val="3"/>
            <w:tcMar>
              <w:top w:w="16" w:type="dxa"/>
              <w:left w:w="16" w:type="dxa"/>
              <w:right w:w="16" w:type="dxa"/>
            </w:tcMar>
            <w:vAlign w:val="center"/>
          </w:tcPr>
          <w:p>
            <w:pPr>
              <w:spacing w:line="240" w:lineRule="auto"/>
              <w:ind w:firstLine="0" w:firstLineChars="0"/>
              <w:jc w:val="center"/>
              <w:rPr>
                <w:color w:val="auto"/>
              </w:rPr>
            </w:pPr>
            <w:r>
              <w:rPr>
                <w:color w:val="auto"/>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规划情况</w:t>
            </w:r>
          </w:p>
        </w:tc>
        <w:tc>
          <w:tcPr>
            <w:tcW w:w="7630" w:type="dxa"/>
            <w:gridSpan w:val="3"/>
            <w:tcMar>
              <w:top w:w="16" w:type="dxa"/>
              <w:left w:w="16" w:type="dxa"/>
              <w:right w:w="16" w:type="dxa"/>
            </w:tcMar>
            <w:vAlign w:val="center"/>
          </w:tcPr>
          <w:p>
            <w:pPr>
              <w:bidi w:val="0"/>
              <w:rPr>
                <w:rFonts w:hint="eastAsia"/>
                <w:color w:val="auto"/>
                <w:lang w:val="en-US" w:eastAsia="zh-CN"/>
              </w:rPr>
            </w:pPr>
            <w:r>
              <w:rPr>
                <w:rFonts w:hint="eastAsia"/>
                <w:color w:val="auto"/>
                <w:lang w:val="en-US" w:eastAsia="zh-CN"/>
              </w:rPr>
              <w:t>规划名称：《新疆维吾尔自治区矿产资源总体规划（2021—2025年）》；审批机关：自然资源部</w:t>
            </w:r>
          </w:p>
          <w:p>
            <w:pPr>
              <w:bidi w:val="0"/>
              <w:rPr>
                <w:rFonts w:hint="eastAsia"/>
                <w:color w:val="auto"/>
                <w:lang w:val="en-US" w:eastAsia="zh-CN"/>
              </w:rPr>
            </w:pPr>
            <w:r>
              <w:rPr>
                <w:rFonts w:hint="eastAsia"/>
                <w:color w:val="auto"/>
                <w:lang w:val="en-US" w:eastAsia="zh-CN"/>
              </w:rPr>
              <w:t>审批文号：自然资函〔2022〕1092号</w:t>
            </w:r>
          </w:p>
          <w:p>
            <w:pPr>
              <w:bidi w:val="0"/>
              <w:rPr>
                <w:rFonts w:hint="eastAsia"/>
                <w:color w:val="auto"/>
                <w:lang w:val="en-US" w:eastAsia="zh-CN"/>
              </w:rPr>
            </w:pPr>
            <w:r>
              <w:rPr>
                <w:rFonts w:hint="eastAsia"/>
                <w:color w:val="auto"/>
                <w:lang w:val="en-US" w:eastAsia="zh-CN"/>
              </w:rPr>
              <w:t>规划名称：《巴音郭楞蒙古自治州矿产资源总体规划（2021—2025年）》</w:t>
            </w:r>
          </w:p>
          <w:p>
            <w:pPr>
              <w:bidi w:val="0"/>
              <w:rPr>
                <w:rFonts w:hint="default"/>
                <w:color w:val="auto"/>
              </w:rPr>
            </w:pPr>
            <w:r>
              <w:rPr>
                <w:rFonts w:hint="eastAsia"/>
                <w:color w:val="auto"/>
                <w:lang w:val="en-US" w:eastAsia="zh-CN"/>
              </w:rPr>
              <w:t>审批机关：新疆巴音郭楞蒙古自治州人民政府</w:t>
            </w:r>
            <w:r>
              <w:rPr>
                <w:rFonts w:hint="default"/>
                <w:color w:val="auto"/>
              </w:rPr>
              <w:t>。</w:t>
            </w:r>
          </w:p>
          <w:p>
            <w:pPr>
              <w:bidi w:val="0"/>
              <w:rPr>
                <w:rFonts w:hint="eastAsia"/>
                <w:color w:val="auto"/>
                <w:lang w:val="en-US" w:eastAsia="zh-CN"/>
              </w:rPr>
            </w:pPr>
            <w:r>
              <w:rPr>
                <w:rFonts w:hint="eastAsia"/>
                <w:color w:val="auto"/>
                <w:lang w:val="en-US" w:eastAsia="zh-CN"/>
              </w:rPr>
              <w:t>规划名称：《新疆维吾尔自治区焉耆县矿产资源总体规划（2021—2025年）》</w:t>
            </w:r>
          </w:p>
          <w:p>
            <w:pPr>
              <w:bidi w:val="0"/>
              <w:rPr>
                <w:color w:val="auto"/>
              </w:rPr>
            </w:pPr>
            <w:r>
              <w:rPr>
                <w:rFonts w:hint="eastAsia"/>
                <w:color w:val="auto"/>
                <w:lang w:val="en-US" w:eastAsia="zh-CN"/>
              </w:rPr>
              <w:t>审批机关：焉耆县人民政府</w:t>
            </w:r>
            <w:r>
              <w:rPr>
                <w:rFonts w:hint="default"/>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规划环境影响评价情况</w:t>
            </w:r>
          </w:p>
        </w:tc>
        <w:tc>
          <w:tcPr>
            <w:tcW w:w="7630" w:type="dxa"/>
            <w:gridSpan w:val="3"/>
            <w:tcMar>
              <w:top w:w="16" w:type="dxa"/>
              <w:left w:w="16" w:type="dxa"/>
              <w:right w:w="16" w:type="dxa"/>
            </w:tcMar>
            <w:vAlign w:val="center"/>
          </w:tcPr>
          <w:p>
            <w:pPr>
              <w:bidi w:val="0"/>
              <w:rPr>
                <w:rFonts w:hint="eastAsia"/>
                <w:color w:val="auto"/>
              </w:rPr>
            </w:pPr>
            <w:r>
              <w:rPr>
                <w:rFonts w:hint="eastAsia"/>
                <w:color w:val="auto"/>
              </w:rPr>
              <w:t>规划环境影响评价文件名称：新疆维吾尔自治区矿产资源总体规划（2021</w:t>
            </w:r>
            <w:r>
              <w:rPr>
                <w:rFonts w:hint="eastAsia"/>
                <w:color w:val="auto"/>
                <w:lang w:eastAsia="zh-CN"/>
              </w:rPr>
              <w:t>—</w:t>
            </w:r>
            <w:r>
              <w:rPr>
                <w:rFonts w:hint="eastAsia"/>
                <w:color w:val="auto"/>
              </w:rPr>
              <w:t>2025年）环境影响报告书</w:t>
            </w:r>
          </w:p>
          <w:p>
            <w:pPr>
              <w:bidi w:val="0"/>
              <w:rPr>
                <w:rFonts w:hint="eastAsia"/>
                <w:color w:val="auto"/>
              </w:rPr>
            </w:pPr>
            <w:r>
              <w:rPr>
                <w:rFonts w:hint="eastAsia"/>
                <w:color w:val="auto"/>
              </w:rPr>
              <w:t>审查机关：中华人民共和国生态环境部</w:t>
            </w:r>
          </w:p>
          <w:p>
            <w:pPr>
              <w:bidi w:val="0"/>
              <w:rPr>
                <w:rFonts w:hint="eastAsia"/>
                <w:color w:val="auto"/>
              </w:rPr>
            </w:pPr>
            <w:r>
              <w:rPr>
                <w:rFonts w:hint="eastAsia"/>
                <w:color w:val="auto"/>
              </w:rPr>
              <w:t>审批批复：《关于新疆维吾尔自治区矿产资源总体规划（2021</w:t>
            </w:r>
            <w:r>
              <w:rPr>
                <w:rFonts w:hint="eastAsia"/>
                <w:color w:val="auto"/>
                <w:lang w:eastAsia="zh-CN"/>
              </w:rPr>
              <w:t>—</w:t>
            </w:r>
            <w:r>
              <w:rPr>
                <w:rFonts w:hint="eastAsia"/>
                <w:color w:val="auto"/>
              </w:rPr>
              <w:t>2025年）环境影响报告书的审查意见》</w:t>
            </w:r>
          </w:p>
          <w:p>
            <w:pPr>
              <w:bidi w:val="0"/>
              <w:rPr>
                <w:color w:val="auto"/>
              </w:rPr>
            </w:pPr>
            <w:r>
              <w:rPr>
                <w:rFonts w:hint="eastAsia"/>
                <w:color w:val="auto"/>
              </w:rPr>
              <w:t>文号：环审〔2022〕124号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9"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规划及规划环境影响评价符合性分析</w:t>
            </w:r>
          </w:p>
        </w:tc>
        <w:tc>
          <w:tcPr>
            <w:tcW w:w="7630" w:type="dxa"/>
            <w:gridSpan w:val="3"/>
            <w:tcMar>
              <w:top w:w="16" w:type="dxa"/>
              <w:left w:w="16" w:type="dxa"/>
              <w:right w:w="16" w:type="dxa"/>
            </w:tcMar>
            <w:vAlign w:val="center"/>
          </w:tcPr>
          <w:p>
            <w:pPr>
              <w:keepNext w:val="0"/>
              <w:keepLines w:val="0"/>
              <w:pageBreakBefore w:val="0"/>
              <w:kinsoku/>
              <w:wordWrap w:val="0"/>
              <w:overflowPunct/>
              <w:topLinePunct w:val="0"/>
              <w:autoSpaceDE/>
              <w:autoSpaceDN/>
              <w:bidi w:val="0"/>
              <w:adjustRightInd/>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《新疆维吾尔自治区矿产资源总体规划》（2021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2025年）符合性分析</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二、指导思想与原则（二）基本原则中提到：</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优化布局、协调发展：加快融入以国内大循环为主体、国内国际双循环相互促进的新发展格局，推动资源开发与区域经济发展、产业转型升级、资源环境保护、城镇体系建设相协调。统筹安排矿产勘查开发布局与时序，与新疆国民经济和社会发展规划、国土空间规划有效衔接，形成协调有序的资源开发与保护新格局。</w:t>
            </w:r>
          </w:p>
          <w:p>
            <w:pPr>
              <w:bidi w:val="0"/>
              <w:rPr>
                <w:rFonts w:hint="default"/>
                <w:color w:val="auto"/>
                <w:lang w:val="en-US" w:eastAsia="zh-CN"/>
              </w:rPr>
            </w:pPr>
            <w:r>
              <w:rPr>
                <w:rFonts w:hint="default"/>
                <w:color w:val="auto"/>
                <w:lang w:val="en-US" w:eastAsia="zh-CN"/>
              </w:rPr>
              <w:t>三、规划目标（二）规划目标中提到：</w:t>
            </w:r>
          </w:p>
          <w:p>
            <w:pPr>
              <w:bidi w:val="0"/>
              <w:rPr>
                <w:rFonts w:hint="default"/>
                <w:color w:val="auto"/>
                <w:lang w:val="en-US" w:eastAsia="zh-CN"/>
              </w:rPr>
            </w:pPr>
            <w:r>
              <w:rPr>
                <w:rFonts w:hint="default"/>
                <w:color w:val="auto"/>
                <w:lang w:val="en-US" w:eastAsia="zh-CN"/>
              </w:rPr>
              <w:t>矿业绿色转型取得新成效：矿山规模结构更加合理，2025年固体矿产大中型矿山比例达到40%以上。先进适用技术全面推广应用，资源利用效率达到新水平，严格</w:t>
            </w:r>
            <w:r>
              <w:rPr>
                <w:rFonts w:hint="eastAsia"/>
                <w:color w:val="auto"/>
                <w:lang w:val="en-US" w:eastAsia="zh-CN"/>
              </w:rPr>
              <w:t>执行“三率”考</w:t>
            </w:r>
            <w:r>
              <w:rPr>
                <w:rFonts w:hint="default"/>
                <w:color w:val="auto"/>
                <w:lang w:val="en-US" w:eastAsia="zh-CN"/>
              </w:rPr>
              <w:t>核，共伴生矿产资源、固体废弃物综合利用水平进一步提升。绿色勘查、绿色矿山建设和矿山智能化水平不断提高，矿山生态环境明显好转，基本实现矿山生产与自然生态和谐共生。</w:t>
            </w:r>
          </w:p>
          <w:p>
            <w:pPr>
              <w:bidi w:val="0"/>
              <w:rPr>
                <w:rFonts w:hint="default"/>
                <w:color w:val="auto"/>
                <w:lang w:val="en-US" w:eastAsia="zh-CN"/>
              </w:rPr>
            </w:pPr>
            <w:r>
              <w:rPr>
                <w:rFonts w:hint="default"/>
                <w:color w:val="auto"/>
                <w:lang w:val="en-US" w:eastAsia="zh-CN"/>
              </w:rPr>
              <w:t>矿山地质环境保护与治理恢复取得新进展：建立健全矿山生态环境保护修复监管信息系统，矿山地质环境动态监测体系进一步完善。矿山地质环境保护与治理恢复责任机制得到全面落实，矿山企业依法履行矿山地质环境保护与土地复垦义务的监督管理进一步加强，市场化矿山生态修复不断推进。</w:t>
            </w:r>
          </w:p>
          <w:p>
            <w:pPr>
              <w:bidi w:val="0"/>
              <w:rPr>
                <w:rFonts w:hint="default"/>
                <w:color w:val="auto"/>
                <w:lang w:val="en-US" w:eastAsia="zh-CN"/>
              </w:rPr>
            </w:pPr>
            <w:r>
              <w:rPr>
                <w:rFonts w:hint="default"/>
                <w:color w:val="auto"/>
                <w:lang w:val="en-US" w:eastAsia="zh-CN"/>
              </w:rPr>
              <w:t>本项目已于202</w:t>
            </w:r>
            <w:r>
              <w:rPr>
                <w:rFonts w:hint="eastAsia"/>
                <w:color w:val="auto"/>
                <w:lang w:val="en-US" w:eastAsia="zh-CN"/>
              </w:rPr>
              <w:t>5</w:t>
            </w:r>
            <w:r>
              <w:rPr>
                <w:rFonts w:hint="default"/>
                <w:color w:val="auto"/>
                <w:lang w:val="en-US" w:eastAsia="zh-CN"/>
              </w:rPr>
              <w:t>年</w:t>
            </w:r>
            <w:r>
              <w:rPr>
                <w:rFonts w:hint="eastAsia"/>
                <w:color w:val="auto"/>
                <w:lang w:val="en-US" w:eastAsia="zh-CN"/>
              </w:rPr>
              <w:t>1</w:t>
            </w:r>
            <w:r>
              <w:rPr>
                <w:rFonts w:hint="default"/>
                <w:color w:val="auto"/>
                <w:lang w:val="en-US" w:eastAsia="zh-CN"/>
              </w:rPr>
              <w:t>月</w:t>
            </w:r>
            <w:r>
              <w:rPr>
                <w:rFonts w:hint="eastAsia"/>
                <w:color w:val="auto"/>
                <w:lang w:val="en-US" w:eastAsia="zh-CN"/>
              </w:rPr>
              <w:t>20</w:t>
            </w:r>
            <w:r>
              <w:rPr>
                <w:rFonts w:hint="default"/>
                <w:color w:val="auto"/>
                <w:lang w:val="en-US" w:eastAsia="zh-CN"/>
              </w:rPr>
              <w:t>日</w:t>
            </w:r>
            <w:r>
              <w:rPr>
                <w:rFonts w:hint="eastAsia"/>
                <w:color w:val="auto"/>
                <w:lang w:val="en-US" w:eastAsia="zh-CN"/>
              </w:rPr>
              <w:t>取得采矿许可证，证号C6528002025017250157892</w:t>
            </w:r>
            <w:r>
              <w:rPr>
                <w:rFonts w:hint="default"/>
                <w:color w:val="auto"/>
                <w:lang w:val="en-US" w:eastAsia="zh-CN"/>
              </w:rPr>
              <w:t>，该矿区</w:t>
            </w:r>
            <w:r>
              <w:rPr>
                <w:rFonts w:hint="eastAsia"/>
                <w:color w:val="auto"/>
                <w:lang w:val="en-US" w:eastAsia="zh-CN"/>
              </w:rPr>
              <w:t>属于可开采区域</w:t>
            </w:r>
            <w:r>
              <w:rPr>
                <w:rFonts w:hint="default"/>
                <w:color w:val="auto"/>
                <w:lang w:val="en-US" w:eastAsia="zh-CN"/>
              </w:rPr>
              <w:t>，符合</w:t>
            </w:r>
            <w:r>
              <w:rPr>
                <w:rFonts w:hint="eastAsia"/>
                <w:color w:val="auto"/>
                <w:lang w:val="en-US" w:eastAsia="zh-CN"/>
              </w:rPr>
              <w:t>自治区</w:t>
            </w:r>
            <w:r>
              <w:rPr>
                <w:rFonts w:hint="default"/>
                <w:color w:val="auto"/>
                <w:lang w:val="en-US" w:eastAsia="zh-CN"/>
              </w:rPr>
              <w:t>矿产资源</w:t>
            </w:r>
            <w:r>
              <w:rPr>
                <w:rFonts w:hint="eastAsia"/>
                <w:color w:val="auto"/>
                <w:lang w:val="en-US" w:eastAsia="zh-CN"/>
              </w:rPr>
              <w:t>总体</w:t>
            </w:r>
            <w:r>
              <w:rPr>
                <w:rFonts w:hint="default"/>
                <w:color w:val="auto"/>
                <w:lang w:val="en-US" w:eastAsia="zh-CN"/>
              </w:rPr>
              <w:t>规划</w:t>
            </w:r>
            <w:r>
              <w:rPr>
                <w:rFonts w:hint="eastAsia"/>
                <w:color w:val="auto"/>
                <w:lang w:val="en-US" w:eastAsia="zh-CN"/>
              </w:rPr>
              <w:t>要求</w:t>
            </w:r>
            <w:r>
              <w:rPr>
                <w:rFonts w:hint="default"/>
                <w:color w:val="auto"/>
                <w:lang w:val="en-US" w:eastAsia="zh-CN"/>
              </w:rPr>
              <w:t>。</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本项目资源利用效率较高</w:t>
            </w: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w:t>
            </w:r>
            <w:r>
              <w:rPr>
                <w:color w:val="auto"/>
              </w:rPr>
              <w:t>新疆富华石业有限公司新疆焉耆县霍拉山</w:t>
            </w:r>
            <w:r>
              <w:rPr>
                <w:rFonts w:hint="eastAsia"/>
                <w:color w:val="auto"/>
                <w:lang w:eastAsia="zh-CN"/>
              </w:rPr>
              <w:t>14</w:t>
            </w:r>
            <w:r>
              <w:rPr>
                <w:color w:val="auto"/>
              </w:rPr>
              <w:t>号花岗岩矿矿产资源开发利用与生态保护修复方案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设计资源利用率为100%</w:t>
            </w:r>
            <w:r>
              <w:rPr>
                <w:rFonts w:hint="default" w:ascii="Times New Roman" w:hAnsi="Times New Roman" w:eastAsia="宋体" w:cs="Times New Roman"/>
                <w:color w:val="auto"/>
                <w:sz w:val="24"/>
                <w:szCs w:val="24"/>
                <w:highlight w:val="none"/>
                <w:lang w:val="en-US" w:eastAsia="zh-CN"/>
              </w:rPr>
              <w:t>，基本</w:t>
            </w:r>
            <w:r>
              <w:rPr>
                <w:rFonts w:hint="eastAsia"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实现矿山生产与自然生态和谐共生。本项目矿山地质环境保护与治理恢复责任机制得到全面落实，</w:t>
            </w:r>
            <w:r>
              <w:rPr>
                <w:rFonts w:hint="eastAsia" w:ascii="Times New Roman" w:hAnsi="Times New Roman" w:eastAsia="宋体" w:cs="Times New Roman"/>
                <w:color w:val="auto"/>
                <w:sz w:val="24"/>
                <w:szCs w:val="24"/>
                <w:highlight w:val="none"/>
                <w:lang w:val="en-US" w:eastAsia="zh-CN"/>
              </w:rPr>
              <w:t>已取得</w:t>
            </w:r>
            <w:r>
              <w:rPr>
                <w:rFonts w:hint="default" w:ascii="Times New Roman" w:hAnsi="Times New Roman" w:eastAsia="宋体" w:cs="Times New Roman"/>
                <w:color w:val="auto"/>
                <w:sz w:val="24"/>
                <w:szCs w:val="24"/>
                <w:highlight w:val="none"/>
                <w:lang w:val="en-US" w:eastAsia="zh-CN"/>
              </w:rPr>
              <w:t>《</w:t>
            </w:r>
            <w:r>
              <w:rPr>
                <w:color w:val="auto"/>
              </w:rPr>
              <w:t>新疆富华石业有限公司新疆焉耆县霍拉山</w:t>
            </w:r>
            <w:r>
              <w:rPr>
                <w:rFonts w:hint="eastAsia"/>
                <w:color w:val="auto"/>
                <w:lang w:eastAsia="zh-CN"/>
              </w:rPr>
              <w:t>14</w:t>
            </w:r>
            <w:r>
              <w:rPr>
                <w:color w:val="auto"/>
              </w:rPr>
              <w:t>号花岗岩矿矿产资源开发利用与生态保护修复方案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审查意见</w:t>
            </w:r>
            <w:r>
              <w:rPr>
                <w:rFonts w:hint="default" w:ascii="Times New Roman" w:hAnsi="Times New Roman" w:eastAsia="宋体" w:cs="Times New Roman"/>
                <w:color w:val="auto"/>
                <w:sz w:val="24"/>
                <w:szCs w:val="24"/>
                <w:highlight w:val="none"/>
                <w:lang w:val="en-US" w:eastAsia="zh-CN"/>
              </w:rPr>
              <w:t>，通过严格</w:t>
            </w:r>
            <w:r>
              <w:rPr>
                <w:rFonts w:hint="eastAsia" w:ascii="Times New Roman" w:hAnsi="Times New Roman" w:eastAsia="宋体" w:cs="Times New Roman"/>
                <w:color w:val="auto"/>
                <w:sz w:val="24"/>
                <w:szCs w:val="24"/>
                <w:highlight w:val="none"/>
                <w:lang w:val="en-US" w:eastAsia="zh-CN"/>
              </w:rPr>
              <w:t>执行</w:t>
            </w:r>
            <w:r>
              <w:rPr>
                <w:rFonts w:hint="default" w:ascii="Times New Roman" w:hAnsi="Times New Roman" w:eastAsia="宋体" w:cs="Times New Roman"/>
                <w:color w:val="auto"/>
                <w:sz w:val="24"/>
                <w:szCs w:val="24"/>
                <w:highlight w:val="none"/>
                <w:lang w:val="en-US" w:eastAsia="zh-CN"/>
              </w:rPr>
              <w:t>方案中所包含的土地复垦方案，以保证市场化矿山生态修复不断推进。</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snapToGrid/>
                <w:color w:val="auto"/>
                <w:spacing w:val="0"/>
                <w:kern w:val="2"/>
                <w:sz w:val="24"/>
                <w:szCs w:val="24"/>
                <w:highlight w:val="none"/>
                <w:lang w:val="en-US" w:eastAsia="zh-CN" w:bidi="ar-SA"/>
              </w:rPr>
            </w:pPr>
            <w:r>
              <w:rPr>
                <w:rFonts w:hint="default" w:ascii="Times New Roman" w:hAnsi="Times New Roman" w:eastAsia="宋体" w:cs="Times New Roman"/>
                <w:snapToGrid/>
                <w:color w:val="auto"/>
                <w:spacing w:val="0"/>
                <w:kern w:val="2"/>
                <w:sz w:val="24"/>
                <w:szCs w:val="24"/>
                <w:highlight w:val="none"/>
                <w:lang w:val="en-US" w:eastAsia="zh-CN" w:bidi="ar-SA"/>
              </w:rPr>
              <w:t>综上，该项目符合《新疆维吾尔自治区矿产资源总体规划》（2021</w:t>
            </w:r>
            <w:r>
              <w:rPr>
                <w:rFonts w:hint="eastAsia" w:ascii="Times New Roman" w:hAnsi="Times New Roman" w:eastAsia="宋体" w:cs="Times New Roman"/>
                <w:snapToGrid/>
                <w:color w:val="auto"/>
                <w:spacing w:val="0"/>
                <w:kern w:val="2"/>
                <w:sz w:val="24"/>
                <w:szCs w:val="24"/>
                <w:highlight w:val="none"/>
                <w:lang w:val="en-US" w:eastAsia="zh-CN" w:bidi="ar-SA"/>
              </w:rPr>
              <w:t>—</w:t>
            </w:r>
            <w:r>
              <w:rPr>
                <w:rFonts w:hint="default" w:ascii="Times New Roman" w:hAnsi="Times New Roman" w:eastAsia="宋体" w:cs="Times New Roman"/>
                <w:snapToGrid/>
                <w:color w:val="auto"/>
                <w:spacing w:val="0"/>
                <w:kern w:val="2"/>
                <w:sz w:val="24"/>
                <w:szCs w:val="24"/>
                <w:highlight w:val="none"/>
                <w:lang w:val="en-US" w:eastAsia="zh-CN" w:bidi="ar-SA"/>
              </w:rPr>
              <w:t>2025年）。</w:t>
            </w:r>
          </w:p>
          <w:p>
            <w:pPr>
              <w:pStyle w:val="5"/>
              <w:bidi w:val="0"/>
              <w:rPr>
                <w:rFonts w:hint="default"/>
                <w:color w:val="auto"/>
                <w:lang w:val="en-US" w:eastAsia="zh-CN"/>
              </w:rPr>
            </w:pPr>
            <w:r>
              <w:rPr>
                <w:rFonts w:hint="eastAsia"/>
                <w:color w:val="auto"/>
                <w:lang w:val="en-US" w:eastAsia="zh-CN"/>
              </w:rPr>
              <w:t>2、《新疆维吾尔自治区焉耆县矿产资源总体规划（2021—2025年）》符合性分析</w:t>
            </w:r>
          </w:p>
          <w:p>
            <w:pPr>
              <w:keepNext w:val="0"/>
              <w:keepLines w:val="0"/>
              <w:pageBreakBefore w:val="0"/>
              <w:kinsoku/>
              <w:wordWrap w:val="0"/>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摘要：</w:t>
            </w:r>
            <w:r>
              <w:rPr>
                <w:rFonts w:hint="eastAsia" w:ascii="Times New Roman" w:hAnsi="Times New Roman" w:eastAsia="宋体" w:cs="Times New Roman"/>
                <w:snapToGrid/>
                <w:color w:val="auto"/>
                <w:spacing w:val="0"/>
                <w:kern w:val="2"/>
                <w:sz w:val="24"/>
                <w:szCs w:val="24"/>
                <w:highlight w:val="none"/>
                <w:lang w:val="en-US" w:eastAsia="zh-CN" w:bidi="ar-SA"/>
              </w:rPr>
              <w:t>六、非金属矿产开发规划</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一、重点、限制和禁止勘查开采矿种</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重点勘查开采矿种：红柱石、电石用灰岩、饰面花岗岩、硅质原料矿产、石膏、铍、铜、金、地热等。</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限制勘查开采矿种：石煤、硫铁矿、石棉。</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禁止勘查开采矿种：灰分大于40%或含硫大于3%的煤、砂金、砂铁。</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二、限制、禁止勘查开采矿种的管理</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停止受理新立限制勘查开采矿种的探矿权、采矿权申请，已有探矿权、采矿权到期后不再延续。</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禁止勘查开采可耕地砖瓦用粘土、灰分大于40%或含硫大于3%的煤以及砂铁、</w:t>
            </w:r>
            <w:r>
              <w:rPr>
                <w:rFonts w:hint="eastAsia" w:cs="Times New Roman"/>
                <w:snapToGrid/>
                <w:color w:val="auto"/>
                <w:spacing w:val="0"/>
                <w:kern w:val="2"/>
                <w:sz w:val="24"/>
                <w:szCs w:val="24"/>
                <w:highlight w:val="none"/>
                <w:lang w:val="en-US" w:eastAsia="zh-CN" w:bidi="ar-SA"/>
              </w:rPr>
              <w:t>沙金</w:t>
            </w:r>
            <w:r>
              <w:rPr>
                <w:rFonts w:hint="eastAsia" w:ascii="Times New Roman" w:hAnsi="Times New Roman" w:eastAsia="宋体" w:cs="Times New Roman"/>
                <w:snapToGrid/>
                <w:color w:val="auto"/>
                <w:spacing w:val="0"/>
                <w:kern w:val="2"/>
                <w:sz w:val="24"/>
                <w:szCs w:val="24"/>
                <w:highlight w:val="none"/>
                <w:lang w:val="en-US" w:eastAsia="zh-CN" w:bidi="ar-SA"/>
              </w:rPr>
              <w:t>等矿产。已设立的矿业权应逐步退出。</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三、限制、禁止勘查开采区管理</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落实生态保护红线和国土空间规划要求，严格控制勘查开采活动进入这些区域。</w:t>
            </w:r>
          </w:p>
          <w:p>
            <w:pPr>
              <w:keepNext w:val="0"/>
              <w:keepLines w:val="0"/>
              <w:pageBreakBefore w:val="0"/>
              <w:kinsoku/>
              <w:wordWrap w:val="0"/>
              <w:overflowPunct/>
              <w:topLinePunct w:val="0"/>
              <w:autoSpaceDE/>
              <w:autoSpaceDN/>
              <w:bidi w:val="0"/>
              <w:adjustRightInd/>
              <w:snapToGrid w:val="0"/>
              <w:spacing w:line="360" w:lineRule="auto"/>
              <w:ind w:left="0" w:leftChars="0" w:firstLine="482"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符合性</w:t>
            </w:r>
            <w:r>
              <w:rPr>
                <w:rFonts w:hint="eastAsia" w:ascii="Times New Roman" w:hAnsi="Times New Roman" w:eastAsia="宋体" w:cs="Times New Roman"/>
                <w:snapToGrid/>
                <w:color w:val="auto"/>
                <w:spacing w:val="0"/>
                <w:kern w:val="2"/>
                <w:sz w:val="24"/>
                <w:szCs w:val="24"/>
                <w:highlight w:val="none"/>
                <w:lang w:val="en-US" w:eastAsia="zh-CN" w:bidi="ar-SA"/>
              </w:rPr>
              <w:t>：</w:t>
            </w:r>
            <w:r>
              <w:rPr>
                <w:rFonts w:hint="eastAsia"/>
                <w:color w:val="auto"/>
                <w:lang w:eastAsia="zh-CN"/>
              </w:rPr>
              <w:t>本项目属于</w:t>
            </w:r>
            <w:r>
              <w:rPr>
                <w:rFonts w:hint="eastAsia" w:ascii="Times New Roman" w:hAnsi="Times New Roman" w:eastAsia="宋体" w:cs="Times New Roman"/>
                <w:snapToGrid/>
                <w:color w:val="auto"/>
                <w:spacing w:val="0"/>
                <w:kern w:val="2"/>
                <w:sz w:val="24"/>
                <w:szCs w:val="24"/>
                <w:highlight w:val="none"/>
                <w:lang w:val="en-US" w:eastAsia="zh-CN" w:bidi="ar-SA"/>
              </w:rPr>
              <w:t>重点勘查开采矿种</w:t>
            </w:r>
            <w:r>
              <w:rPr>
                <w:rFonts w:hint="eastAsia"/>
                <w:color w:val="auto"/>
                <w:lang w:eastAsia="zh-CN"/>
              </w:rPr>
              <w:t>，</w:t>
            </w:r>
            <w:r>
              <w:rPr>
                <w:rFonts w:hint="eastAsia"/>
                <w:color w:val="auto"/>
                <w:lang w:val="en-US" w:eastAsia="zh-CN"/>
              </w:rPr>
              <w:t>不属于</w:t>
            </w:r>
            <w:r>
              <w:rPr>
                <w:rFonts w:hint="eastAsia" w:ascii="Times New Roman" w:hAnsi="Times New Roman" w:eastAsia="宋体" w:cs="Times New Roman"/>
                <w:snapToGrid/>
                <w:color w:val="auto"/>
                <w:spacing w:val="0"/>
                <w:kern w:val="2"/>
                <w:sz w:val="24"/>
                <w:szCs w:val="24"/>
                <w:highlight w:val="none"/>
                <w:lang w:val="en-US" w:eastAsia="zh-CN" w:bidi="ar-SA"/>
              </w:rPr>
              <w:t>限制和禁止勘查开采矿种。</w:t>
            </w:r>
          </w:p>
          <w:p>
            <w:pPr>
              <w:bidi w:val="0"/>
              <w:rPr>
                <w:color w:val="auto"/>
              </w:rPr>
            </w:pPr>
            <w:r>
              <w:rPr>
                <w:rFonts w:hint="eastAsia" w:ascii="Times New Roman" w:hAnsi="Times New Roman" w:eastAsia="宋体" w:cs="Times New Roman"/>
                <w:b/>
                <w:bCs/>
                <w:snapToGrid/>
                <w:color w:val="auto"/>
                <w:spacing w:val="0"/>
                <w:kern w:val="2"/>
                <w:sz w:val="24"/>
                <w:szCs w:val="24"/>
                <w:highlight w:val="none"/>
                <w:lang w:val="en-US" w:eastAsia="zh-CN" w:bidi="ar-SA"/>
              </w:rPr>
              <w:t>摘要：</w:t>
            </w:r>
            <w:r>
              <w:rPr>
                <w:color w:val="auto"/>
              </w:rPr>
              <w:t>矿产资源</w:t>
            </w:r>
            <w:r>
              <w:rPr>
                <w:rFonts w:hint="default"/>
                <w:color w:val="auto"/>
              </w:rPr>
              <w:t>勘查开发区域布局</w:t>
            </w:r>
          </w:p>
          <w:p>
            <w:pPr>
              <w:bidi w:val="0"/>
              <w:rPr>
                <w:rFonts w:hint="default"/>
                <w:color w:val="auto"/>
              </w:rPr>
            </w:pPr>
            <w:r>
              <w:rPr>
                <w:rFonts w:hint="default"/>
                <w:color w:val="auto"/>
              </w:rPr>
              <w:t>根据矿产资源分布特点和区域经济发展现状，对在国民经济中占有重要地位的主要矿产资源开发利用进行优化布局。围绕自治区产业发展需要和地域经济分工要求，形成矿产开发利用与加工的产业链。按照“分散采矿、分片选矿、集中冶炼”的方针，整顿“散、小、弱”选冶方式，建设矿产开采及加工基地。</w:t>
            </w:r>
          </w:p>
          <w:p>
            <w:pPr>
              <w:bidi w:val="0"/>
              <w:rPr>
                <w:rFonts w:hint="eastAsia" w:eastAsia="宋体"/>
                <w:color w:val="auto"/>
                <w:lang w:eastAsia="zh-CN"/>
              </w:rPr>
            </w:pPr>
            <w:r>
              <w:rPr>
                <w:rFonts w:hint="default"/>
                <w:color w:val="auto"/>
              </w:rPr>
              <w:t>落实细化自治区矿产资源规划“库尔勒塔什店煤炭国家规划矿区”“焉耆霍拉山脉石英矿重点勘查区”在焉耆县境内的规划部署，结合工业发展布局，规划建设3个矿产资源勘查开发基地和2个矿产资源加工产业园区</w:t>
            </w:r>
            <w:r>
              <w:rPr>
                <w:rFonts w:hint="eastAsia"/>
                <w:color w:val="auto"/>
                <w:lang w:eastAsia="zh-CN"/>
              </w:rPr>
              <w:t>。</w:t>
            </w:r>
          </w:p>
          <w:p>
            <w:pPr>
              <w:keepNext w:val="0"/>
              <w:keepLines w:val="0"/>
              <w:pageBreakBefore w:val="0"/>
              <w:kinsoku/>
              <w:wordWrap w:val="0"/>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符合性</w:t>
            </w:r>
            <w:r>
              <w:rPr>
                <w:rFonts w:hint="eastAsia" w:ascii="Times New Roman" w:hAnsi="Times New Roman" w:eastAsia="宋体" w:cs="Times New Roman"/>
                <w:snapToGrid/>
                <w:color w:val="auto"/>
                <w:spacing w:val="0"/>
                <w:kern w:val="2"/>
                <w:sz w:val="24"/>
                <w:szCs w:val="24"/>
                <w:highlight w:val="none"/>
                <w:lang w:val="en-US" w:eastAsia="zh-CN" w:bidi="ar-SA"/>
              </w:rPr>
              <w:t>：本项目位于</w:t>
            </w:r>
            <w:r>
              <w:rPr>
                <w:rFonts w:hint="default"/>
                <w:color w:val="auto"/>
              </w:rPr>
              <w:t>“焉耆霍拉山脉石英矿重点勘查区”</w:t>
            </w:r>
            <w:r>
              <w:rPr>
                <w:rFonts w:hint="eastAsia"/>
                <w:color w:val="auto"/>
                <w:lang w:eastAsia="zh-CN"/>
              </w:rPr>
              <w:t>，</w:t>
            </w:r>
            <w:r>
              <w:rPr>
                <w:rFonts w:hint="eastAsia"/>
                <w:color w:val="auto"/>
                <w:lang w:val="en-US" w:eastAsia="zh-CN"/>
              </w:rPr>
              <w:t>符合</w:t>
            </w:r>
            <w:r>
              <w:rPr>
                <w:color w:val="auto"/>
              </w:rPr>
              <w:t>矿产资源</w:t>
            </w:r>
            <w:r>
              <w:rPr>
                <w:rFonts w:hint="default"/>
                <w:color w:val="auto"/>
              </w:rPr>
              <w:t>勘查开发区域布局</w:t>
            </w:r>
            <w:r>
              <w:rPr>
                <w:rFonts w:hint="eastAsia" w:ascii="Times New Roman" w:hAnsi="Times New Roman" w:eastAsia="宋体" w:cs="Times New Roman"/>
                <w:snapToGrid/>
                <w:color w:val="auto"/>
                <w:spacing w:val="0"/>
                <w:kern w:val="2"/>
                <w:sz w:val="24"/>
                <w:szCs w:val="24"/>
                <w:highlight w:val="none"/>
                <w:lang w:val="en-US" w:eastAsia="zh-CN" w:bidi="ar-SA"/>
              </w:rPr>
              <w:t>。</w:t>
            </w:r>
          </w:p>
          <w:p>
            <w:pPr>
              <w:pStyle w:val="2"/>
              <w:keepNext w:val="0"/>
              <w:keepLines w:val="0"/>
              <w:pageBreakBefore w:val="0"/>
              <w:kinsoku/>
              <w:overflowPunct/>
              <w:topLinePunct w:val="0"/>
              <w:autoSpaceDE/>
              <w:autoSpaceDN/>
              <w:bidi w:val="0"/>
              <w:adjustRightInd/>
              <w:snapToGrid w:val="0"/>
              <w:spacing w:before="0" w:after="0" w:line="360" w:lineRule="auto"/>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《新疆维吾尔自治区矿产资源总体规划（2021</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2025年）环境影响报告书》</w:t>
            </w:r>
            <w:r>
              <w:rPr>
                <w:rFonts w:hint="eastAsia" w:ascii="Times New Roman" w:hAnsi="Times New Roman" w:eastAsia="宋体" w:cs="Times New Roman"/>
                <w:b/>
                <w:bCs/>
                <w:color w:val="auto"/>
                <w:kern w:val="2"/>
                <w:sz w:val="24"/>
                <w:szCs w:val="24"/>
                <w:highlight w:val="none"/>
                <w:lang w:val="en-US" w:eastAsia="zh-CN" w:bidi="ar-SA"/>
              </w:rPr>
              <w:t>结论</w:t>
            </w:r>
            <w:r>
              <w:rPr>
                <w:rFonts w:hint="default" w:ascii="Times New Roman" w:hAnsi="Times New Roman" w:eastAsia="宋体" w:cs="Times New Roman"/>
                <w:b/>
                <w:bCs/>
                <w:color w:val="auto"/>
                <w:kern w:val="2"/>
                <w:sz w:val="24"/>
                <w:szCs w:val="24"/>
                <w:highlight w:val="none"/>
                <w:lang w:val="en-US" w:eastAsia="zh-CN" w:bidi="ar-SA"/>
              </w:rPr>
              <w:t>符合性分析</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2.1</w:t>
            </w:r>
            <w:r>
              <w:rPr>
                <w:rFonts w:hint="default" w:ascii="Times New Roman" w:hAnsi="Times New Roman" w:eastAsia="宋体" w:cs="Times New Roman"/>
                <w:color w:val="auto"/>
                <w:kern w:val="0"/>
                <w:sz w:val="24"/>
                <w:szCs w:val="24"/>
                <w:highlight w:val="none"/>
                <w:lang w:val="en-US" w:eastAsia="zh-CN" w:bidi="ar"/>
              </w:rPr>
              <w:t>本规划要求大力推进绿色矿山建设。</w:t>
            </w:r>
            <w:r>
              <w:rPr>
                <w:rFonts w:hint="eastAsia" w:ascii="宋体" w:hAnsi="宋体" w:eastAsia="宋体" w:cs="宋体"/>
                <w:color w:val="auto"/>
                <w:kern w:val="0"/>
                <w:sz w:val="24"/>
                <w:szCs w:val="24"/>
                <w:highlight w:val="none"/>
                <w:lang w:val="en-US" w:eastAsia="zh-CN" w:bidi="ar"/>
              </w:rPr>
              <w:t>“十四五”</w:t>
            </w:r>
            <w:r>
              <w:rPr>
                <w:rFonts w:hint="default" w:ascii="Times New Roman" w:hAnsi="Times New Roman" w:eastAsia="宋体" w:cs="Times New Roman"/>
                <w:color w:val="auto"/>
                <w:kern w:val="0"/>
                <w:sz w:val="24"/>
                <w:szCs w:val="24"/>
                <w:highlight w:val="none"/>
                <w:lang w:val="en-US" w:eastAsia="zh-CN" w:bidi="ar"/>
              </w:rPr>
              <w:t>期间新建矿山全部达到绿色矿山建设要求，生产矿山加快改造升级，逐步达到要求。力争至2025年大型矿山60%以上、中型矿山40%以上达到绿色矿山建设要求，小型生产矿山按照绿色矿山标准规范管理。</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2.2本规划要求，创建绿色矿业发展示范区。按照政策引导、地方主体、突出特色、创新驱动、示范引领的原则，统筹生态保护与经济发展，优化矿山布局，调整矿业产业结构，全域推进绿色矿山建设，全面推进绿色勘查，统筹矿区生态环境综合整治，创新绿色发展管理机制，实现矿山开采的安全、高效、经济和效益最大化。</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2.3本规划要求，按照</w:t>
            </w:r>
            <w:r>
              <w:rPr>
                <w:rFonts w:hint="eastAsia" w:ascii="Times New Roman" w:hAnsi="Times New Roman" w:eastAsia="宋体" w:cs="Times New Roman"/>
                <w:color w:val="auto"/>
                <w:kern w:val="0"/>
                <w:sz w:val="24"/>
                <w:szCs w:val="24"/>
                <w:highlight w:val="none"/>
                <w:lang w:val="en-US" w:eastAsia="zh-CN" w:bidi="ar"/>
              </w:rPr>
              <w:t>山水林田湖草沙一体化保护</w:t>
            </w:r>
            <w:r>
              <w:rPr>
                <w:rFonts w:hint="default" w:ascii="Times New Roman" w:hAnsi="Times New Roman" w:eastAsia="宋体" w:cs="Times New Roman"/>
                <w:color w:val="auto"/>
                <w:kern w:val="0"/>
                <w:sz w:val="24"/>
                <w:szCs w:val="24"/>
                <w:highlight w:val="none"/>
                <w:lang w:val="en-US" w:eastAsia="zh-CN" w:bidi="ar"/>
              </w:rPr>
              <w:t>和修复的要求，加强矿山地质环境调查与监测，创新矿山地质环境治理恢复模式与机制，完善源头管理与过程监管，统筹部署历史遗留废弃工矿土地整治工程和矿区土地复垦工作，逐步构建起矿山地质环境保护与治理恢复及矿区土地复垦的长效机制。</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bidi="ar"/>
              </w:rPr>
              <w:t>本规划要求，完善源头管理，强化保护预防。强化持证矿山《矿山地质环境保护与土地复垦方案》审查、公示和实施，确保方案的科学性、合理性和严肃性。</w:t>
            </w:r>
            <w:r>
              <w:rPr>
                <w:rFonts w:hint="eastAsia" w:ascii="宋体" w:hAnsi="宋体" w:eastAsia="宋体" w:cs="宋体"/>
                <w:color w:val="auto"/>
                <w:kern w:val="0"/>
                <w:sz w:val="24"/>
                <w:szCs w:val="24"/>
                <w:highlight w:val="none"/>
                <w:lang w:val="en-US" w:eastAsia="zh-CN" w:bidi="ar"/>
              </w:rPr>
              <w:t>坚持“谁开发、谁保护，谁破坏、谁治理，谁投资、谁受益”的原</w:t>
            </w:r>
            <w:r>
              <w:rPr>
                <w:rFonts w:hint="default" w:ascii="Times New Roman" w:hAnsi="Times New Roman" w:eastAsia="宋体" w:cs="Times New Roman"/>
                <w:color w:val="auto"/>
                <w:kern w:val="0"/>
                <w:sz w:val="24"/>
                <w:szCs w:val="24"/>
                <w:highlight w:val="none"/>
                <w:lang w:val="en-US" w:eastAsia="zh-CN" w:bidi="ar"/>
              </w:rPr>
              <w:t>则，压实矿山企业严格按照《方案》落实地质环境保护与土地复垦责任义务。矿山地质环境保护与土地复垦应当与矿产资源开采活动同步进行，加强水资源节约和保护，矿山关闭前必须完成矿山生态修复的义务。采矿权转让，受让企业和整合矿山要按照《方案》要求，继续承担矿山地质环境保护与土地复垦义务和违约责任。</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本项目资源利用效率较高，严格执</w:t>
            </w:r>
            <w:r>
              <w:rPr>
                <w:rFonts w:hint="eastAsia" w:ascii="宋体" w:hAnsi="宋体" w:eastAsia="宋体" w:cs="宋体"/>
                <w:color w:val="auto"/>
                <w:sz w:val="24"/>
                <w:szCs w:val="24"/>
                <w:highlight w:val="none"/>
                <w:lang w:val="en-US" w:eastAsia="zh-CN"/>
              </w:rPr>
              <w:t>行“三率”</w:t>
            </w:r>
            <w:r>
              <w:rPr>
                <w:rFonts w:hint="default" w:ascii="Times New Roman" w:hAnsi="Times New Roman" w:eastAsia="宋体" w:cs="Times New Roman"/>
                <w:color w:val="auto"/>
                <w:sz w:val="24"/>
                <w:szCs w:val="24"/>
                <w:highlight w:val="none"/>
                <w:lang w:val="en-US" w:eastAsia="zh-CN"/>
              </w:rPr>
              <w:t>考核，共伴生矿产资源、固体废弃物综合利用、处理水平较高，基本实现矿山生产与自然生态和谐共生。</w:t>
            </w:r>
            <w:r>
              <w:rPr>
                <w:rFonts w:hint="default"/>
                <w:color w:val="auto"/>
                <w:lang w:val="en-US" w:eastAsia="zh-CN"/>
              </w:rPr>
              <w:t>本项目已于202</w:t>
            </w:r>
            <w:r>
              <w:rPr>
                <w:rFonts w:hint="eastAsia"/>
                <w:color w:val="auto"/>
                <w:lang w:val="en-US" w:eastAsia="zh-CN"/>
              </w:rPr>
              <w:t>5</w:t>
            </w:r>
            <w:r>
              <w:rPr>
                <w:rFonts w:hint="default"/>
                <w:color w:val="auto"/>
                <w:lang w:val="en-US" w:eastAsia="zh-CN"/>
              </w:rPr>
              <w:t>年</w:t>
            </w:r>
            <w:r>
              <w:rPr>
                <w:rFonts w:hint="eastAsia"/>
                <w:color w:val="auto"/>
                <w:lang w:val="en-US" w:eastAsia="zh-CN"/>
              </w:rPr>
              <w:t>1</w:t>
            </w:r>
            <w:r>
              <w:rPr>
                <w:rFonts w:hint="default"/>
                <w:color w:val="auto"/>
                <w:lang w:val="en-US" w:eastAsia="zh-CN"/>
              </w:rPr>
              <w:t>月</w:t>
            </w:r>
            <w:r>
              <w:rPr>
                <w:rFonts w:hint="eastAsia"/>
                <w:color w:val="auto"/>
                <w:lang w:val="en-US" w:eastAsia="zh-CN"/>
              </w:rPr>
              <w:t>20</w:t>
            </w:r>
            <w:r>
              <w:rPr>
                <w:rFonts w:hint="default"/>
                <w:color w:val="auto"/>
                <w:lang w:val="en-US" w:eastAsia="zh-CN"/>
              </w:rPr>
              <w:t>日</w:t>
            </w:r>
            <w:r>
              <w:rPr>
                <w:rFonts w:hint="eastAsia"/>
                <w:color w:val="auto"/>
                <w:lang w:val="en-US" w:eastAsia="zh-CN"/>
              </w:rPr>
              <w:t>取得采矿许可证，证号C6528002025017250157892</w:t>
            </w:r>
            <w:r>
              <w:rPr>
                <w:rFonts w:hint="default"/>
                <w:color w:val="auto"/>
                <w:lang w:val="en-US" w:eastAsia="zh-CN"/>
              </w:rPr>
              <w:t>，该矿区</w:t>
            </w:r>
            <w:r>
              <w:rPr>
                <w:rFonts w:hint="eastAsia"/>
                <w:color w:val="auto"/>
                <w:lang w:val="en-US" w:eastAsia="zh-CN"/>
              </w:rPr>
              <w:t>属于可开采区域</w:t>
            </w:r>
            <w:r>
              <w:rPr>
                <w:rFonts w:hint="eastAsia" w:ascii="Times New Roman" w:hAnsi="Times New Roman" w:eastAsia="宋体" w:cs="Times New Roman"/>
                <w:color w:val="auto"/>
                <w:sz w:val="24"/>
                <w:szCs w:val="24"/>
                <w:highlight w:val="none"/>
                <w:lang w:val="en-US" w:eastAsia="zh-CN"/>
              </w:rPr>
              <w:t>，已取得</w:t>
            </w:r>
            <w:r>
              <w:rPr>
                <w:rFonts w:hint="default" w:ascii="Times New Roman" w:hAnsi="Times New Roman" w:eastAsia="宋体" w:cs="Times New Roman"/>
                <w:color w:val="auto"/>
                <w:sz w:val="24"/>
                <w:szCs w:val="24"/>
                <w:highlight w:val="none"/>
                <w:lang w:val="en-US" w:eastAsia="zh-CN"/>
              </w:rPr>
              <w:t>《</w:t>
            </w:r>
            <w:r>
              <w:rPr>
                <w:color w:val="auto"/>
              </w:rPr>
              <w:t>新疆富华石业有限公司新疆焉耆县霍拉山</w:t>
            </w:r>
            <w:r>
              <w:rPr>
                <w:rFonts w:hint="eastAsia"/>
                <w:color w:val="auto"/>
                <w:lang w:eastAsia="zh-CN"/>
              </w:rPr>
              <w:t>14</w:t>
            </w:r>
            <w:r>
              <w:rPr>
                <w:color w:val="auto"/>
              </w:rPr>
              <w:t>号花岗岩矿矿产资源开发利用与生态保护修复方案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审查意见</w:t>
            </w:r>
            <w:r>
              <w:rPr>
                <w:rFonts w:hint="default" w:ascii="Times New Roman" w:hAnsi="Times New Roman" w:eastAsia="宋体" w:cs="Times New Roman"/>
                <w:color w:val="auto"/>
                <w:sz w:val="24"/>
                <w:szCs w:val="24"/>
                <w:highlight w:val="none"/>
                <w:lang w:val="en-US" w:eastAsia="zh-CN"/>
              </w:rPr>
              <w:t>，通过严格</w:t>
            </w:r>
            <w:r>
              <w:rPr>
                <w:rFonts w:hint="eastAsia" w:ascii="Times New Roman" w:hAnsi="Times New Roman" w:eastAsia="宋体" w:cs="Times New Roman"/>
                <w:color w:val="auto"/>
                <w:sz w:val="24"/>
                <w:szCs w:val="24"/>
                <w:highlight w:val="none"/>
                <w:lang w:val="en-US" w:eastAsia="zh-CN"/>
              </w:rPr>
              <w:t>执行</w:t>
            </w:r>
            <w:r>
              <w:rPr>
                <w:rFonts w:hint="default" w:ascii="Times New Roman" w:hAnsi="Times New Roman" w:eastAsia="宋体" w:cs="Times New Roman"/>
                <w:color w:val="auto"/>
                <w:sz w:val="24"/>
                <w:szCs w:val="24"/>
                <w:highlight w:val="none"/>
                <w:lang w:val="en-US" w:eastAsia="zh-CN"/>
              </w:rPr>
              <w:t>方案中所包含的土地复垦方案，以保证市场化矿山生态修复不断推进。</w:t>
            </w:r>
          </w:p>
          <w:p>
            <w:pPr>
              <w:pStyle w:val="2"/>
              <w:keepNext w:val="0"/>
              <w:keepLines w:val="0"/>
              <w:pageBreakBefore w:val="0"/>
              <w:widowControl/>
              <w:kinsoku/>
              <w:wordWrap w:val="0"/>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开采矿种：饰面用花岗岩；开采方式：露天开采；生产规模：</w:t>
            </w:r>
            <w:r>
              <w:rPr>
                <w:rFonts w:hint="eastAsia" w:ascii="Times New Roman" w:hAnsi="Times New Roman" w:eastAsia="宋体"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万</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lang w:val="en-US" w:eastAsia="zh-CN" w:bidi="ar-SA"/>
              </w:rPr>
              <w:t>。矿区面积：</w:t>
            </w:r>
            <w:r>
              <w:rPr>
                <w:rFonts w:hint="eastAsia" w:ascii="Times New Roman" w:hAnsi="Times New Roman" w:eastAsia="宋体" w:cs="Times New Roman"/>
                <w:color w:val="auto"/>
                <w:kern w:val="2"/>
                <w:sz w:val="24"/>
                <w:szCs w:val="24"/>
                <w:highlight w:val="none"/>
                <w:lang w:val="en-US" w:eastAsia="zh-CN" w:bidi="ar-SA"/>
              </w:rPr>
              <w:t>1.384</w:t>
            </w:r>
            <w:r>
              <w:rPr>
                <w:rFonts w:hint="default" w:ascii="Times New Roman" w:hAnsi="Times New Roman" w:eastAsia="宋体" w:cs="Times New Roman"/>
                <w:color w:val="auto"/>
                <w:kern w:val="2"/>
                <w:sz w:val="24"/>
                <w:szCs w:val="24"/>
                <w:highlight w:val="none"/>
                <w:lang w:val="en-US" w:eastAsia="zh-CN" w:bidi="ar-SA"/>
              </w:rPr>
              <w:t>km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，共有</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个拐点测定，详见附件</w:t>
            </w:r>
            <w:r>
              <w:rPr>
                <w:rFonts w:hint="eastAsia" w:ascii="Times New Roman" w:hAnsi="Times New Roman" w:eastAsia="宋体" w:cs="Times New Roman"/>
                <w:color w:val="auto"/>
                <w:kern w:val="2"/>
                <w:sz w:val="24"/>
                <w:szCs w:val="24"/>
                <w:highlight w:val="none"/>
                <w:lang w:val="en-US" w:eastAsia="zh-CN" w:bidi="ar-SA"/>
              </w:rPr>
              <w:t>采矿许可证</w:t>
            </w:r>
            <w:r>
              <w:rPr>
                <w:rFonts w:hint="default" w:ascii="Times New Roman" w:hAnsi="Times New Roman" w:eastAsia="宋体" w:cs="Times New Roman"/>
                <w:color w:val="auto"/>
                <w:kern w:val="2"/>
                <w:sz w:val="24"/>
                <w:szCs w:val="24"/>
                <w:highlight w:val="none"/>
                <w:lang w:val="en-US" w:eastAsia="zh-CN" w:bidi="ar-SA"/>
              </w:rPr>
              <w:t>。</w:t>
            </w:r>
          </w:p>
          <w:p>
            <w:pPr>
              <w:pStyle w:val="2"/>
              <w:keepNext w:val="0"/>
              <w:keepLines w:val="0"/>
              <w:pageBreakBefore w:val="0"/>
              <w:widowControl/>
              <w:kinsoku/>
              <w:wordWrap w:val="0"/>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在矿山开采全过程，实施科学有序的开采，对矿区及周围生态环境扰动控制在可控范围内，实现环境生态化，开采方式科学化，资源利用高效化，企业管理规范化，矿区和谐化，实现绿色矿山建设。</w:t>
            </w:r>
          </w:p>
          <w:p>
            <w:pPr>
              <w:pStyle w:val="2"/>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综上，该项目与</w:t>
            </w:r>
            <w:r>
              <w:rPr>
                <w:rFonts w:hint="default" w:ascii="Times New Roman" w:hAnsi="Times New Roman" w:eastAsia="宋体" w:cs="Times New Roman"/>
                <w:b w:val="0"/>
                <w:bCs w:val="0"/>
                <w:color w:val="auto"/>
                <w:kern w:val="2"/>
                <w:sz w:val="24"/>
                <w:szCs w:val="24"/>
                <w:highlight w:val="none"/>
                <w:lang w:val="en-US" w:eastAsia="zh-CN" w:bidi="ar-SA"/>
              </w:rPr>
              <w:t>《新疆维吾尔自治区矿产资源总体规划（2021</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2025年）环境影响报告书》相符。</w:t>
            </w:r>
          </w:p>
          <w:p>
            <w:pPr>
              <w:pStyle w:val="2"/>
              <w:keepNext w:val="0"/>
              <w:keepLines w:val="0"/>
              <w:pageBreakBefore w:val="0"/>
              <w:kinsoku/>
              <w:overflowPunct/>
              <w:topLinePunct w:val="0"/>
              <w:autoSpaceDE/>
              <w:autoSpaceDN/>
              <w:bidi w:val="0"/>
              <w:adjustRightInd/>
              <w:snapToGrid w:val="0"/>
              <w:spacing w:before="0" w:after="0"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0"/>
                <w:sz w:val="24"/>
                <w:szCs w:val="24"/>
                <w:highlight w:val="none"/>
                <w:lang w:val="en-US" w:eastAsia="zh-CN" w:bidi="ar"/>
              </w:rPr>
              <w:t>《关于〈新疆维吾尔自治区矿产资源总体规划（2021</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2025年）环境影响报告书〉的审查意见》符合性分析</w:t>
            </w:r>
          </w:p>
          <w:p>
            <w:pPr>
              <w:pStyle w:val="2"/>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3.1坚持生态优先</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w:t>
            </w:r>
            <w:r>
              <w:rPr>
                <w:rFonts w:hint="eastAsia" w:ascii="宋体" w:hAnsi="宋体" w:eastAsia="宋体" w:cs="宋体"/>
                <w:b w:val="0"/>
                <w:bCs w:val="0"/>
                <w:color w:val="auto"/>
                <w:kern w:val="0"/>
                <w:sz w:val="24"/>
                <w:szCs w:val="24"/>
                <w:highlight w:val="none"/>
                <w:lang w:val="en-US" w:eastAsia="zh-CN" w:bidi="ar"/>
              </w:rPr>
              <w:t>用“三率”（即开采回采率选矿回收率、综合利用率）相</w:t>
            </w:r>
            <w:r>
              <w:rPr>
                <w:rFonts w:hint="default" w:ascii="Times New Roman" w:hAnsi="Times New Roman" w:eastAsia="宋体" w:cs="Times New Roman"/>
                <w:b w:val="0"/>
                <w:bCs w:val="0"/>
                <w:color w:val="auto"/>
                <w:kern w:val="0"/>
                <w:sz w:val="24"/>
                <w:szCs w:val="24"/>
                <w:highlight w:val="none"/>
                <w:lang w:val="en-US" w:eastAsia="zh-CN" w:bidi="ar"/>
              </w:rPr>
              <w:t>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p>
            <w:pPr>
              <w:pStyle w:val="2"/>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3.5加强矿山生态修复和环境治理。结合区域生态环境质量改善目标和主要生态环境问题，分区域、分矿种确定矿山生态修复和环境治理总体要求，将目标任务分解细化到具体矿区、矿山，确</w:t>
            </w:r>
            <w:r>
              <w:rPr>
                <w:rFonts w:hint="eastAsia" w:ascii="宋体" w:hAnsi="宋体" w:eastAsia="宋体" w:cs="宋体"/>
                <w:b w:val="0"/>
                <w:bCs w:val="0"/>
                <w:color w:val="auto"/>
                <w:kern w:val="0"/>
                <w:sz w:val="24"/>
                <w:szCs w:val="24"/>
                <w:highlight w:val="none"/>
                <w:lang w:val="en-US" w:eastAsia="zh-CN" w:bidi="ar"/>
              </w:rPr>
              <w:t>保“十四五”规</w:t>
            </w:r>
            <w:r>
              <w:rPr>
                <w:rFonts w:hint="default" w:ascii="Times New Roman" w:hAnsi="Times New Roman" w:eastAsia="宋体" w:cs="Times New Roman"/>
                <w:b w:val="0"/>
                <w:bCs w:val="0"/>
                <w:color w:val="auto"/>
                <w:kern w:val="0"/>
                <w:sz w:val="24"/>
                <w:szCs w:val="24"/>
                <w:highlight w:val="none"/>
                <w:lang w:val="en-US" w:eastAsia="zh-CN" w:bidi="ar"/>
              </w:rPr>
              <w:t>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本项目资源利用效率较高，严格执</w:t>
            </w:r>
            <w:r>
              <w:rPr>
                <w:rFonts w:hint="eastAsia" w:ascii="宋体" w:hAnsi="宋体" w:eastAsia="宋体" w:cs="宋体"/>
                <w:color w:val="auto"/>
                <w:sz w:val="24"/>
                <w:szCs w:val="24"/>
                <w:highlight w:val="none"/>
                <w:lang w:val="en-US" w:eastAsia="zh-CN"/>
              </w:rPr>
              <w:t>行“三率”考核，共伴生矿产资源、固体废弃物综合利用、处理水平较高，基</w:t>
            </w:r>
            <w:r>
              <w:rPr>
                <w:rFonts w:hint="default" w:ascii="Times New Roman" w:hAnsi="Times New Roman" w:eastAsia="宋体" w:cs="Times New Roman"/>
                <w:color w:val="auto"/>
                <w:sz w:val="24"/>
                <w:szCs w:val="24"/>
                <w:highlight w:val="none"/>
                <w:lang w:val="en-US" w:eastAsia="zh-CN"/>
              </w:rPr>
              <w:t>本实现矿山生产与自然生态和谐共生。本项目矿山地质环境保护与治理恢复责任机制得到全面落实，</w:t>
            </w:r>
            <w:r>
              <w:rPr>
                <w:rFonts w:hint="eastAsia" w:ascii="Times New Roman" w:hAnsi="Times New Roman" w:eastAsia="宋体" w:cs="Times New Roman"/>
                <w:color w:val="auto"/>
                <w:sz w:val="24"/>
                <w:szCs w:val="24"/>
                <w:highlight w:val="none"/>
                <w:lang w:val="en-US" w:eastAsia="zh-CN"/>
              </w:rPr>
              <w:t>已取得</w:t>
            </w:r>
            <w:r>
              <w:rPr>
                <w:rFonts w:hint="default" w:ascii="Times New Roman" w:hAnsi="Times New Roman" w:eastAsia="宋体" w:cs="Times New Roman"/>
                <w:color w:val="auto"/>
                <w:sz w:val="24"/>
                <w:szCs w:val="24"/>
                <w:highlight w:val="none"/>
                <w:lang w:val="en-US" w:eastAsia="zh-CN"/>
              </w:rPr>
              <w:t>《</w:t>
            </w:r>
            <w:r>
              <w:rPr>
                <w:color w:val="auto"/>
              </w:rPr>
              <w:t>新疆富华石业有限公司新疆焉耆县霍拉山</w:t>
            </w:r>
            <w:r>
              <w:rPr>
                <w:rFonts w:hint="eastAsia"/>
                <w:color w:val="auto"/>
                <w:lang w:eastAsia="zh-CN"/>
              </w:rPr>
              <w:t>14</w:t>
            </w:r>
            <w:r>
              <w:rPr>
                <w:color w:val="auto"/>
              </w:rPr>
              <w:t>号花岗岩矿矿产资源开发利用与生态保护修复方案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审查意见</w:t>
            </w:r>
            <w:r>
              <w:rPr>
                <w:rFonts w:hint="default" w:ascii="Times New Roman" w:hAnsi="Times New Roman" w:eastAsia="宋体" w:cs="Times New Roman"/>
                <w:color w:val="auto"/>
                <w:sz w:val="24"/>
                <w:szCs w:val="24"/>
                <w:highlight w:val="none"/>
                <w:lang w:val="en-US" w:eastAsia="zh-CN"/>
              </w:rPr>
              <w:t>，通过</w:t>
            </w:r>
            <w:r>
              <w:rPr>
                <w:rFonts w:hint="eastAsia" w:ascii="Times New Roman" w:hAnsi="Times New Roman" w:eastAsia="宋体" w:cs="Times New Roman"/>
                <w:color w:val="auto"/>
                <w:sz w:val="24"/>
                <w:szCs w:val="24"/>
                <w:highlight w:val="none"/>
                <w:lang w:val="en-US" w:eastAsia="zh-CN"/>
              </w:rPr>
              <w:t>严格执行</w:t>
            </w:r>
            <w:r>
              <w:rPr>
                <w:rFonts w:hint="eastAsia" w:ascii="宋体" w:hAnsi="宋体" w:eastAsia="宋体" w:cs="宋体"/>
                <w:color w:val="auto"/>
                <w:sz w:val="24"/>
                <w:szCs w:val="24"/>
                <w:highlight w:val="none"/>
                <w:lang w:val="en-US" w:eastAsia="zh-CN"/>
              </w:rPr>
              <w:t>方案中所包含的土地复垦方案，以保证市场化矿山生态修复不断推进以及“绿水青山就是金山银山”理念的</w:t>
            </w:r>
            <w:r>
              <w:rPr>
                <w:rFonts w:hint="default" w:ascii="Times New Roman" w:hAnsi="Times New Roman" w:eastAsia="宋体" w:cs="Times New Roman"/>
                <w:color w:val="auto"/>
                <w:sz w:val="24"/>
                <w:szCs w:val="24"/>
                <w:highlight w:val="none"/>
                <w:lang w:val="en-US" w:eastAsia="zh-CN"/>
              </w:rPr>
              <w:t>实行。</w:t>
            </w:r>
          </w:p>
          <w:p>
            <w:pPr>
              <w:pStyle w:val="2"/>
              <w:keepNext w:val="0"/>
              <w:keepLines w:val="0"/>
              <w:pageBreakBefore w:val="0"/>
              <w:widowControl/>
              <w:kinsoku/>
              <w:wordWrap w:val="0"/>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在矿山开采全过程，实施科学有序的开采，对矿区及周围生态环境扰动控制在可控范围内，实现环境生态化，开采方式科学化，资源利用高效化，企业管理规范化，矿区和谐化，实现绿色矿山建设。</w:t>
            </w:r>
          </w:p>
          <w:p>
            <w:pPr>
              <w:pStyle w:val="2"/>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snapToGrid/>
                <w:color w:val="auto"/>
                <w:spacing w:val="0"/>
                <w:kern w:val="2"/>
                <w:sz w:val="24"/>
                <w:szCs w:val="24"/>
                <w:highlight w:val="none"/>
                <w:lang w:val="en-US" w:eastAsia="zh-CN" w:bidi="ar-SA"/>
              </w:rPr>
              <w:t>综上，该项目符合</w:t>
            </w:r>
            <w:r>
              <w:rPr>
                <w:rFonts w:hint="default" w:ascii="Times New Roman" w:hAnsi="Times New Roman" w:eastAsia="宋体" w:cs="Times New Roman"/>
                <w:b w:val="0"/>
                <w:bCs w:val="0"/>
                <w:snapToGrid/>
                <w:color w:val="auto"/>
                <w:spacing w:val="0"/>
                <w:kern w:val="2"/>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
              </w:rPr>
              <w:t>关于〈新疆维吾尔自治区矿产资源总体规划（2021</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2025年）环境影响报告书〉的审查意见</w:t>
            </w:r>
            <w:r>
              <w:rPr>
                <w:rFonts w:hint="default" w:ascii="Times New Roman" w:hAnsi="Times New Roman" w:eastAsia="宋体" w:cs="Times New Roman"/>
                <w:b w:val="0"/>
                <w:bCs w:val="0"/>
                <w:snapToGrid/>
                <w:color w:val="auto"/>
                <w:spacing w:val="0"/>
                <w:kern w:val="2"/>
                <w:sz w:val="24"/>
                <w:szCs w:val="24"/>
                <w:highlight w:val="none"/>
                <w:lang w:val="en-US" w:eastAsia="zh-CN" w:bidi="ar-SA"/>
              </w:rPr>
              <w:t>》</w:t>
            </w:r>
            <w:r>
              <w:rPr>
                <w:rFonts w:hint="default" w:ascii="Times New Roman" w:hAnsi="Times New Roman" w:eastAsia="宋体" w:cs="Times New Roman"/>
                <w:snapToGrid/>
                <w:color w:val="auto"/>
                <w:spacing w:val="0"/>
                <w:kern w:val="2"/>
                <w:sz w:val="24"/>
                <w:szCs w:val="24"/>
                <w:highlight w:val="none"/>
                <w:lang w:val="en-US" w:eastAsia="zh-CN" w:bidi="ar-SA"/>
              </w:rPr>
              <w:t>。</w:t>
            </w:r>
          </w:p>
          <w:p>
            <w:pPr>
              <w:keepNext w:val="0"/>
              <w:keepLines w:val="0"/>
              <w:pageBreakBefore w:val="0"/>
              <w:kinsoku/>
              <w:wordWrap w:val="0"/>
              <w:overflowPunct/>
              <w:topLinePunct w:val="0"/>
              <w:autoSpaceDE/>
              <w:autoSpaceDN/>
              <w:bidi w:val="0"/>
              <w:adjustRightInd/>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《巴音郭楞蒙古自治州矿产资源总体规划》（2021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2025年）</w:t>
            </w:r>
            <w:r>
              <w:rPr>
                <w:rFonts w:hint="eastAsia" w:cs="Times New Roman"/>
                <w:b/>
                <w:bCs/>
                <w:color w:val="auto"/>
                <w:sz w:val="24"/>
                <w:szCs w:val="24"/>
                <w:highlight w:val="none"/>
                <w:lang w:val="en-US" w:eastAsia="zh-CN"/>
              </w:rPr>
              <w:t>符合性分析</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摘要：</w:t>
            </w:r>
            <w:r>
              <w:rPr>
                <w:rFonts w:hint="default" w:ascii="Times New Roman" w:hAnsi="Times New Roman" w:eastAsia="宋体" w:cs="Times New Roman"/>
                <w:b w:val="0"/>
                <w:bCs w:val="0"/>
                <w:color w:val="auto"/>
                <w:sz w:val="24"/>
                <w:szCs w:val="24"/>
                <w:highlight w:val="none"/>
                <w:lang w:val="en-US" w:eastAsia="zh-CN"/>
              </w:rPr>
              <w:t>2发展要求</w:t>
            </w:r>
          </w:p>
          <w:p>
            <w:pPr>
              <w:pStyle w:val="29"/>
              <w:keepNext w:val="0"/>
              <w:keepLines w:val="0"/>
              <w:pageBreakBefore w:val="0"/>
              <w:kinsoku/>
              <w:wordWrap w:val="0"/>
              <w:overflowPunct/>
              <w:topLinePunct w:val="0"/>
              <w:autoSpaceDE/>
              <w:autoSpaceDN/>
              <w:bidi w:val="0"/>
              <w:adjustRightInd/>
              <w:snapToGrid w:val="0"/>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（3）矿政管理机制仍需不断提高和创新。加快推进新疆自然资源厅《关于印发〈新疆维吾尔自治区矿产资源管理若干事项</w:t>
            </w:r>
            <w:r>
              <w:rPr>
                <w:rFonts w:hint="eastAsia" w:ascii="Times New Roman" w:hAnsi="Times New Roman" w:eastAsia="宋体" w:cs="Times New Roman"/>
                <w:color w:val="auto"/>
                <w:sz w:val="24"/>
                <w:szCs w:val="24"/>
                <w:highlight w:val="none"/>
                <w:lang w:val="en-US" w:eastAsia="zh-CN"/>
              </w:rPr>
              <w:t>暂行办法</w:t>
            </w:r>
            <w:r>
              <w:rPr>
                <w:rFonts w:hint="default" w:ascii="Times New Roman" w:hAnsi="Times New Roman" w:eastAsia="宋体" w:cs="Times New Roman"/>
                <w:color w:val="auto"/>
                <w:sz w:val="24"/>
                <w:szCs w:val="24"/>
                <w:highlight w:val="none"/>
                <w:lang w:val="en-US" w:eastAsia="zh-CN"/>
              </w:rPr>
              <w:t>〉的通知》（新自然资规〔2021〕1号）就优化矿业权管控模式、推进矿业权竞争性出让、推进矿产资源储量管理等几个方面进行改革，为巴州矿产资源管理改革提供了新的遵循，需要我们深化矿产资源管理改革，依据巴州矿情和经济社会发展需求摸索研究符合巴州实际的矿政管理新机制，进一步提升矿政管理的能力和水平，将矿产资源管理改革落到实处。</w:t>
            </w:r>
          </w:p>
          <w:p>
            <w:pP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符合性：</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已取得</w:t>
            </w:r>
            <w:r>
              <w:rPr>
                <w:rFonts w:hint="default" w:ascii="Times New Roman" w:hAnsi="Times New Roman" w:eastAsia="宋体" w:cs="Times New Roman"/>
                <w:color w:val="auto"/>
                <w:kern w:val="2"/>
                <w:sz w:val="24"/>
                <w:szCs w:val="24"/>
                <w:highlight w:val="none"/>
                <w:lang w:val="en-US" w:eastAsia="zh-CN" w:bidi="ar-SA"/>
              </w:rPr>
              <w:t>采矿许可证</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lang w:val="en-US" w:eastAsia="zh-CN"/>
              </w:rPr>
              <w:t>证号C6528002025017250157892</w:t>
            </w:r>
            <w:r>
              <w:rPr>
                <w:rFonts w:hint="default"/>
                <w:color w:val="auto"/>
                <w:lang w:val="en-US" w:eastAsia="zh-CN"/>
              </w:rPr>
              <w:t>，</w:t>
            </w:r>
            <w:r>
              <w:rPr>
                <w:rFonts w:hint="default" w:ascii="Times New Roman" w:hAnsi="Times New Roman" w:eastAsia="宋体" w:cs="Times New Roman"/>
                <w:color w:val="auto"/>
                <w:kern w:val="2"/>
                <w:sz w:val="24"/>
                <w:szCs w:val="24"/>
                <w:highlight w:val="none"/>
                <w:lang w:val="en-US" w:eastAsia="zh-CN" w:bidi="ar-SA"/>
              </w:rPr>
              <w:t>开采矿种：饰面用花岗岩；开采方式：露天开采；生产规模：</w:t>
            </w:r>
            <w:r>
              <w:rPr>
                <w:rFonts w:hint="eastAsia" w:ascii="Times New Roman" w:hAnsi="Times New Roman" w:eastAsia="宋体"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万</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lang w:val="en-US" w:eastAsia="zh-CN" w:bidi="ar-SA"/>
              </w:rPr>
              <w:t>。矿区面积：</w:t>
            </w:r>
            <w:r>
              <w:rPr>
                <w:rFonts w:hint="eastAsia" w:ascii="Times New Roman" w:hAnsi="Times New Roman" w:eastAsia="宋体" w:cs="Times New Roman"/>
                <w:color w:val="auto"/>
                <w:kern w:val="2"/>
                <w:sz w:val="24"/>
                <w:szCs w:val="24"/>
                <w:highlight w:val="none"/>
                <w:lang w:val="en-US" w:eastAsia="zh-CN" w:bidi="ar-SA"/>
              </w:rPr>
              <w:t>1.384</w:t>
            </w:r>
            <w:r>
              <w:rPr>
                <w:rFonts w:hint="default" w:ascii="Times New Roman" w:hAnsi="Times New Roman" w:eastAsia="宋体" w:cs="Times New Roman"/>
                <w:color w:val="auto"/>
                <w:kern w:val="2"/>
                <w:sz w:val="24"/>
                <w:szCs w:val="24"/>
                <w:highlight w:val="none"/>
                <w:lang w:val="en-US" w:eastAsia="zh-CN" w:bidi="ar-SA"/>
              </w:rPr>
              <w:t>km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，共有</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个拐点测定，详见附件</w:t>
            </w:r>
            <w:r>
              <w:rPr>
                <w:rFonts w:hint="eastAsia" w:ascii="Times New Roman" w:hAnsi="Times New Roman" w:eastAsia="宋体" w:cs="Times New Roman"/>
                <w:color w:val="auto"/>
                <w:kern w:val="2"/>
                <w:sz w:val="24"/>
                <w:szCs w:val="24"/>
                <w:highlight w:val="none"/>
                <w:lang w:val="en-US" w:eastAsia="zh-CN" w:bidi="ar-SA"/>
              </w:rPr>
              <w:t>采矿许可证</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本项目资源利用效率较高，严格执</w:t>
            </w:r>
            <w:r>
              <w:rPr>
                <w:rFonts w:hint="eastAsia" w:ascii="宋体" w:hAnsi="宋体" w:eastAsia="宋体" w:cs="宋体"/>
                <w:color w:val="auto"/>
                <w:sz w:val="24"/>
                <w:szCs w:val="24"/>
                <w:highlight w:val="none"/>
                <w:lang w:val="en-US" w:eastAsia="zh-CN"/>
              </w:rPr>
              <w:t>行“三率”考核，共伴生矿产资源、固体废弃物综合利用、处理水平较高，基</w:t>
            </w:r>
            <w:r>
              <w:rPr>
                <w:rFonts w:hint="default" w:ascii="Times New Roman" w:hAnsi="Times New Roman" w:eastAsia="宋体" w:cs="Times New Roman"/>
                <w:color w:val="auto"/>
                <w:sz w:val="24"/>
                <w:szCs w:val="24"/>
                <w:highlight w:val="none"/>
                <w:lang w:val="en-US" w:eastAsia="zh-CN"/>
              </w:rPr>
              <w:t>本实现矿山生产与自然生态和谐共生。本项目矿山地质环境保护与治理恢复责任机制得到全面落实，</w:t>
            </w:r>
            <w:r>
              <w:rPr>
                <w:rFonts w:hint="eastAsia" w:ascii="Times New Roman" w:hAnsi="Times New Roman" w:eastAsia="宋体" w:cs="Times New Roman"/>
                <w:color w:val="auto"/>
                <w:sz w:val="24"/>
                <w:szCs w:val="24"/>
                <w:highlight w:val="none"/>
                <w:lang w:val="en-US" w:eastAsia="zh-CN"/>
              </w:rPr>
              <w:t>已取得</w:t>
            </w:r>
            <w:r>
              <w:rPr>
                <w:rFonts w:hint="default" w:ascii="Times New Roman" w:hAnsi="Times New Roman" w:eastAsia="宋体" w:cs="Times New Roman"/>
                <w:color w:val="auto"/>
                <w:sz w:val="24"/>
                <w:szCs w:val="24"/>
                <w:highlight w:val="none"/>
                <w:lang w:val="en-US" w:eastAsia="zh-CN"/>
              </w:rPr>
              <w:t>《</w:t>
            </w:r>
            <w:r>
              <w:rPr>
                <w:color w:val="auto"/>
              </w:rPr>
              <w:t>新疆富华石业有限公司新疆焉耆县霍拉山</w:t>
            </w:r>
            <w:r>
              <w:rPr>
                <w:rFonts w:hint="eastAsia"/>
                <w:color w:val="auto"/>
                <w:lang w:eastAsia="zh-CN"/>
              </w:rPr>
              <w:t>14</w:t>
            </w:r>
            <w:r>
              <w:rPr>
                <w:color w:val="auto"/>
              </w:rPr>
              <w:t>号花岗岩矿矿产资源开发利用与生态保护修复方案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审查意见</w:t>
            </w:r>
            <w:r>
              <w:rPr>
                <w:rFonts w:hint="default" w:ascii="Times New Roman" w:hAnsi="Times New Roman" w:eastAsia="宋体" w:cs="Times New Roman"/>
                <w:color w:val="auto"/>
                <w:sz w:val="24"/>
                <w:szCs w:val="24"/>
                <w:highlight w:val="none"/>
                <w:lang w:val="en-US" w:eastAsia="zh-CN"/>
              </w:rPr>
              <w:t>，通过</w:t>
            </w:r>
            <w:r>
              <w:rPr>
                <w:rFonts w:hint="eastAsia" w:ascii="Times New Roman" w:hAnsi="Times New Roman" w:eastAsia="宋体" w:cs="Times New Roman"/>
                <w:color w:val="auto"/>
                <w:sz w:val="24"/>
                <w:szCs w:val="24"/>
                <w:highlight w:val="none"/>
                <w:lang w:val="en-US" w:eastAsia="zh-CN"/>
              </w:rPr>
              <w:t>严格执行</w:t>
            </w:r>
            <w:r>
              <w:rPr>
                <w:rFonts w:hint="eastAsia" w:ascii="宋体" w:hAnsi="宋体" w:eastAsia="宋体" w:cs="宋体"/>
                <w:color w:val="auto"/>
                <w:sz w:val="24"/>
                <w:szCs w:val="24"/>
                <w:highlight w:val="none"/>
                <w:lang w:val="en-US" w:eastAsia="zh-CN"/>
              </w:rPr>
              <w:t>方案中所包含的土地复垦方案，以保证市场化矿山生态修复不断推进以及“绿水青山就是金山银山”理念的</w:t>
            </w:r>
            <w:r>
              <w:rPr>
                <w:rFonts w:hint="default" w:ascii="Times New Roman" w:hAnsi="Times New Roman" w:eastAsia="宋体" w:cs="Times New Roman"/>
                <w:color w:val="auto"/>
                <w:sz w:val="24"/>
                <w:szCs w:val="24"/>
                <w:highlight w:val="none"/>
                <w:lang w:val="en-US" w:eastAsia="zh-CN"/>
              </w:rPr>
              <w:t>实行。</w:t>
            </w:r>
          </w:p>
          <w:p>
            <w:pPr>
              <w:spacing w:line="360" w:lineRule="auto"/>
              <w:ind w:firstLine="482"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摘要：</w:t>
            </w:r>
            <w:r>
              <w:rPr>
                <w:rFonts w:hint="eastAsia" w:ascii="Times New Roman" w:hAnsi="Times New Roman" w:eastAsia="宋体" w:cs="Times New Roman"/>
                <w:snapToGrid/>
                <w:color w:val="auto"/>
                <w:spacing w:val="0"/>
                <w:kern w:val="2"/>
                <w:sz w:val="24"/>
                <w:szCs w:val="24"/>
                <w:highlight w:val="none"/>
                <w:lang w:val="en-US" w:eastAsia="zh-CN" w:bidi="ar-SA"/>
              </w:rPr>
              <w:t>（5）矿山地质环境保护与治理恢复</w:t>
            </w:r>
          </w:p>
          <w:p>
            <w:pPr>
              <w:spacing w:line="360" w:lineRule="auto"/>
              <w:ind w:firstLine="480"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进一步完善矿山地质环境保护与治理管理体系，全面落实矿山地质环境保护与治理恢复责任制，强化矿业权人主体责任，依法履行矿山地质环境保护与土地复垦义务，严格落实矿山地质环境保护与土地复垦方案。新建、生产矿山地质环境实现“边开采、边治理”，加强对矿山地质环境保护与治理规划执行情况的监督管理。加大露天矿山地质环境治理力度。完成巴州境内历史形成责任灭失非煤矿山采空区及巴州矿山地质环境保护与治理2025年规划目标。</w:t>
            </w:r>
          </w:p>
          <w:p>
            <w:pPr>
              <w:spacing w:line="360" w:lineRule="auto"/>
              <w:ind w:firstLine="482"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符合性：</w:t>
            </w:r>
            <w:r>
              <w:rPr>
                <w:rFonts w:hint="eastAsia" w:ascii="Times New Roman" w:hAnsi="Times New Roman" w:eastAsia="宋体" w:cs="Times New Roman"/>
                <w:snapToGrid/>
                <w:color w:val="auto"/>
                <w:spacing w:val="0"/>
                <w:kern w:val="2"/>
                <w:sz w:val="24"/>
                <w:szCs w:val="24"/>
                <w:highlight w:val="none"/>
                <w:lang w:val="en-US" w:eastAsia="zh-CN" w:bidi="ar-SA"/>
              </w:rPr>
              <w:t>本项目矿山开采严格执行“边开采、边治理”，做好开采区生态环境恢复工作，复垦期间，做好矿区地形地貌恢复工作，尽量将矿区恢复至原地貌特征，恢复土地原有属性，做好生态环境协调工作。</w:t>
            </w:r>
          </w:p>
          <w:p>
            <w:pPr>
              <w:spacing w:line="360" w:lineRule="auto"/>
              <w:ind w:firstLine="480"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default" w:ascii="Times New Roman" w:hAnsi="Times New Roman" w:eastAsia="宋体" w:cs="Times New Roman"/>
                <w:snapToGrid/>
                <w:color w:val="auto"/>
                <w:spacing w:val="0"/>
                <w:kern w:val="2"/>
                <w:sz w:val="24"/>
                <w:szCs w:val="24"/>
                <w:highlight w:val="none"/>
                <w:lang w:val="en-US" w:eastAsia="zh-CN" w:bidi="ar-SA"/>
              </w:rPr>
              <w:t>综上，该项目</w:t>
            </w:r>
            <w:r>
              <w:rPr>
                <w:rFonts w:hint="eastAsia" w:ascii="Times New Roman" w:hAnsi="Times New Roman" w:eastAsia="宋体" w:cs="Times New Roman"/>
                <w:snapToGrid/>
                <w:color w:val="auto"/>
                <w:spacing w:val="0"/>
                <w:kern w:val="2"/>
                <w:sz w:val="24"/>
                <w:szCs w:val="24"/>
                <w:highlight w:val="none"/>
                <w:lang w:val="en-US" w:eastAsia="zh-CN" w:bidi="ar-SA"/>
              </w:rPr>
              <w:t>建设</w:t>
            </w:r>
            <w:r>
              <w:rPr>
                <w:rFonts w:hint="default" w:ascii="Times New Roman" w:hAnsi="Times New Roman" w:eastAsia="宋体" w:cs="Times New Roman"/>
                <w:snapToGrid/>
                <w:color w:val="auto"/>
                <w:spacing w:val="0"/>
                <w:kern w:val="2"/>
                <w:sz w:val="24"/>
                <w:szCs w:val="24"/>
                <w:highlight w:val="none"/>
                <w:lang w:val="en-US" w:eastAsia="zh-CN" w:bidi="ar-SA"/>
              </w:rPr>
              <w:t>符合《巴音郭楞蒙古自治州矿产资源总体规划》（2021</w:t>
            </w:r>
            <w:r>
              <w:rPr>
                <w:rFonts w:hint="eastAsia" w:ascii="Times New Roman" w:hAnsi="Times New Roman" w:eastAsia="宋体" w:cs="Times New Roman"/>
                <w:snapToGrid/>
                <w:color w:val="auto"/>
                <w:spacing w:val="0"/>
                <w:kern w:val="2"/>
                <w:sz w:val="24"/>
                <w:szCs w:val="24"/>
                <w:highlight w:val="none"/>
                <w:lang w:val="en-US" w:eastAsia="zh-CN" w:bidi="ar-SA"/>
              </w:rPr>
              <w:t>—</w:t>
            </w:r>
            <w:r>
              <w:rPr>
                <w:rFonts w:hint="default" w:ascii="Times New Roman" w:hAnsi="Times New Roman" w:eastAsia="宋体" w:cs="Times New Roman"/>
                <w:snapToGrid/>
                <w:color w:val="auto"/>
                <w:spacing w:val="0"/>
                <w:kern w:val="2"/>
                <w:sz w:val="24"/>
                <w:szCs w:val="24"/>
                <w:highlight w:val="none"/>
                <w:lang w:val="en-US" w:eastAsia="zh-CN" w:bidi="ar-SA"/>
              </w:rPr>
              <w:t>2025年）</w:t>
            </w:r>
            <w:r>
              <w:rPr>
                <w:rFonts w:hint="eastAsia" w:ascii="Times New Roman" w:hAnsi="Times New Roman" w:eastAsia="宋体" w:cs="Times New Roman"/>
                <w:snapToGrid/>
                <w:color w:val="auto"/>
                <w:spacing w:val="0"/>
                <w:kern w:val="2"/>
                <w:sz w:val="24"/>
                <w:szCs w:val="24"/>
                <w:highlight w:val="none"/>
                <w:lang w:val="en-US" w:eastAsia="zh-CN" w:bidi="ar-SA"/>
              </w:rPr>
              <w:t>相关要求</w:t>
            </w:r>
            <w:r>
              <w:rPr>
                <w:rFonts w:hint="default" w:ascii="Times New Roman" w:hAnsi="Times New Roman" w:eastAsia="宋体" w:cs="Times New Roman"/>
                <w:snapToGrid/>
                <w:color w:val="auto"/>
                <w:spacing w:val="0"/>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与</w:t>
            </w:r>
            <w:r>
              <w:rPr>
                <w:rFonts w:hint="default" w:ascii="Times New Roman" w:hAnsi="Times New Roman" w:eastAsia="宋体" w:cs="Times New Roman"/>
                <w:b/>
                <w:bCs/>
                <w:color w:val="auto"/>
                <w:sz w:val="24"/>
                <w:szCs w:val="24"/>
                <w:lang w:val="en-US" w:eastAsia="zh-CN"/>
              </w:rPr>
              <w:t>《新疆巴音郭楞蒙古自治州矿产资源总体规划（2021～2025年）环境影响篇章》</w:t>
            </w:r>
            <w:r>
              <w:rPr>
                <w:rFonts w:hint="eastAsia" w:ascii="Times New Roman" w:hAnsi="Times New Roman" w:eastAsia="宋体" w:cs="Times New Roman"/>
                <w:b/>
                <w:bCs/>
                <w:color w:val="auto"/>
                <w:sz w:val="24"/>
                <w:szCs w:val="24"/>
                <w:lang w:val="en-US" w:eastAsia="zh-CN"/>
              </w:rPr>
              <w:t>的符合性分析</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4）修复措施</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对照《矿山生态环境保护与恢复治理技术规范》（HJ651-2013〉，分别针对工业场地、露天采场、废石场、尾矿库，提出修复要求及控制指标。</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资源开采的生产、生活设施建设完成后，应根据作业场地或厂区布置对其周围进行绿化，绿化植物以本地易于生长的植物为主。</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对于临时占地和新开辟的临时便道等破坏区，竣工后要</w:t>
            </w:r>
            <w:r>
              <w:rPr>
                <w:rFonts w:hint="eastAsia" w:cs="Times New Roman"/>
                <w:color w:val="auto"/>
                <w:sz w:val="24"/>
                <w:szCs w:val="24"/>
                <w:lang w:val="en-US" w:eastAsia="zh-CN"/>
              </w:rPr>
              <w:t>及时</w:t>
            </w:r>
            <w:r>
              <w:rPr>
                <w:rFonts w:hint="eastAsia" w:ascii="Times New Roman" w:hAnsi="Times New Roman" w:eastAsia="宋体" w:cs="Times New Roman"/>
                <w:color w:val="auto"/>
                <w:sz w:val="24"/>
                <w:szCs w:val="24"/>
                <w:lang w:val="en-US" w:eastAsia="zh-CN"/>
              </w:rPr>
              <w:t>进行土地平整、耕翻疏松等土地复垦工作，恢复土地原有使用功能。</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对于工程扰动的边坡等水蚀强度强烈的地段，为避免产生新的水土流失，应采取护坡、排水等相应的水保工程、植物措施。</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输水管线等水利设施、输电线路采取开采后修复措施加以解决。受采矿影响较大的乔木，要及时扶正，保证该类植物正常生长。对于井工开采工程，应进行沉陷区土地复垦方案。</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本项目矿山地质环境保护与治理恢复责任机制得到全面落实，已</w:t>
            </w:r>
            <w:r>
              <w:rPr>
                <w:rFonts w:hint="eastAsia"/>
                <w:color w:val="auto"/>
                <w:lang w:eastAsia="zh-CN"/>
              </w:rPr>
              <w:t>于</w:t>
            </w:r>
            <w:r>
              <w:rPr>
                <w:rFonts w:hint="eastAsia"/>
                <w:color w:val="auto"/>
                <w:lang w:val="en-US" w:eastAsia="zh-CN"/>
              </w:rPr>
              <w:t>2023年10月8日取得了关于对《新疆富华石业有限公司新疆焉耆县霍拉山14号花岗岩矿矿产资源开发利用与生态保护修复方案》专家审查意见</w:t>
            </w:r>
            <w:r>
              <w:rPr>
                <w:rFonts w:hint="default" w:ascii="Times New Roman" w:hAnsi="Times New Roman" w:eastAsia="宋体" w:cs="Times New Roman"/>
                <w:color w:val="auto"/>
                <w:sz w:val="24"/>
                <w:szCs w:val="24"/>
                <w:lang w:val="en-US" w:eastAsia="zh-CN"/>
              </w:rPr>
              <w:t>，通过</w:t>
            </w:r>
            <w:r>
              <w:rPr>
                <w:rFonts w:hint="eastAsia" w:cs="Times New Roman"/>
                <w:color w:val="auto"/>
                <w:sz w:val="24"/>
                <w:szCs w:val="24"/>
                <w:lang w:val="en-US" w:eastAsia="zh-CN"/>
              </w:rPr>
              <w:t>严格执行</w:t>
            </w:r>
            <w:r>
              <w:rPr>
                <w:rFonts w:hint="default" w:ascii="Times New Roman" w:hAnsi="Times New Roman" w:eastAsia="宋体" w:cs="Times New Roman"/>
                <w:color w:val="auto"/>
                <w:sz w:val="24"/>
                <w:szCs w:val="24"/>
                <w:lang w:val="en-US" w:eastAsia="zh-CN"/>
              </w:rPr>
              <w:t>方案中所包含的土地复垦方案，以保证市场化矿山生态修复不断推进。</w:t>
            </w:r>
          </w:p>
          <w:p>
            <w:pPr>
              <w:bidi w:val="0"/>
              <w:ind w:left="0" w:leftChars="0" w:firstLine="480" w:firstLineChars="200"/>
              <w:rPr>
                <w:rFonts w:hint="eastAsia" w:eastAsia="宋体"/>
                <w:color w:val="auto"/>
                <w:lang w:val="en-US" w:eastAsia="zh-CN"/>
              </w:rPr>
            </w:pPr>
            <w:r>
              <w:rPr>
                <w:rFonts w:hint="eastAsia" w:ascii="Times New Roman" w:hAnsi="Times New Roman" w:eastAsia="宋体" w:cs="Times New Roman"/>
                <w:color w:val="auto"/>
                <w:lang w:val="en-US" w:eastAsia="zh-CN"/>
              </w:rPr>
              <w:t>本项目符合《新疆巴音郭楞蒙古自治州矿产资源总体规划（2021～2025年）环境影响篇章》中的要求。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6" w:hRule="atLeast"/>
        </w:trPr>
        <w:tc>
          <w:tcPr>
            <w:tcW w:w="1229" w:type="dxa"/>
            <w:tcMar>
              <w:top w:w="16" w:type="dxa"/>
              <w:left w:w="16" w:type="dxa"/>
              <w:right w:w="16" w:type="dxa"/>
            </w:tcMar>
            <w:vAlign w:val="center"/>
          </w:tcPr>
          <w:p>
            <w:pPr>
              <w:autoSpaceDE w:val="0"/>
              <w:autoSpaceDN w:val="0"/>
              <w:spacing w:line="240" w:lineRule="auto"/>
              <w:ind w:firstLine="0" w:firstLineChars="0"/>
              <w:jc w:val="center"/>
              <w:rPr>
                <w:rFonts w:ascii="宋体" w:hAnsi="宋体" w:cs="宋体"/>
                <w:color w:val="auto"/>
                <w:kern w:val="0"/>
              </w:rPr>
            </w:pPr>
            <w:bookmarkStart w:id="0" w:name="_Hlk56690880"/>
            <w:r>
              <w:rPr>
                <w:rFonts w:hint="eastAsia" w:ascii="宋体" w:hAnsi="宋体" w:cs="宋体"/>
                <w:color w:val="auto"/>
                <w:kern w:val="0"/>
              </w:rPr>
              <w:t>其他符合性分析</w:t>
            </w:r>
            <w:bookmarkEnd w:id="0"/>
          </w:p>
        </w:tc>
        <w:tc>
          <w:tcPr>
            <w:tcW w:w="7630" w:type="dxa"/>
            <w:gridSpan w:val="3"/>
            <w:tcMar>
              <w:top w:w="16" w:type="dxa"/>
              <w:left w:w="16" w:type="dxa"/>
              <w:right w:w="16" w:type="dxa"/>
            </w:tcMar>
            <w:vAlign w:val="top"/>
          </w:tcPr>
          <w:p>
            <w:pPr>
              <w:pStyle w:val="5"/>
              <w:bidi w:val="0"/>
              <w:rPr>
                <w:rFonts w:hint="default" w:ascii="Times New Roman" w:hAnsi="Times New Roman" w:eastAsia="宋体" w:cs="Times New Roman"/>
                <w:b/>
                <w:color w:val="auto"/>
                <w:kern w:val="0"/>
                <w:sz w:val="24"/>
                <w:highlight w:val="none"/>
              </w:rPr>
            </w:pPr>
            <w:r>
              <w:rPr>
                <w:rFonts w:hint="eastAsia" w:ascii="Times New Roman" w:hAnsi="Times New Roman" w:eastAsia="宋体" w:cs="Times New Roman"/>
                <w:b/>
                <w:color w:val="auto"/>
                <w:kern w:val="0"/>
                <w:sz w:val="24"/>
                <w:highlight w:val="none"/>
                <w:lang w:val="en-US" w:eastAsia="zh-CN"/>
              </w:rPr>
              <w:t>1、</w:t>
            </w:r>
            <w:r>
              <w:rPr>
                <w:rFonts w:hint="default" w:ascii="Times New Roman" w:hAnsi="Times New Roman" w:eastAsia="宋体" w:cs="Times New Roman"/>
                <w:b/>
                <w:color w:val="auto"/>
                <w:kern w:val="0"/>
                <w:sz w:val="24"/>
                <w:highlight w:val="none"/>
              </w:rPr>
              <w:t>产业政策符合性</w:t>
            </w:r>
          </w:p>
          <w:p>
            <w:pPr>
              <w:bidi w:val="0"/>
              <w:rPr>
                <w:rFonts w:hint="eastAsia"/>
                <w:color w:val="auto"/>
                <w:lang w:val="en-US" w:eastAsia="zh-CN"/>
              </w:rPr>
            </w:pPr>
            <w:r>
              <w:rPr>
                <w:rFonts w:hint="default"/>
                <w:color w:val="auto"/>
              </w:rPr>
              <w:t>本工程为非金属矿采选业</w:t>
            </w:r>
            <w:r>
              <w:rPr>
                <w:rFonts w:hint="eastAsia"/>
                <w:color w:val="auto"/>
                <w:lang w:val="en-US" w:eastAsia="zh-CN"/>
              </w:rPr>
              <w:t>。</w:t>
            </w:r>
            <w:r>
              <w:rPr>
                <w:rFonts w:hint="default"/>
                <w:color w:val="auto"/>
              </w:rPr>
              <w:t>根据《产业结构调整指导目录</w:t>
            </w:r>
            <w:r>
              <w:rPr>
                <w:rFonts w:hint="eastAsia"/>
                <w:color w:val="auto"/>
                <w:lang w:eastAsia="zh-CN"/>
              </w:rPr>
              <w:t>（</w:t>
            </w:r>
            <w:r>
              <w:rPr>
                <w:rFonts w:hint="default"/>
                <w:color w:val="auto"/>
              </w:rPr>
              <w:t>2024年本）》</w:t>
            </w:r>
            <w:r>
              <w:rPr>
                <w:rFonts w:hint="eastAsia"/>
                <w:color w:val="auto"/>
                <w:lang w:eastAsia="zh-CN"/>
              </w:rPr>
              <w:t>（</w:t>
            </w:r>
            <w:r>
              <w:rPr>
                <w:rFonts w:hint="default"/>
                <w:color w:val="auto"/>
              </w:rPr>
              <w:t>2023年12月1日，中华人民共和国国家发展和改革委员会令 第7号）的有关规定，</w:t>
            </w:r>
            <w:r>
              <w:rPr>
                <w:rFonts w:hint="eastAsia"/>
                <w:color w:val="auto"/>
              </w:rPr>
              <w:t>不属于目录中规定的鼓励类、限制类和淘汰类，属于允许类项目，符合该政策。</w:t>
            </w:r>
          </w:p>
          <w:p>
            <w:pPr>
              <w:pStyle w:val="5"/>
              <w:numPr>
                <w:ilvl w:val="0"/>
                <w:numId w:val="0"/>
              </w:numPr>
              <w:bidi w:val="0"/>
              <w:rPr>
                <w:rFonts w:hint="eastAsia"/>
                <w:color w:val="auto"/>
                <w:lang w:val="en-US" w:eastAsia="zh-CN"/>
              </w:rPr>
            </w:pPr>
            <w:r>
              <w:rPr>
                <w:rFonts w:hint="eastAsia"/>
                <w:color w:val="auto"/>
                <w:lang w:val="en-US" w:eastAsia="zh-CN"/>
              </w:rPr>
              <w:t>2、</w:t>
            </w:r>
            <w:r>
              <w:rPr>
                <w:rFonts w:hint="eastAsia" w:ascii="Times New Roman" w:hAnsi="Times New Roman" w:eastAsia="宋体" w:cs="Times New Roman"/>
                <w:color w:val="auto"/>
                <w:kern w:val="0"/>
                <w:lang w:val="en-US" w:eastAsia="zh-CN"/>
              </w:rPr>
              <w:t>新疆维吾尔自治区</w:t>
            </w:r>
            <w:r>
              <w:rPr>
                <w:rFonts w:hint="eastAsia"/>
                <w:color w:val="auto"/>
                <w:lang w:val="en-US" w:eastAsia="zh-CN"/>
              </w:rPr>
              <w:t>生态环境分区管控要求的符合性分析</w:t>
            </w:r>
          </w:p>
          <w:p>
            <w:pPr>
              <w:ind w:firstLine="480" w:firstLineChars="200"/>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《关于印发</w:t>
            </w:r>
            <w:r>
              <w:rPr>
                <w:rFonts w:hint="eastAsia" w:cs="Times New Roman"/>
                <w:color w:val="auto"/>
                <w:kern w:val="0"/>
                <w:lang w:val="en-US" w:eastAsia="zh-CN"/>
              </w:rPr>
              <w:t>〈</w:t>
            </w:r>
            <w:r>
              <w:rPr>
                <w:rFonts w:hint="eastAsia" w:ascii="Times New Roman" w:hAnsi="Times New Roman" w:eastAsia="宋体" w:cs="Times New Roman"/>
                <w:color w:val="auto"/>
                <w:kern w:val="0"/>
                <w:lang w:val="en-US" w:eastAsia="zh-CN"/>
              </w:rPr>
              <w:t>新疆维吾尔自治区生态环境分区管控动态更新成果</w:t>
            </w:r>
            <w:r>
              <w:rPr>
                <w:rFonts w:hint="eastAsia" w:cs="Times New Roman"/>
                <w:color w:val="auto"/>
                <w:kern w:val="0"/>
                <w:lang w:val="en-US" w:eastAsia="zh-CN"/>
              </w:rPr>
              <w:t>〉的通知》</w:t>
            </w:r>
            <w:r>
              <w:rPr>
                <w:rFonts w:hint="eastAsia" w:ascii="Times New Roman" w:hAnsi="Times New Roman" w:eastAsia="宋体" w:cs="Times New Roman"/>
                <w:color w:val="auto"/>
                <w:kern w:val="0"/>
                <w:lang w:val="en-US" w:eastAsia="zh-CN"/>
              </w:rPr>
              <w:t>（新政发〔2024〕157号）的符合性分析。</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color w:val="auto"/>
                <w:lang w:val="en-US" w:eastAsia="zh-CN"/>
              </w:rPr>
            </w:pPr>
            <w:r>
              <w:rPr>
                <w:rFonts w:hint="eastAsia" w:ascii="Times New Roman" w:hAnsi="Times New Roman" w:eastAsia="宋体" w:cs="Times New Roman"/>
                <w:b/>
                <w:bCs/>
                <w:color w:val="auto"/>
                <w:sz w:val="21"/>
                <w:szCs w:val="21"/>
                <w:lang w:val="en-US" w:eastAsia="zh-CN"/>
              </w:rPr>
              <w:t>表1-1与《关于印发</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新疆维吾尔自治区生态环境分区管控动态更新成果</w:t>
            </w:r>
            <w:r>
              <w:rPr>
                <w:rFonts w:hint="eastAsia" w:cs="Times New Roman"/>
                <w:b/>
                <w:bCs/>
                <w:color w:val="auto"/>
                <w:sz w:val="21"/>
                <w:szCs w:val="21"/>
                <w:lang w:val="en-US" w:eastAsia="zh-CN"/>
              </w:rPr>
              <w:t>〉的通知》</w:t>
            </w:r>
            <w:r>
              <w:rPr>
                <w:rFonts w:hint="eastAsia" w:ascii="Times New Roman" w:hAnsi="Times New Roman" w:eastAsia="宋体" w:cs="Times New Roman"/>
                <w:b/>
                <w:bCs/>
                <w:color w:val="auto"/>
                <w:sz w:val="21"/>
                <w:szCs w:val="21"/>
                <w:lang w:val="en-US" w:eastAsia="zh-CN"/>
              </w:rPr>
              <w:t>（新政发〔2024〕157号）的符合性表</w:t>
            </w:r>
          </w:p>
          <w:tbl>
            <w:tblPr>
              <w:tblStyle w:val="83"/>
              <w:tblW w:w="490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4"/>
              <w:gridCol w:w="507"/>
              <w:gridCol w:w="4223"/>
              <w:gridCol w:w="24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517" w:type="pct"/>
                  <w:gridSpan w:val="2"/>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管控维度</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管控要求</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177"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A1空间布局约束</w:t>
                  </w: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A1.1禁止开发建设的活动</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〔A1.1-1〕禁止新建、扩建《产业结构调整指导目录</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2024年本</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》中淘汰类项目。禁止引入《市场准入负面清单</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2022年版</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》禁止准入类事项。</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eastAsia="en-US" w:bidi="zh-CN"/>
                    </w:rPr>
                    <w:t>符合，本项目属于《产业结构调整指导目录（2024 年本）》鼓励类项目，不属于《市场准入负面清单（202</w:t>
                  </w:r>
                  <w:r>
                    <w:rPr>
                      <w:rFonts w:hint="eastAsia" w:cs="Times New Roman"/>
                      <w:b w:val="0"/>
                      <w:bCs/>
                      <w:color w:val="auto"/>
                      <w:spacing w:val="0"/>
                      <w:kern w:val="0"/>
                      <w:position w:val="0"/>
                      <w:sz w:val="21"/>
                      <w:szCs w:val="21"/>
                      <w:lang w:val="en-US" w:eastAsia="en-US" w:bidi="zh-CN"/>
                    </w:rPr>
                    <w:t>5</w:t>
                  </w:r>
                  <w:r>
                    <w:rPr>
                      <w:rFonts w:hint="default" w:ascii="Times New Roman" w:hAnsi="Times New Roman" w:eastAsia="宋体" w:cs="Times New Roman"/>
                      <w:b w:val="0"/>
                      <w:bCs/>
                      <w:color w:val="auto"/>
                      <w:spacing w:val="0"/>
                      <w:kern w:val="0"/>
                      <w:position w:val="0"/>
                      <w:sz w:val="21"/>
                      <w:szCs w:val="21"/>
                      <w:lang w:val="en-US" w:eastAsia="en-US" w:bidi="zh-CN"/>
                    </w:rPr>
                    <w:t>年版）》禁止准入事项。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10"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A1.4其它布局要求</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符合，本项目位于</w:t>
                  </w:r>
                  <w:r>
                    <w:rPr>
                      <w:rFonts w:hint="eastAsia" w:ascii="Times New Roman" w:hAnsi="Times New Roman" w:eastAsia="宋体" w:cs="Times New Roman"/>
                      <w:b w:val="0"/>
                      <w:bCs/>
                      <w:color w:val="auto"/>
                      <w:spacing w:val="0"/>
                      <w:kern w:val="0"/>
                      <w:position w:val="0"/>
                      <w:sz w:val="21"/>
                      <w:szCs w:val="21"/>
                      <w:lang w:val="en-US" w:eastAsia="zh-CN" w:bidi="zh-CN"/>
                    </w:rPr>
                    <w:t>焉耆县城</w:t>
                  </w:r>
                  <w:r>
                    <w:rPr>
                      <w:rFonts w:hint="eastAsia" w:cs="Times New Roman"/>
                      <w:b w:val="0"/>
                      <w:bCs/>
                      <w:color w:val="auto"/>
                      <w:spacing w:val="0"/>
                      <w:kern w:val="0"/>
                      <w:position w:val="0"/>
                      <w:sz w:val="21"/>
                      <w:szCs w:val="21"/>
                      <w:lang w:val="en-US" w:eastAsia="zh-CN" w:bidi="zh-CN"/>
                    </w:rPr>
                    <w:t>西</w:t>
                  </w:r>
                  <w:r>
                    <w:rPr>
                      <w:rFonts w:hint="eastAsia" w:ascii="Times New Roman" w:hAnsi="Times New Roman" w:eastAsia="宋体" w:cs="Times New Roman"/>
                      <w:b w:val="0"/>
                      <w:bCs/>
                      <w:color w:val="auto"/>
                      <w:spacing w:val="0"/>
                      <w:kern w:val="0"/>
                      <w:position w:val="0"/>
                      <w:sz w:val="21"/>
                      <w:szCs w:val="21"/>
                      <w:lang w:val="en-US" w:eastAsia="zh-CN" w:bidi="zh-CN"/>
                    </w:rPr>
                    <w:t>275°方向，直线距离约66千米处的霍拉山中</w:t>
                  </w:r>
                  <w:r>
                    <w:rPr>
                      <w:rFonts w:hint="default" w:ascii="Times New Roman" w:hAnsi="Times New Roman" w:eastAsia="宋体" w:cs="Times New Roman"/>
                      <w:b w:val="0"/>
                      <w:bCs/>
                      <w:color w:val="auto"/>
                      <w:spacing w:val="0"/>
                      <w:kern w:val="0"/>
                      <w:position w:val="0"/>
                      <w:sz w:val="21"/>
                      <w:szCs w:val="21"/>
                      <w:lang w:val="en-US" w:eastAsia="zh-CN" w:bidi="zh-CN"/>
                    </w:rPr>
                    <w:t>，项目区周边无上述区域</w:t>
                  </w:r>
                  <w:r>
                    <w:rPr>
                      <w:rFonts w:hint="eastAsia" w:ascii="Times New Roman" w:hAnsi="Times New Roman" w:eastAsia="宋体" w:cs="Times New Roman"/>
                      <w:b w:val="0"/>
                      <w:bCs/>
                      <w:color w:val="auto"/>
                      <w:spacing w:val="0"/>
                      <w:kern w:val="0"/>
                      <w:position w:val="0"/>
                      <w:sz w:val="21"/>
                      <w:szCs w:val="21"/>
                      <w:lang w:val="en-US" w:eastAsia="zh-CN" w:bidi="zh-CN"/>
                    </w:rPr>
                    <w:t>，符合《新疆维吾尔自治区焉耆县矿产资源总体规划（2021</w:t>
                  </w:r>
                  <w:r>
                    <w:rPr>
                      <w:rFonts w:hint="eastAsia" w:cs="Times New Roman"/>
                      <w:b w:val="0"/>
                      <w:bCs/>
                      <w:color w:val="auto"/>
                      <w:spacing w:val="0"/>
                      <w:kern w:val="0"/>
                      <w:position w:val="0"/>
                      <w:sz w:val="21"/>
                      <w:szCs w:val="21"/>
                      <w:lang w:val="en-US" w:eastAsia="zh-CN" w:bidi="zh-CN"/>
                    </w:rPr>
                    <w:t>—</w:t>
                  </w:r>
                  <w:r>
                    <w:rPr>
                      <w:rFonts w:hint="eastAsia" w:ascii="Times New Roman" w:hAnsi="Times New Roman" w:eastAsia="宋体" w:cs="Times New Roman"/>
                      <w:b w:val="0"/>
                      <w:bCs/>
                      <w:color w:val="auto"/>
                      <w:spacing w:val="0"/>
                      <w:kern w:val="0"/>
                      <w:position w:val="0"/>
                      <w:sz w:val="21"/>
                      <w:szCs w:val="21"/>
                      <w:lang w:val="en-US" w:eastAsia="zh-CN" w:bidi="zh-CN"/>
                    </w:rPr>
                    <w:t>2025年）》</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177"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A2污染物排放管控</w:t>
                  </w: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A2.1污染物削减/替代要求</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default" w:ascii="Times New Roman" w:hAnsi="Times New Roman" w:eastAsia="宋体" w:cs="Times New Roman"/>
                      <w:b w:val="0"/>
                      <w:bCs/>
                      <w:color w:val="auto"/>
                      <w:spacing w:val="0"/>
                      <w:kern w:val="0"/>
                      <w:position w:val="0"/>
                      <w:sz w:val="21"/>
                      <w:szCs w:val="21"/>
                      <w:lang w:val="en-US" w:eastAsia="zh-CN" w:bidi="zh-CN"/>
                    </w:rPr>
                    <w:t>本项目</w:t>
                  </w: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重金属排放。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A2.2污染控制措施要求</w:t>
                  </w:r>
                </w:p>
              </w:tc>
              <w:tc>
                <w:tcPr>
                  <w:tcW w:w="2830"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1651"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符合，本项目不涉及上述行业。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177"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A3环境风险防控</w:t>
                  </w:r>
                </w:p>
              </w:tc>
              <w:tc>
                <w:tcPr>
                  <w:tcW w:w="339"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A3.1人居环境要求</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〔A3.1-1〕建立和完善重污染天气兵地联合应急预案、预报预警应急机制和会商联动机制。“乌一昌一石”区域内可能影响相邻行政区域大气环境的项目，兵地间、城市间必须相互征求意见。</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符合，本项目积极响应重污染天气应急预案。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5"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2830"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〔A3.1-3〕强化重污染天气监测预报预警能力，建立和完善重污染天气兵地联合应急预案、预警应急机制和会商联动机制，加强轻、中度污染天气管控。</w:t>
                  </w:r>
                </w:p>
              </w:tc>
              <w:tc>
                <w:tcPr>
                  <w:tcW w:w="1651"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符合，本项目积极响应重污染天气应急预案。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72"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A3.2联防联控要求</w:t>
                  </w:r>
                </w:p>
              </w:tc>
              <w:tc>
                <w:tcPr>
                  <w:tcW w:w="2830"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51"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eastAsia="zh-CN" w:bidi="zh-CN"/>
                    </w:rPr>
                    <w:t>项目建成后按照相关要求编制完成突发环境事件应急预案并进行备案</w:t>
                  </w:r>
                  <w:r>
                    <w:rPr>
                      <w:rFonts w:hint="default" w:ascii="Times New Roman" w:hAnsi="Times New Roman" w:eastAsia="宋体" w:cs="Times New Roman"/>
                      <w:b w:val="0"/>
                      <w:bCs/>
                      <w:color w:val="auto"/>
                      <w:spacing w:val="0"/>
                      <w:kern w:val="0"/>
                      <w:position w:val="0"/>
                      <w:sz w:val="21"/>
                      <w:szCs w:val="21"/>
                      <w:lang w:val="en-US"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9"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2830"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651"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符合，本项目积极响应重污染天气应急预案。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A4.2土地资源</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〔A4.2-1〕土地资源上线指标控制在最终批复的国土空间规划控制指标内。</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符合，本项目</w:t>
                  </w:r>
                  <w:r>
                    <w:rPr>
                      <w:rFonts w:hint="eastAsia" w:cs="Times New Roman"/>
                      <w:b w:val="0"/>
                      <w:bCs/>
                      <w:color w:val="auto"/>
                      <w:spacing w:val="0"/>
                      <w:kern w:val="0"/>
                      <w:position w:val="0"/>
                      <w:sz w:val="21"/>
                      <w:szCs w:val="21"/>
                      <w:lang w:val="en-US" w:bidi="zh-CN"/>
                    </w:rPr>
                    <w:t>已取得采矿许可证</w:t>
                  </w:r>
                  <w:r>
                    <w:rPr>
                      <w:rFonts w:hint="default" w:ascii="Times New Roman" w:hAnsi="Times New Roman" w:eastAsia="宋体" w:cs="Times New Roman"/>
                      <w:b w:val="0"/>
                      <w:bCs/>
                      <w:color w:val="auto"/>
                      <w:spacing w:val="0"/>
                      <w:kern w:val="0"/>
                      <w:position w:val="0"/>
                      <w:sz w:val="21"/>
                      <w:szCs w:val="21"/>
                      <w:lang w:val="en-US"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9"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A4.5资源综合利用</w:t>
                  </w:r>
                </w:p>
              </w:tc>
              <w:tc>
                <w:tcPr>
                  <w:tcW w:w="2830"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eastAsia="宋体"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市</w:t>
                  </w:r>
                  <w:r>
                    <w:rPr>
                      <w:rFonts w:hint="eastAsia" w:ascii="Times New Roman" w:hAnsi="Times New Roman" w:eastAsia="宋体"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生活垃圾处理设施，到2025年，全疆城市生活垃圾无害化处理率达到99%以上。</w:t>
                  </w:r>
                </w:p>
              </w:tc>
              <w:tc>
                <w:tcPr>
                  <w:tcW w:w="1651"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ascii="Times New Roman" w:hAnsi="Times New Roman" w:eastAsia="宋体" w:cs="Times New Roman"/>
                      <w:b w:val="0"/>
                      <w:bCs/>
                      <w:color w:val="auto"/>
                      <w:spacing w:val="0"/>
                      <w:kern w:val="0"/>
                      <w:position w:val="0"/>
                      <w:sz w:val="21"/>
                      <w:szCs w:val="21"/>
                      <w:lang w:val="en-US" w:eastAsia="zh-CN" w:bidi="zh-CN"/>
                    </w:rPr>
                    <w:t>符合，本项目废石回填</w:t>
                  </w:r>
                  <w:r>
                    <w:rPr>
                      <w:rFonts w:hint="eastAsia" w:cs="Times New Roman"/>
                      <w:b w:val="0"/>
                      <w:bCs/>
                      <w:color w:val="auto"/>
                      <w:spacing w:val="0"/>
                      <w:kern w:val="0"/>
                      <w:position w:val="0"/>
                      <w:sz w:val="21"/>
                      <w:szCs w:val="21"/>
                      <w:lang w:val="en-US" w:eastAsia="zh-CN" w:bidi="zh-CN"/>
                    </w:rPr>
                    <w:t>采坑</w:t>
                  </w:r>
                  <w:r>
                    <w:rPr>
                      <w:rFonts w:hint="eastAsia" w:ascii="Times New Roman" w:hAnsi="Times New Roman" w:eastAsia="宋体" w:cs="Times New Roman"/>
                      <w:b w:val="0"/>
                      <w:bCs/>
                      <w:color w:val="auto"/>
                      <w:spacing w:val="0"/>
                      <w:kern w:val="0"/>
                      <w:position w:val="0"/>
                      <w:sz w:val="21"/>
                      <w:szCs w:val="21"/>
                      <w:lang w:val="en-US" w:eastAsia="zh-CN" w:bidi="zh-CN"/>
                    </w:rPr>
                    <w:t>，利用率为100%。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0"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2830"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〔A4.5-3〕结合工业领域减污降碳要求，加快探索钢铁、有色、化工、建材等重点行业工业固体废物减量化路径，全面推行清洁生产。全面推进绿色矿山、</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无废</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矿区建设，推广尾矿等大宗工业固体废物环境友好型井下充填回填，减少尾矿库贮存量。推动大宗工业固体废物在提取有价组分、生产建材、筑路、生态修复、土壤治理等领域的规模化利用。</w:t>
                  </w:r>
                </w:p>
              </w:tc>
              <w:tc>
                <w:tcPr>
                  <w:tcW w:w="1651"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ascii="Times New Roman" w:hAnsi="Times New Roman" w:eastAsia="宋体" w:cs="Times New Roman"/>
                      <w:b w:val="0"/>
                      <w:bCs/>
                      <w:color w:val="auto"/>
                      <w:spacing w:val="0"/>
                      <w:kern w:val="0"/>
                      <w:position w:val="0"/>
                      <w:sz w:val="21"/>
                      <w:szCs w:val="21"/>
                      <w:lang w:val="en-US" w:eastAsia="zh-CN" w:bidi="zh-CN"/>
                    </w:rPr>
                    <w:t>符合，本项目废石回填</w:t>
                  </w:r>
                  <w:r>
                    <w:rPr>
                      <w:rFonts w:hint="eastAsia" w:cs="Times New Roman"/>
                      <w:b w:val="0"/>
                      <w:bCs/>
                      <w:color w:val="auto"/>
                      <w:spacing w:val="0"/>
                      <w:kern w:val="0"/>
                      <w:position w:val="0"/>
                      <w:sz w:val="21"/>
                      <w:szCs w:val="21"/>
                      <w:lang w:val="en-US" w:eastAsia="zh-CN" w:bidi="zh-CN"/>
                    </w:rPr>
                    <w:t>采坑</w:t>
                  </w:r>
                  <w:r>
                    <w:rPr>
                      <w:rFonts w:hint="eastAsia" w:ascii="Times New Roman" w:hAnsi="Times New Roman" w:eastAsia="宋体" w:cs="Times New Roman"/>
                      <w:b w:val="0"/>
                      <w:bCs/>
                      <w:color w:val="auto"/>
                      <w:spacing w:val="0"/>
                      <w:kern w:val="0"/>
                      <w:position w:val="0"/>
                      <w:sz w:val="21"/>
                      <w:szCs w:val="21"/>
                      <w:lang w:val="en-US" w:eastAsia="zh-CN" w:bidi="zh-CN"/>
                    </w:rPr>
                    <w:t>，利用率为100%。</w:t>
                  </w:r>
                </w:p>
              </w:tc>
            </w:tr>
          </w:tbl>
          <w:p>
            <w:pPr>
              <w:bidi w:val="0"/>
              <w:rPr>
                <w:rFonts w:hint="eastAsia"/>
                <w:color w:val="auto"/>
                <w:lang w:eastAsia="zh-CN"/>
              </w:rPr>
            </w:pPr>
            <w:r>
              <w:rPr>
                <w:rFonts w:hint="eastAsia"/>
                <w:color w:val="auto"/>
              </w:rPr>
              <w:t>综上所述</w:t>
            </w:r>
            <w:r>
              <w:rPr>
                <w:color w:val="auto"/>
              </w:rPr>
              <w:t>，</w:t>
            </w:r>
            <w:r>
              <w:rPr>
                <w:rFonts w:hint="eastAsia"/>
                <w:color w:val="auto"/>
              </w:rPr>
              <w:t>项目</w:t>
            </w:r>
            <w:r>
              <w:rPr>
                <w:color w:val="auto"/>
              </w:rPr>
              <w:t>符合</w:t>
            </w:r>
            <w:r>
              <w:rPr>
                <w:rFonts w:hint="eastAsia" w:ascii="Times New Roman" w:hAnsi="Times New Roman" w:eastAsia="宋体" w:cs="Times New Roman"/>
                <w:color w:val="auto"/>
                <w:kern w:val="0"/>
                <w:lang w:val="en-US" w:eastAsia="zh-CN"/>
              </w:rPr>
              <w:t>《关于印发</w:t>
            </w:r>
            <w:r>
              <w:rPr>
                <w:rFonts w:hint="eastAsia" w:cs="Times New Roman"/>
                <w:color w:val="auto"/>
                <w:kern w:val="0"/>
                <w:lang w:val="en-US" w:eastAsia="zh-CN"/>
              </w:rPr>
              <w:t>〈</w:t>
            </w:r>
            <w:r>
              <w:rPr>
                <w:rFonts w:hint="eastAsia" w:ascii="Times New Roman" w:hAnsi="Times New Roman" w:eastAsia="宋体" w:cs="Times New Roman"/>
                <w:color w:val="auto"/>
                <w:kern w:val="0"/>
                <w:lang w:val="en-US" w:eastAsia="zh-CN"/>
              </w:rPr>
              <w:t>新疆维吾尔自治区生态环境分区管控动态更新成果</w:t>
            </w:r>
            <w:r>
              <w:rPr>
                <w:rFonts w:hint="eastAsia" w:cs="Times New Roman"/>
                <w:color w:val="auto"/>
                <w:kern w:val="0"/>
                <w:lang w:val="en-US" w:eastAsia="zh-CN"/>
              </w:rPr>
              <w:t>〉的通知》</w:t>
            </w:r>
            <w:r>
              <w:rPr>
                <w:rFonts w:hint="eastAsia" w:ascii="Times New Roman" w:hAnsi="Times New Roman" w:eastAsia="宋体" w:cs="Times New Roman"/>
                <w:color w:val="auto"/>
                <w:kern w:val="0"/>
                <w:lang w:val="en-US" w:eastAsia="zh-CN"/>
              </w:rPr>
              <w:t>（新政发〔2024〕157号）</w:t>
            </w:r>
            <w:r>
              <w:rPr>
                <w:rFonts w:hint="eastAsia"/>
                <w:color w:val="auto"/>
                <w:lang w:eastAsia="zh-CN"/>
              </w:rPr>
              <w:t>的要求。</w:t>
            </w:r>
          </w:p>
          <w:p>
            <w:pPr>
              <w:pStyle w:val="5"/>
              <w:bidi w:val="0"/>
              <w:rPr>
                <w:rFonts w:hint="default"/>
                <w:lang w:val="en-US" w:eastAsia="zh-CN"/>
              </w:rPr>
            </w:pPr>
            <w:r>
              <w:rPr>
                <w:rFonts w:hint="eastAsia"/>
                <w:lang w:val="en-US" w:eastAsia="zh-CN"/>
              </w:rPr>
              <w:t>2、与《自治区生态环境分区管控方案和七大片区管控要求》的符合性分析</w:t>
            </w:r>
          </w:p>
          <w:p>
            <w:pPr>
              <w:pStyle w:val="7"/>
              <w:bidi w:val="0"/>
              <w:rPr>
                <w:rFonts w:hint="default"/>
                <w:lang w:val="en-US" w:eastAsia="zh-CN"/>
              </w:rPr>
            </w:pPr>
            <w:r>
              <w:rPr>
                <w:rFonts w:hint="eastAsia"/>
                <w:lang w:val="en-US" w:eastAsia="zh-CN"/>
              </w:rPr>
              <w:t>表1-2与《自治区生态环境分区管控方案和七大片区管控要求》的符合性分析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7"/>
              <w:gridCol w:w="743"/>
              <w:gridCol w:w="3952"/>
              <w:gridCol w:w="216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48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管控类别</w:t>
                  </w: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管控要求</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restar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生态环境分区管控</w:t>
                  </w:r>
                </w:p>
              </w:tc>
              <w:tc>
                <w:tcPr>
                  <w:tcW w:w="489" w:type="pct"/>
                  <w:vMerge w:val="restar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空间布局约束</w:t>
                  </w: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严格执行国家、自治区产业政策和环境准入要求，严禁</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三高</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项目进新疆，坚决遏制</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两高</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项目盲目发展。</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符合，本项目不属于</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三高（高污染、高能耗、高环境风险）</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及</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两高</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489"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禁止引进能（水）耗不符合相关国家标准中准入值要求，且污染物排放和环境风险防控不符合国家（地方）标准及有关产业准入条件的高污染（排放）、高能（水）耗、高环境风险的工业项目。</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符合，</w:t>
                  </w:r>
                  <w:r>
                    <w:rPr>
                      <w:rFonts w:hint="eastAsia" w:ascii="Times New Roman" w:hAnsi="Times New Roman" w:eastAsia="宋体" w:cs="Times New Roman"/>
                      <w:color w:val="000000"/>
                      <w:sz w:val="21"/>
                      <w:szCs w:val="21"/>
                      <w:highlight w:val="none"/>
                      <w:lang w:val="en-US" w:eastAsia="zh-CN"/>
                    </w:rPr>
                    <w:t>本项目运营期主要消耗一定量的水、电，资源消耗量较少。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9" w:type="pct"/>
                  <w:vMerge w:val="restar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污染物排放管控</w:t>
                  </w: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深化行业污染源头治理，深入开展火电行业减排，全力推进钢铁行业超低排放</w:t>
                  </w:r>
                  <w:r>
                    <w:rPr>
                      <w:rFonts w:hint="eastAsia" w:ascii="Times New Roman" w:hAnsi="Times New Roman" w:eastAsia="宋体" w:cs="Times New Roman"/>
                      <w:color w:val="000000"/>
                      <w:sz w:val="21"/>
                      <w:szCs w:val="21"/>
                      <w:highlight w:val="none"/>
                      <w:lang w:val="en-US" w:eastAsia="zh-CN"/>
                    </w:rPr>
                    <w:t>改造</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有序推进石化行业</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泄漏检测与修复</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技术改造。强化煤化工、</w:t>
                  </w:r>
                  <w:r>
                    <w:rPr>
                      <w:rFonts w:hint="eastAsia" w:ascii="Times New Roman" w:hAnsi="Times New Roman" w:eastAsia="宋体" w:cs="Times New Roman"/>
                      <w:color w:val="000000"/>
                      <w:sz w:val="21"/>
                      <w:szCs w:val="21"/>
                      <w:highlight w:val="none"/>
                      <w:lang w:val="en-US" w:eastAsia="zh-CN"/>
                    </w:rPr>
                    <w:t>石</w:t>
                  </w:r>
                  <w:r>
                    <w:rPr>
                      <w:rFonts w:hint="default" w:ascii="Times New Roman" w:hAnsi="Times New Roman" w:eastAsia="宋体" w:cs="Times New Roman"/>
                      <w:color w:val="000000"/>
                      <w:sz w:val="21"/>
                      <w:szCs w:val="21"/>
                      <w:highlight w:val="none"/>
                      <w:lang w:val="en-US" w:eastAsia="zh-CN"/>
                    </w:rPr>
                    <w:t>化、有机化</w:t>
                  </w:r>
                  <w:r>
                    <w:rPr>
                      <w:rFonts w:hint="eastAsia" w:ascii="Times New Roman" w:hAnsi="Times New Roman" w:eastAsia="宋体" w:cs="Times New Roman"/>
                      <w:color w:val="000000"/>
                      <w:sz w:val="21"/>
                      <w:szCs w:val="21"/>
                      <w:highlight w:val="none"/>
                      <w:lang w:val="en-US" w:eastAsia="zh-CN"/>
                    </w:rPr>
                    <w:t>工</w:t>
                  </w:r>
                  <w:r>
                    <w:rPr>
                      <w:rFonts w:hint="default" w:ascii="Times New Roman" w:hAnsi="Times New Roman" w:eastAsia="宋体" w:cs="Times New Roman"/>
                      <w:color w:val="000000"/>
                      <w:sz w:val="21"/>
                      <w:szCs w:val="21"/>
                      <w:highlight w:val="none"/>
                      <w:lang w:val="en-US" w:eastAsia="zh-CN"/>
                    </w:rPr>
                    <w:t>、表面涂装、包装印刷等重点行业挥发性有机物控制。</w:t>
                  </w:r>
                  <w:r>
                    <w:rPr>
                      <w:rFonts w:hint="eastAsia" w:ascii="Times New Roman" w:hAnsi="Times New Roman" w:eastAsia="宋体" w:cs="Times New Roman"/>
                      <w:color w:val="000000"/>
                      <w:sz w:val="21"/>
                      <w:szCs w:val="21"/>
                      <w:highlight w:val="none"/>
                      <w:lang w:val="en-US" w:eastAsia="zh-CN"/>
                    </w:rPr>
                    <w:t>深入开展</w:t>
                  </w:r>
                  <w:r>
                    <w:rPr>
                      <w:rFonts w:hint="default" w:ascii="Times New Roman" w:hAnsi="Times New Roman" w:eastAsia="宋体" w:cs="Times New Roman"/>
                      <w:color w:val="000000"/>
                      <w:sz w:val="21"/>
                      <w:szCs w:val="21"/>
                      <w:highlight w:val="none"/>
                      <w:lang w:val="en-US" w:eastAsia="zh-CN"/>
                    </w:rPr>
                    <w:t>燃煤锅炉污染综合整治，深化工业炉窑综合治理。加强</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散乱污</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企业综合整治。优化区域交通运输结构，加快货物运输绿色转型，做好车油联合管控。</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符合，</w:t>
                  </w:r>
                  <w:r>
                    <w:rPr>
                      <w:rFonts w:hint="eastAsia" w:ascii="Times New Roman" w:hAnsi="Times New Roman" w:eastAsia="宋体" w:cs="Times New Roman"/>
                      <w:color w:val="000000"/>
                      <w:sz w:val="21"/>
                      <w:szCs w:val="21"/>
                      <w:highlight w:val="none"/>
                      <w:lang w:val="en-US" w:eastAsia="zh-CN"/>
                    </w:rPr>
                    <w:t>本项目不属于重污染工业类项目。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9"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大气排放污染物的企业事业单位和其他生产经营者应当履行大气污染防治的法定义务，执行大气污染物排放标准，遵守大气污染物排放总量控制要求。</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w:t>
                  </w:r>
                  <w:r>
                    <w:rPr>
                      <w:rFonts w:hint="eastAsia" w:cs="Times New Roman"/>
                      <w:color w:val="000000"/>
                      <w:sz w:val="21"/>
                      <w:szCs w:val="21"/>
                      <w:highlight w:val="none"/>
                      <w:lang w:val="en-US" w:eastAsia="zh-CN"/>
                    </w:rPr>
                    <w:t>不涉及总量控制。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9"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实施挥发性有机物及恶臭治理。加快石化企业脱硫以及动力车间脱硫、脱硝工作，加强罐区油气治理、装卸储运油气回收以及工艺废气挥发性有机物治理、恶臭治理。积极推进陶瓷、玻璃、砖瓦等建材行业二氧化硫、烟粉尘控制。在石化、有机化工、煤化工等重点行业开展挥发性有机物综合治理，在石化行业开展</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泄漏</w:t>
                  </w:r>
                  <w:r>
                    <w:rPr>
                      <w:rFonts w:hint="default" w:ascii="Times New Roman" w:hAnsi="Times New Roman" w:eastAsia="宋体" w:cs="Times New Roman"/>
                      <w:color w:val="000000"/>
                      <w:sz w:val="21"/>
                      <w:szCs w:val="21"/>
                      <w:highlight w:val="none"/>
                      <w:lang w:val="en-US" w:eastAsia="zh-CN"/>
                    </w:rPr>
                    <w:t>检测与修复</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技术改造。建立挥发性有机物重点监管企业名录。积极推进加油站、储油库和油罐车开展油气回收，完成所有加油站、储油库和油罐车油气回收治理。</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w:t>
                  </w:r>
                  <w:r>
                    <w:rPr>
                      <w:rFonts w:hint="default" w:ascii="Times New Roman" w:hAnsi="Times New Roman" w:eastAsia="宋体" w:cs="Times New Roman"/>
                      <w:color w:val="000000"/>
                      <w:sz w:val="21"/>
                      <w:szCs w:val="21"/>
                      <w:highlight w:val="none"/>
                      <w:lang w:val="en-US" w:eastAsia="zh-CN"/>
                    </w:rPr>
                    <w:t>挥发性有机物及恶臭</w:t>
                  </w:r>
                  <w:r>
                    <w:rPr>
                      <w:rFonts w:hint="eastAsia" w:ascii="Times New Roman" w:hAnsi="Times New Roman" w:eastAsia="宋体" w:cs="Times New Roman"/>
                      <w:color w:val="000000"/>
                      <w:sz w:val="21"/>
                      <w:szCs w:val="21"/>
                      <w:highlight w:val="no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环境风险防控</w:t>
                  </w: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禁止在化工园区外新建、扩建危险化学品生产项目。严格落实危险废物处置相关要求。加强重点流域水环境风险管控，保障水环境安全。</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符合，本项目不属于危险化学品生产项目。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9" w:type="pct"/>
                  <w:vMerge w:val="restar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资源利用效率</w:t>
                  </w: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优化能源结构，控制煤炭等化石能源使用量，鼓励使用清洁能源，协同推进减污降碳。全面实施节水工程，合理开发利用水资源，提升水资源利用效率，保障生态用水，严防地下水超采。</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符合，本项目生产废水经沉淀后循环使用，不外排。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85"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9" w:type="pct"/>
                  <w:vMerge w:val="continue"/>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2599"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强化工业水循环利用。推进加强洗煤废水循环利用。在高耗水行业开展试点示范，筛选具有明显经济效益的节水治污技术。鼓励纺织印染、石油石化、煤化工等高耗水企业废水深度处理回用。具备使用再生水条件但未充分利用的项目，不得批准其新增取水许可。</w:t>
                  </w:r>
                </w:p>
              </w:tc>
              <w:tc>
                <w:tcPr>
                  <w:tcW w:w="1425" w:type="pc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符合，本项目生产废水经沉淀后循环使用，不外排。</w:t>
                  </w:r>
                </w:p>
              </w:tc>
            </w:tr>
          </w:tbl>
          <w:p>
            <w:pPr>
              <w:pStyle w:val="5"/>
              <w:bidi w:val="0"/>
              <w:rPr>
                <w:rFonts w:hint="default"/>
                <w:color w:val="auto"/>
              </w:rPr>
            </w:pPr>
            <w:r>
              <w:rPr>
                <w:rFonts w:hint="eastAsia"/>
                <w:color w:val="auto"/>
                <w:lang w:val="en-US" w:eastAsia="zh-CN"/>
              </w:rPr>
              <w:t>3、与</w:t>
            </w:r>
            <w:r>
              <w:rPr>
                <w:rFonts w:hint="eastAsia"/>
                <w:color w:val="auto"/>
                <w:lang w:eastAsia="zh-CN"/>
              </w:rPr>
              <w:t>《</w:t>
            </w:r>
            <w:r>
              <w:rPr>
                <w:rFonts w:hint="eastAsia" w:ascii="Times New Roman" w:hAnsi="Times New Roman" w:cs="Times New Roman"/>
                <w:b/>
                <w:bCs w:val="0"/>
                <w:color w:val="auto"/>
                <w:sz w:val="24"/>
                <w:lang w:val="en-US" w:eastAsia="zh-CN"/>
              </w:rPr>
              <w:t>关于印发巴音郭楞蒙古自治州“三线一单”生态环境分区管控动态更新成果（2023年）的通知</w:t>
            </w:r>
            <w:r>
              <w:rPr>
                <w:rFonts w:hint="eastAsia"/>
                <w:color w:val="auto"/>
                <w:lang w:eastAsia="zh-CN"/>
              </w:rPr>
              <w:t>》</w:t>
            </w:r>
            <w:r>
              <w:rPr>
                <w:rFonts w:hint="eastAsia" w:ascii="Times New Roman" w:hAnsi="Times New Roman" w:cs="Times New Roman"/>
                <w:b/>
                <w:bCs w:val="0"/>
                <w:color w:val="auto"/>
                <w:sz w:val="24"/>
                <w:lang w:val="en-US" w:eastAsia="zh-CN"/>
              </w:rPr>
              <w:t>（巴政办发〔2024〕32号）</w:t>
            </w:r>
            <w:r>
              <w:rPr>
                <w:rFonts w:hint="eastAsia"/>
                <w:color w:val="auto"/>
                <w:lang w:val="en-US" w:eastAsia="zh-CN"/>
              </w:rPr>
              <w:t>的</w:t>
            </w:r>
            <w:r>
              <w:rPr>
                <w:rFonts w:hint="default"/>
                <w:color w:val="auto"/>
              </w:rPr>
              <w:t>符合性</w:t>
            </w:r>
          </w:p>
          <w:p>
            <w:pPr>
              <w:bidi w:val="0"/>
              <w:rPr>
                <w:rFonts w:hint="eastAsia" w:eastAsia="宋体"/>
                <w:color w:val="auto"/>
                <w:lang w:eastAsia="zh-CN"/>
              </w:rPr>
            </w:pPr>
            <w:r>
              <w:rPr>
                <w:rFonts w:hint="eastAsia"/>
                <w:color w:val="auto"/>
                <w:lang w:val="en-US" w:eastAsia="zh-CN"/>
              </w:rPr>
              <w:t>本项目与《关于印发巴州“三线一单”生态环境分区管控动态更新成果（2023年）的通知》（巴政办发〔2024〕32号）的符合性分析，根据“三线一单”分析研判的结果，本项目涉及2个管控单元，详见表1-2</w:t>
            </w:r>
            <w:r>
              <w:rPr>
                <w:rFonts w:hint="eastAsia"/>
                <w:color w:val="auto"/>
                <w:lang w:eastAsia="zh-CN"/>
              </w:rPr>
              <w:t>。</w:t>
            </w:r>
          </w:p>
          <w:p>
            <w:pPr>
              <w:pStyle w:val="6"/>
              <w:bidi w:val="0"/>
              <w:rPr>
                <w:rFonts w:hint="eastAsia"/>
                <w:color w:val="auto"/>
                <w:lang w:eastAsia="zh-CN"/>
              </w:rPr>
            </w:pPr>
            <w:r>
              <w:rPr>
                <w:rFonts w:hint="eastAsia"/>
                <w:color w:val="auto"/>
                <w:lang w:val="en-US" w:eastAsia="zh-CN"/>
              </w:rPr>
              <w:t>表1-3 与自治州“三线一单”生态环境分区管控方案</w:t>
            </w:r>
            <w:r>
              <w:rPr>
                <w:rFonts w:hint="default"/>
                <w:color w:val="auto"/>
                <w:lang w:val="en-US" w:eastAsia="zh-CN"/>
              </w:rPr>
              <w:t>符合分析</w:t>
            </w:r>
          </w:p>
          <w:tbl>
            <w:tblPr>
              <w:tblStyle w:val="30"/>
              <w:tblW w:w="488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9"/>
              <w:gridCol w:w="688"/>
              <w:gridCol w:w="3139"/>
              <w:gridCol w:w="2335"/>
              <w:gridCol w:w="4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31" w:type="pct"/>
                  <w:tcBorders>
                    <w:tl2br w:val="nil"/>
                    <w:tr2bl w:val="nil"/>
                  </w:tcBorders>
                  <w:shd w:val="clear" w:color="auto" w:fill="auto"/>
                  <w:noWrap w:val="0"/>
                  <w:vAlign w:val="center"/>
                </w:tcPr>
                <w:p>
                  <w:pPr>
                    <w:pStyle w:val="2"/>
                    <w:bidi w:val="0"/>
                    <w:rPr>
                      <w:rFonts w:hint="default"/>
                      <w:color w:val="auto"/>
                      <w:lang w:val="en-US" w:eastAsia="zh-CN"/>
                    </w:rPr>
                  </w:pPr>
                  <w:r>
                    <w:rPr>
                      <w:rFonts w:hint="default"/>
                      <w:color w:val="auto"/>
                      <w:lang w:val="en-US" w:eastAsia="zh-CN"/>
                    </w:rPr>
                    <w:t>环境管控单元名称及编码</w:t>
                  </w:r>
                </w:p>
              </w:tc>
              <w:tc>
                <w:tcPr>
                  <w:tcW w:w="2575" w:type="pct"/>
                  <w:gridSpan w:val="2"/>
                  <w:tcBorders>
                    <w:tl2br w:val="nil"/>
                    <w:tr2bl w:val="nil"/>
                  </w:tcBorders>
                  <w:shd w:val="clear" w:color="auto" w:fill="auto"/>
                  <w:noWrap w:val="0"/>
                  <w:vAlign w:val="center"/>
                </w:tcPr>
                <w:p>
                  <w:pPr>
                    <w:pStyle w:val="2"/>
                    <w:bidi w:val="0"/>
                    <w:rPr>
                      <w:rFonts w:hint="default"/>
                      <w:color w:val="auto"/>
                      <w:lang w:val="en-US" w:eastAsia="zh-CN"/>
                    </w:rPr>
                  </w:pPr>
                  <w:r>
                    <w:rPr>
                      <w:rFonts w:hint="eastAsia"/>
                      <w:color w:val="auto"/>
                      <w:lang w:val="en-US" w:eastAsia="zh-CN"/>
                    </w:rPr>
                    <w:t>“</w:t>
                  </w:r>
                  <w:r>
                    <w:rPr>
                      <w:rFonts w:hint="default"/>
                      <w:color w:val="auto"/>
                      <w:lang w:val="en-US" w:eastAsia="zh-CN"/>
                    </w:rPr>
                    <w:t>三线一单</w:t>
                  </w:r>
                  <w:r>
                    <w:rPr>
                      <w:rFonts w:hint="eastAsia"/>
                      <w:color w:val="auto"/>
                      <w:lang w:val="en-US" w:eastAsia="zh-CN"/>
                    </w:rPr>
                    <w:t>”</w:t>
                  </w:r>
                  <w:r>
                    <w:rPr>
                      <w:rFonts w:hint="default"/>
                      <w:color w:val="auto"/>
                      <w:lang w:val="en-US" w:eastAsia="zh-CN"/>
                    </w:rPr>
                    <w:t>要求</w:t>
                  </w:r>
                </w:p>
              </w:tc>
              <w:tc>
                <w:tcPr>
                  <w:tcW w:w="1571" w:type="pct"/>
                  <w:tcBorders>
                    <w:tl2br w:val="nil"/>
                    <w:tr2bl w:val="nil"/>
                  </w:tcBorders>
                  <w:shd w:val="clear" w:color="auto" w:fill="auto"/>
                  <w:noWrap w:val="0"/>
                  <w:vAlign w:val="center"/>
                </w:tcPr>
                <w:p>
                  <w:pPr>
                    <w:pStyle w:val="2"/>
                    <w:bidi w:val="0"/>
                    <w:rPr>
                      <w:rFonts w:hint="default"/>
                      <w:color w:val="auto"/>
                      <w:lang w:val="en-US" w:eastAsia="zh-CN"/>
                    </w:rPr>
                  </w:pPr>
                  <w:r>
                    <w:rPr>
                      <w:rFonts w:hint="eastAsia"/>
                      <w:color w:val="auto"/>
                      <w:lang w:val="en-US" w:eastAsia="zh-CN"/>
                    </w:rPr>
                    <w:t>本项目</w:t>
                  </w:r>
                </w:p>
              </w:tc>
              <w:tc>
                <w:tcPr>
                  <w:tcW w:w="321" w:type="pct"/>
                  <w:tcBorders>
                    <w:tl2br w:val="nil"/>
                    <w:tr2bl w:val="nil"/>
                  </w:tcBorders>
                  <w:shd w:val="clear" w:color="auto" w:fill="auto"/>
                  <w:noWrap w:val="0"/>
                  <w:vAlign w:val="center"/>
                </w:tcPr>
                <w:p>
                  <w:pPr>
                    <w:pStyle w:val="2"/>
                    <w:bidi w:val="0"/>
                    <w:rPr>
                      <w:rFonts w:hint="default"/>
                      <w:color w:val="auto"/>
                      <w:lang w:val="en-US" w:eastAsia="zh-CN"/>
                    </w:rPr>
                  </w:pPr>
                  <w:r>
                    <w:rPr>
                      <w:rFonts w:hint="eastAsia"/>
                      <w:color w:val="auto"/>
                      <w:lang w:val="en-US"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31"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ZH65282610003焉耆县一般生态空间优先管控单元</w:t>
                  </w:r>
                </w:p>
              </w:tc>
              <w:tc>
                <w:tcPr>
                  <w:tcW w:w="463"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空间管控约束</w:t>
                  </w:r>
                </w:p>
              </w:tc>
              <w:tc>
                <w:tcPr>
                  <w:tcW w:w="2111"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1.执行总体管控要求中关于防风固沙区空间布局约束的准入要求。</w:t>
                  </w:r>
                </w:p>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对具有重要生态功能的林区、草原应划定禁垦区、禁伐区或禁牧区，严格管护。对毁林毁草开垦的耕地和造成废弃地，要按照“谁批准谁负责，谁破坏谁恢复”的原则，加强森林草原防火和病虫害、鼠害防治工作，努力减少林草资源灾害性损失。</w:t>
                  </w:r>
                </w:p>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3.矿产资源的开发利用必须严格规划和管理</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选取有利于生态环境保护的工期、区域和方式把开发活动对生态破坏的程度减少到最低限度，矿产资源开发必须落实生态环境保护措施，尽可能避免和减少对生态环境的破坏。已造成破坏的，开发者必须限期恢复。已停止采矿或关闭的矿山、坑口，必须及时做好土地复垦。在一切区域开发矿产资源，必须严格遵守相关的法律、法规，依法履行环境影响评价制度和“三同时”制度。</w:t>
                  </w:r>
                </w:p>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4.旅游资源的开发利用必须严格按照全域旅游规划和管理，选取有利于生态环境保护的工期、区域和方式，把开发活动对生态破坏的程度减少到最低限度。</w:t>
                  </w:r>
                </w:p>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5.按照围绕焉耆盆地中心城市定位</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形成以焉耆县为中心的城市群”的发展规划与生态环境保护相结合，加强区域性公共服务设施的谋划，加强对教育、医疗、文化等区域性功能的配置，同时加强对商贸物流产业的分析布局，提出符合焉耆县北四县中心城市相匹配的公共服务设施配置体系。在一切区域进行城乡建设，必须严格遵守相关的法律、法规，依</w:t>
                  </w:r>
                  <w:r>
                    <w:rPr>
                      <w:rFonts w:hint="eastAsia" w:ascii="Times New Roman" w:hAnsi="Times New Roman" w:eastAsia="宋体" w:cs="Times New Roman"/>
                      <w:color w:val="auto"/>
                      <w:lang w:val="en-US" w:eastAsia="zh-CN"/>
                    </w:rPr>
                    <w:t>法执</w:t>
                  </w:r>
                  <w:r>
                    <w:rPr>
                      <w:rFonts w:hint="default" w:ascii="Times New Roman" w:hAnsi="Times New Roman" w:eastAsia="宋体" w:cs="Times New Roman"/>
                      <w:color w:val="auto"/>
                      <w:lang w:val="en-US" w:eastAsia="zh-CN"/>
                    </w:rPr>
                    <w:t>行环境影响评价制度和“三同时”制度。</w:t>
                  </w:r>
                </w:p>
              </w:tc>
              <w:tc>
                <w:tcPr>
                  <w:tcW w:w="1571" w:type="pct"/>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1.本项目严格执行</w:t>
                  </w:r>
                  <w:r>
                    <w:rPr>
                      <w:rFonts w:hint="default" w:ascii="Times New Roman" w:hAnsi="Times New Roman" w:eastAsia="宋体" w:cs="Times New Roman"/>
                      <w:color w:val="auto"/>
                      <w:lang w:val="en-US" w:eastAsia="zh-CN"/>
                    </w:rPr>
                    <w:t>总体管控要求中关于防风固沙区空间布局约束的准入要求</w:t>
                  </w:r>
                  <w:r>
                    <w:rPr>
                      <w:rFonts w:hint="eastAsia" w:ascii="Times New Roman" w:hAnsi="Times New Roman" w:eastAsia="宋体" w:cs="Times New Roman"/>
                      <w:color w:val="auto"/>
                      <w:lang w:val="en-US" w:eastAsia="zh-CN"/>
                    </w:rPr>
                    <w:t>。</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2.本项目已编制《新疆富华石业有限公司新疆焉耆县霍拉山14号花岗岩矿矿产资源开发利用与生态保护修复方案》，并取得评审意见</w:t>
                  </w:r>
                  <w:r>
                    <w:rPr>
                      <w:rFonts w:hint="eastAsia" w:cs="Times New Roman"/>
                      <w:color w:val="auto"/>
                      <w:lang w:val="en-US" w:eastAsia="zh-CN"/>
                    </w:rPr>
                    <w:t>，严格按照该方案开展复垦工作</w:t>
                  </w:r>
                  <w:r>
                    <w:rPr>
                      <w:rFonts w:hint="eastAsia" w:ascii="Times New Roman" w:hAnsi="Times New Roman" w:eastAsia="宋体" w:cs="Times New Roman"/>
                      <w:color w:val="auto"/>
                      <w:lang w:val="en-US" w:eastAsia="zh-CN"/>
                    </w:rPr>
                    <w:t>。</w:t>
                  </w:r>
                </w:p>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3.本项目已编制《新疆富华石业有限公司新疆焉耆县霍拉山14号花岗岩矿矿产资源开发利用与生态保护修复方案》，并取得评审意见，将严格按照该方案进行矿山恢复。并按照“三同时”制度开展环保验收。</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4.本项目不涉及。</w:t>
                  </w:r>
                </w:p>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5.本项目不涉及。</w:t>
                  </w:r>
                </w:p>
              </w:tc>
              <w:tc>
                <w:tcPr>
                  <w:tcW w:w="321"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31" w:type="pct"/>
                  <w:vMerge w:val="restar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ZH65282630001焉耆回族自治县一般管控单元一般管控单元</w:t>
                  </w:r>
                </w:p>
              </w:tc>
              <w:tc>
                <w:tcPr>
                  <w:tcW w:w="463"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空间管控约束</w:t>
                  </w:r>
                </w:p>
              </w:tc>
              <w:tc>
                <w:tcPr>
                  <w:tcW w:w="2111" w:type="pct"/>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1.建设项目用地原则上不得占用基本农田，确需占用基本农田的建设项目须符合《中华人民共和国基本农田保护条例》中相关要求，占用耕地、林地或草地的建设项目须按照国家、自治区相关补偿要求进行补偿。</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2.对违反资源环境法律法规、规划，污染环境、破坏生态、乱采滥挖的露天矿山，依法整治</w:t>
                  </w:r>
                  <w:r>
                    <w:rPr>
                      <w:rFonts w:hint="eastAsia" w:cs="Times New Roman"/>
                      <w:color w:val="auto"/>
                      <w:lang w:val="en-US" w:eastAsia="zh-CN"/>
                    </w:rPr>
                    <w:t>：</w:t>
                  </w:r>
                  <w:r>
                    <w:rPr>
                      <w:rFonts w:hint="eastAsia" w:ascii="Times New Roman" w:hAnsi="Times New Roman" w:eastAsia="宋体" w:cs="Times New Roman"/>
                      <w:color w:val="auto"/>
                      <w:lang w:val="en-US" w:eastAsia="zh-CN"/>
                    </w:rPr>
                    <w:t>对污染治理不规范的露天矿山，依法责令停产整治，对拒不停产或擅自恢复生产的依法强制关闭</w:t>
                  </w:r>
                  <w:r>
                    <w:rPr>
                      <w:rFonts w:hint="eastAsia" w:cs="Times New Roman"/>
                      <w:color w:val="auto"/>
                      <w:lang w:val="en-US" w:eastAsia="zh-CN"/>
                    </w:rPr>
                    <w:t>：</w:t>
                  </w:r>
                  <w:r>
                    <w:rPr>
                      <w:rFonts w:hint="eastAsia" w:ascii="Times New Roman" w:hAnsi="Times New Roman" w:eastAsia="宋体" w:cs="Times New Roman"/>
                      <w:color w:val="auto"/>
                      <w:lang w:val="en-US" w:eastAsia="zh-CN"/>
                    </w:rPr>
                    <w:t>对责任主体灭失的露天矿山，要加强修复绿化、减尘抑尘。</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3.永久基本农田集中区域禁止规划新建可能造成土壤污染的建设项目。涉及有毒有害物质可能造成土壤污染的新</w:t>
                  </w:r>
                  <w:r>
                    <w:rPr>
                      <w:rFonts w:hint="eastAsia" w:cs="Times New Roman"/>
                      <w:color w:val="auto"/>
                      <w:lang w:val="en-US" w:eastAsia="zh-CN"/>
                    </w:rPr>
                    <w:t>（</w:t>
                  </w:r>
                  <w:r>
                    <w:rPr>
                      <w:rFonts w:hint="eastAsia" w:ascii="Times New Roman" w:hAnsi="Times New Roman" w:eastAsia="宋体" w:cs="Times New Roman"/>
                      <w:color w:val="auto"/>
                      <w:lang w:val="en-US" w:eastAsia="zh-CN"/>
                    </w:rPr>
                    <w:t>改、扩</w:t>
                  </w:r>
                  <w:r>
                    <w:rPr>
                      <w:rFonts w:hint="eastAsia" w:cs="Times New Roman"/>
                      <w:color w:val="auto"/>
                      <w:lang w:val="en-US" w:eastAsia="zh-CN"/>
                    </w:rPr>
                    <w:t>）</w:t>
                  </w:r>
                  <w:r>
                    <w:rPr>
                      <w:rFonts w:hint="eastAsia" w:ascii="Times New Roman" w:hAnsi="Times New Roman" w:eastAsia="宋体" w:cs="Times New Roman"/>
                      <w:color w:val="auto"/>
                      <w:lang w:val="en-US" w:eastAsia="zh-CN"/>
                    </w:rPr>
                    <w:t>建项目，提出并落实土壤和地下水污染防治要求。</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4.严格执行畜禽养殖禁养区规定，根据区域用地和消纳水平，合理确定养殖规模。</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5.禁止向沙漠、滩涂、盐碱地、沼泽地等非法排污、倾倒有毒有害物质。</w:t>
                  </w:r>
                </w:p>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6.禁止利用渗坑、裂隙、溶洞或者采用稀释等方法处置危险废物。</w:t>
                  </w:r>
                </w:p>
              </w:tc>
              <w:tc>
                <w:tcPr>
                  <w:tcW w:w="1571" w:type="pct"/>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1.本项目</w:t>
                  </w:r>
                  <w:r>
                    <w:rPr>
                      <w:rFonts w:hint="eastAsia" w:cs="Times New Roman"/>
                      <w:color w:val="auto"/>
                      <w:lang w:val="en-US" w:eastAsia="zh-CN"/>
                    </w:rPr>
                    <w:t>已按照</w:t>
                  </w:r>
                  <w:r>
                    <w:rPr>
                      <w:rFonts w:hint="eastAsia" w:ascii="Times New Roman" w:hAnsi="Times New Roman" w:eastAsia="宋体" w:cs="Times New Roman"/>
                      <w:color w:val="auto"/>
                      <w:lang w:val="en-US" w:eastAsia="zh-CN"/>
                    </w:rPr>
                    <w:t>《中华人民共和国基本农田保护条例》中相关要求，占用草地进行补偿。</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2.本项目</w:t>
                  </w:r>
                  <w:r>
                    <w:rPr>
                      <w:rFonts w:hint="eastAsia" w:cs="Times New Roman"/>
                      <w:color w:val="auto"/>
                      <w:lang w:val="en-US" w:eastAsia="zh-CN"/>
                    </w:rPr>
                    <w:t>已提出大气、水、固废、土壤地下水的环境保护措施，并制定了矿山修复方案，并严格执行</w:t>
                  </w:r>
                  <w:r>
                    <w:rPr>
                      <w:rFonts w:hint="eastAsia" w:ascii="Times New Roman" w:hAnsi="Times New Roman" w:eastAsia="宋体" w:cs="Times New Roman"/>
                      <w:color w:val="auto"/>
                      <w:lang w:val="en-US" w:eastAsia="zh-CN"/>
                    </w:rPr>
                    <w:t>。</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3.本项目不涉及。</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4.本项目不涉及。</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5.本项目固废均合理处置。</w:t>
                  </w:r>
                </w:p>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6.本项目危险废物集中收集至危险废物贮存库，委托有资质单位处置。</w:t>
                  </w:r>
                </w:p>
              </w:tc>
              <w:tc>
                <w:tcPr>
                  <w:tcW w:w="321" w:type="pct"/>
                  <w:tcBorders>
                    <w:tl2br w:val="nil"/>
                    <w:tr2bl w:val="nil"/>
                  </w:tcBorders>
                  <w:shd w:val="clear" w:color="auto" w:fill="auto"/>
                  <w:noWrap w:val="0"/>
                  <w:vAlign w:val="center"/>
                </w:tcPr>
                <w:p>
                  <w:pPr>
                    <w:pStyle w:val="2"/>
                    <w:bidi w:val="0"/>
                    <w:rPr>
                      <w:rFonts w:hint="default"/>
                      <w:color w:val="auto"/>
                      <w:lang w:val="en-US" w:eastAsia="zh-CN"/>
                    </w:rPr>
                  </w:pPr>
                  <w:r>
                    <w:rPr>
                      <w:rFonts w:hint="default"/>
                      <w:color w:val="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31" w:type="pct"/>
                  <w:vMerge w:val="continue"/>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p>
              </w:tc>
              <w:tc>
                <w:tcPr>
                  <w:tcW w:w="463"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污染物排放管控</w:t>
                  </w:r>
                </w:p>
              </w:tc>
              <w:tc>
                <w:tcPr>
                  <w:tcW w:w="2111" w:type="pct"/>
                  <w:tcBorders>
                    <w:tl2br w:val="nil"/>
                    <w:tr2bl w:val="nil"/>
                  </w:tcBorders>
                  <w:shd w:val="clear" w:color="auto" w:fill="auto"/>
                  <w:noWrap w:val="0"/>
                  <w:vAlign w:val="center"/>
                </w:tcPr>
                <w:p>
                  <w:pPr>
                    <w:pStyle w:val="2"/>
                    <w:bidi w:val="0"/>
                    <w:rPr>
                      <w:rFonts w:hint="default"/>
                      <w:color w:val="auto"/>
                      <w:lang w:val="en-US" w:eastAsia="zh-CN"/>
                    </w:rPr>
                  </w:pPr>
                  <w:r>
                    <w:rPr>
                      <w:rFonts w:hint="default"/>
                      <w:color w:val="auto"/>
                      <w:lang w:val="en-US" w:eastAsia="zh-CN"/>
                    </w:rPr>
                    <w:t>1.强化畜禽粪污资源化利用，改善养殖场通风环境，提高畜禽粪污综合利用率，减少氨挥发排放。鼓励和支持散养密集区实行畜禽粪污分户收集、集中处理。</w:t>
                  </w:r>
                </w:p>
                <w:p>
                  <w:pPr>
                    <w:pStyle w:val="2"/>
                    <w:bidi w:val="0"/>
                    <w:rPr>
                      <w:rFonts w:hint="default"/>
                      <w:color w:val="auto"/>
                      <w:lang w:val="en-US" w:eastAsia="zh-CN"/>
                    </w:rPr>
                  </w:pPr>
                  <w:r>
                    <w:rPr>
                      <w:rFonts w:hint="default"/>
                      <w:color w:val="auto"/>
                      <w:lang w:val="en-US" w:eastAsia="zh-CN"/>
                    </w:rPr>
                    <w:t>2.严格控制林地、草地、园地农药使用量，禁止使用高毒、高残留农药。</w:t>
                  </w:r>
                </w:p>
                <w:p>
                  <w:pPr>
                    <w:pStyle w:val="2"/>
                    <w:bidi w:val="0"/>
                    <w:rPr>
                      <w:rFonts w:hint="default"/>
                      <w:color w:val="auto"/>
                      <w:lang w:val="en-US" w:eastAsia="zh-CN"/>
                    </w:rPr>
                  </w:pPr>
                  <w:r>
                    <w:rPr>
                      <w:rFonts w:hint="default"/>
                      <w:color w:val="auto"/>
                      <w:lang w:val="en-US" w:eastAsia="zh-CN"/>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p>
                  <w:pPr>
                    <w:pStyle w:val="2"/>
                    <w:bidi w:val="0"/>
                    <w:rPr>
                      <w:rFonts w:hint="default"/>
                      <w:color w:val="auto"/>
                      <w:lang w:val="en-US" w:eastAsia="zh-CN"/>
                    </w:rPr>
                  </w:pPr>
                  <w:r>
                    <w:rPr>
                      <w:rFonts w:hint="default"/>
                      <w:color w:val="auto"/>
                      <w:lang w:val="en-US" w:eastAsia="zh-CN"/>
                    </w:rPr>
                    <w:t>4.对化学品生产企业、工业集聚区、尾矿库、矿山开采区、危险废物处置场、垃圾填埋场等地下水污染源及周边区域，逐步开展地下水环境状况调查评估，加强风险管控。</w:t>
                  </w:r>
                </w:p>
                <w:p>
                  <w:pPr>
                    <w:pStyle w:val="2"/>
                    <w:bidi w:val="0"/>
                    <w:rPr>
                      <w:rFonts w:hint="default"/>
                      <w:color w:val="auto"/>
                      <w:lang w:val="en-US" w:eastAsia="zh-CN"/>
                    </w:rPr>
                  </w:pPr>
                  <w:r>
                    <w:rPr>
                      <w:rFonts w:hint="default"/>
                      <w:color w:val="auto"/>
                      <w:lang w:val="en-US" w:eastAsia="zh-CN"/>
                    </w:rPr>
                    <w:t>5.严控土壤重金属污染，加强油</w:t>
                  </w:r>
                  <w:r>
                    <w:rPr>
                      <w:rFonts w:hint="eastAsia"/>
                      <w:color w:val="auto"/>
                      <w:lang w:val="en-US" w:eastAsia="zh-CN"/>
                    </w:rPr>
                    <w:t>（</w:t>
                  </w:r>
                  <w:r>
                    <w:rPr>
                      <w:rFonts w:hint="default"/>
                      <w:color w:val="auto"/>
                      <w:lang w:val="en-US" w:eastAsia="zh-CN"/>
                    </w:rPr>
                    <w:t>气</w:t>
                  </w:r>
                  <w:r>
                    <w:rPr>
                      <w:rFonts w:hint="eastAsia"/>
                      <w:color w:val="auto"/>
                      <w:lang w:val="en-US" w:eastAsia="zh-CN"/>
                    </w:rPr>
                    <w:t>）</w:t>
                  </w:r>
                  <w:r>
                    <w:rPr>
                      <w:rFonts w:hint="default"/>
                      <w:color w:val="auto"/>
                      <w:lang w:val="en-US" w:eastAsia="zh-CN"/>
                    </w:rPr>
                    <w:t>田开发土壤污染防治，以历史遗留工业企业污染场地为重点，开展土壤污染风险管控与修复工程。</w:t>
                  </w:r>
                </w:p>
                <w:p>
                  <w:pPr>
                    <w:pStyle w:val="2"/>
                    <w:bidi w:val="0"/>
                    <w:rPr>
                      <w:rFonts w:hint="default"/>
                      <w:color w:val="auto"/>
                      <w:lang w:val="en-US" w:eastAsia="zh-CN"/>
                    </w:rPr>
                  </w:pPr>
                  <w:r>
                    <w:rPr>
                      <w:rFonts w:hint="default"/>
                      <w:color w:val="auto"/>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571" w:type="pct"/>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1.本项目不涉及。</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2.本项目不涉及。</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3.本项目不涉及。</w:t>
                  </w:r>
                </w:p>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4.本项目不涉及地下水</w:t>
                  </w:r>
                  <w:r>
                    <w:rPr>
                      <w:rFonts w:hint="eastAsia" w:cs="Times New Roman"/>
                      <w:color w:val="auto"/>
                      <w:lang w:val="en-US" w:eastAsia="zh-CN"/>
                    </w:rPr>
                    <w:t>污染途径。</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5.本项目</w:t>
                  </w:r>
                  <w:r>
                    <w:rPr>
                      <w:rFonts w:hint="eastAsia" w:cs="Times New Roman"/>
                      <w:color w:val="auto"/>
                      <w:lang w:val="en-US" w:eastAsia="zh-CN"/>
                    </w:rPr>
                    <w:t>已采取分区防渗措施</w:t>
                  </w:r>
                  <w:r>
                    <w:rPr>
                      <w:rFonts w:hint="eastAsia" w:ascii="Times New Roman" w:hAnsi="Times New Roman" w:eastAsia="宋体" w:cs="Times New Roman"/>
                      <w:color w:val="auto"/>
                      <w:lang w:val="en-US" w:eastAsia="zh-CN"/>
                    </w:rPr>
                    <w:t>。</w:t>
                  </w:r>
                </w:p>
                <w:p>
                  <w:pPr>
                    <w:pStyle w:val="2"/>
                    <w:bidi w:val="0"/>
                    <w:rPr>
                      <w:rFonts w:hint="default"/>
                      <w:color w:val="auto"/>
                      <w:lang w:val="en-US" w:eastAsia="zh-CN"/>
                    </w:rPr>
                  </w:pPr>
                  <w:r>
                    <w:rPr>
                      <w:rFonts w:hint="eastAsia" w:ascii="Times New Roman" w:hAnsi="Times New Roman" w:eastAsia="宋体" w:cs="Times New Roman"/>
                      <w:color w:val="auto"/>
                      <w:lang w:val="en-US" w:eastAsia="zh-CN"/>
                    </w:rPr>
                    <w:t>6.本项目生活污水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ascii="Times New Roman" w:hAnsi="Times New Roman" w:eastAsia="宋体" w:cs="Times New Roman"/>
                      <w:color w:val="auto"/>
                      <w:lang w:val="en-US" w:eastAsia="zh-CN"/>
                    </w:rPr>
                    <w:t>。</w:t>
                  </w:r>
                </w:p>
              </w:tc>
              <w:tc>
                <w:tcPr>
                  <w:tcW w:w="321" w:type="pct"/>
                  <w:tcBorders>
                    <w:tl2br w:val="nil"/>
                    <w:tr2bl w:val="nil"/>
                  </w:tcBorders>
                  <w:shd w:val="clear" w:color="auto" w:fill="auto"/>
                  <w:noWrap w:val="0"/>
                  <w:vAlign w:val="center"/>
                </w:tcPr>
                <w:p>
                  <w:pPr>
                    <w:pStyle w:val="2"/>
                    <w:bidi w:val="0"/>
                    <w:rPr>
                      <w:rFonts w:hint="default"/>
                      <w:color w:val="auto"/>
                      <w:lang w:val="en-US" w:eastAsia="zh-CN"/>
                    </w:rPr>
                  </w:pPr>
                  <w:r>
                    <w:rPr>
                      <w:rFonts w:hint="default"/>
                      <w:color w:val="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31" w:type="pct"/>
                  <w:vMerge w:val="continue"/>
                  <w:tcBorders>
                    <w:tl2br w:val="nil"/>
                    <w:tr2bl w:val="nil"/>
                  </w:tcBorders>
                  <w:shd w:val="clear" w:color="auto" w:fill="auto"/>
                  <w:noWrap w:val="0"/>
                  <w:vAlign w:val="center"/>
                </w:tcPr>
                <w:p>
                  <w:pPr>
                    <w:pStyle w:val="2"/>
                    <w:bidi w:val="0"/>
                    <w:rPr>
                      <w:rFonts w:hint="eastAsia"/>
                      <w:color w:val="auto"/>
                      <w:lang w:val="en-US"/>
                    </w:rPr>
                  </w:pPr>
                </w:p>
              </w:tc>
              <w:tc>
                <w:tcPr>
                  <w:tcW w:w="463" w:type="pct"/>
                  <w:tcBorders>
                    <w:tl2br w:val="nil"/>
                    <w:tr2bl w:val="nil"/>
                  </w:tcBorders>
                  <w:shd w:val="clear" w:color="auto" w:fill="auto"/>
                  <w:noWrap w:val="0"/>
                  <w:vAlign w:val="center"/>
                </w:tcPr>
                <w:p>
                  <w:pPr>
                    <w:pStyle w:val="2"/>
                    <w:bidi w:val="0"/>
                    <w:rPr>
                      <w:rFonts w:hint="default"/>
                      <w:color w:val="auto"/>
                      <w:lang w:val="en-US" w:eastAsia="zh-CN"/>
                    </w:rPr>
                  </w:pPr>
                  <w:r>
                    <w:rPr>
                      <w:rFonts w:hint="eastAsia"/>
                      <w:color w:val="auto"/>
                      <w:lang w:val="en-US"/>
                    </w:rPr>
                    <w:t>环境风险防控</w:t>
                  </w:r>
                </w:p>
              </w:tc>
              <w:tc>
                <w:tcPr>
                  <w:tcW w:w="2111" w:type="pct"/>
                  <w:tcBorders>
                    <w:tl2br w:val="nil"/>
                    <w:tr2bl w:val="nil"/>
                  </w:tcBorders>
                  <w:shd w:val="clear" w:color="auto" w:fill="auto"/>
                  <w:noWrap w:val="0"/>
                  <w:vAlign w:val="center"/>
                </w:tcPr>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1.加强对矿山</w:t>
                  </w:r>
                  <w:r>
                    <w:rPr>
                      <w:rFonts w:hint="eastAsia" w:ascii="Times New Roman" w:hAnsi="Times New Roman" w:eastAsia="宋体" w:cs="Times New Roman"/>
                      <w:color w:val="auto"/>
                      <w:lang w:val="en-US" w:eastAsia="zh-CN"/>
                    </w:rPr>
                    <w:t>、油田</w:t>
                  </w:r>
                  <w:r>
                    <w:rPr>
                      <w:rFonts w:hint="default" w:ascii="Times New Roman" w:hAnsi="Times New Roman" w:eastAsia="宋体" w:cs="Times New Roman"/>
                      <w:color w:val="auto"/>
                      <w:lang w:val="en-US" w:eastAsia="zh-CN"/>
                    </w:rPr>
                    <w:t>等矿产资源开采影响区域内未利用地的环境监管</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发现土壤污染问题的，要坚决查处，并及时督促有关单位采取有效防治措施消除或减轻污染。</w:t>
                  </w:r>
                </w:p>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2.对排</w:t>
                  </w:r>
                  <w:r>
                    <w:rPr>
                      <w:rFonts w:hint="eastAsia" w:ascii="Times New Roman" w:hAnsi="Times New Roman" w:eastAsia="宋体" w:cs="Times New Roman"/>
                      <w:color w:val="auto"/>
                      <w:lang w:val="en-US" w:eastAsia="zh-CN"/>
                    </w:rPr>
                    <w:t>查</w:t>
                  </w:r>
                  <w:r>
                    <w:rPr>
                      <w:rFonts w:hint="default" w:ascii="Times New Roman" w:hAnsi="Times New Roman" w:eastAsia="宋体" w:cs="Times New Roman"/>
                      <w:color w:val="auto"/>
                      <w:lang w:val="en-US" w:eastAsia="zh-CN"/>
                    </w:rPr>
                    <w:t>出的危库和病库以及风险评估有严重环境安全隐患的尾矿库，要求企业完善污染治理设施、进行治理和修复。全面整治历史遗留尾矿库，完善覆膜、压土、排洪、堤坝加固等隐患治理和闭库措施。</w:t>
                  </w:r>
                </w:p>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3.依法推行农用地分类管理制度，强化受污染耕地安全利用和风险管控。因地制宜制定实施安全利用方案，鼓励采取种植结构调整等措施，确保受污染耕地全部实现安全利用。</w:t>
                  </w:r>
                </w:p>
              </w:tc>
              <w:tc>
                <w:tcPr>
                  <w:tcW w:w="1571" w:type="pct"/>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1.本项目已采取分区防渗的措施，正常工况下无土壤环境污染途径。</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2.本项目不涉及。</w:t>
                  </w:r>
                </w:p>
                <w:p>
                  <w:pPr>
                    <w:pStyle w:val="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3.本项目不涉及。</w:t>
                  </w:r>
                </w:p>
              </w:tc>
              <w:tc>
                <w:tcPr>
                  <w:tcW w:w="321" w:type="pct"/>
                  <w:tcBorders>
                    <w:tl2br w:val="nil"/>
                    <w:tr2bl w:val="nil"/>
                  </w:tcBorders>
                  <w:shd w:val="clear" w:color="auto" w:fill="auto"/>
                  <w:noWrap w:val="0"/>
                  <w:vAlign w:val="center"/>
                </w:tcPr>
                <w:p>
                  <w:pPr>
                    <w:pStyle w:val="2"/>
                    <w:bidi w:val="0"/>
                    <w:rPr>
                      <w:rFonts w:hint="default"/>
                      <w:color w:val="auto"/>
                      <w:lang w:val="en-US" w:eastAsia="zh-CN"/>
                    </w:rPr>
                  </w:pPr>
                  <w:r>
                    <w:rPr>
                      <w:rFonts w:hint="default"/>
                      <w:color w:val="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80" w:hRule="atLeast"/>
                <w:jc w:val="center"/>
              </w:trPr>
              <w:tc>
                <w:tcPr>
                  <w:tcW w:w="531" w:type="pct"/>
                  <w:vMerge w:val="continue"/>
                  <w:tcBorders>
                    <w:tl2br w:val="nil"/>
                    <w:tr2bl w:val="nil"/>
                  </w:tcBorders>
                  <w:shd w:val="clear" w:color="auto" w:fill="auto"/>
                  <w:noWrap w:val="0"/>
                  <w:vAlign w:val="center"/>
                </w:tcPr>
                <w:p>
                  <w:pPr>
                    <w:pStyle w:val="2"/>
                    <w:bidi w:val="0"/>
                    <w:rPr>
                      <w:rFonts w:hint="eastAsia"/>
                      <w:color w:val="auto"/>
                      <w:lang w:val="en-US"/>
                    </w:rPr>
                  </w:pPr>
                </w:p>
              </w:tc>
              <w:tc>
                <w:tcPr>
                  <w:tcW w:w="463" w:type="pct"/>
                  <w:tcBorders>
                    <w:tl2br w:val="nil"/>
                    <w:tr2bl w:val="nil"/>
                  </w:tcBorders>
                  <w:shd w:val="clear" w:color="auto" w:fill="auto"/>
                  <w:noWrap w:val="0"/>
                  <w:vAlign w:val="center"/>
                </w:tcPr>
                <w:p>
                  <w:pPr>
                    <w:pStyle w:val="2"/>
                    <w:bidi w:val="0"/>
                    <w:rPr>
                      <w:rFonts w:hint="default"/>
                      <w:color w:val="auto"/>
                      <w:lang w:val="en-US" w:eastAsia="zh-CN"/>
                    </w:rPr>
                  </w:pPr>
                  <w:r>
                    <w:rPr>
                      <w:rFonts w:hint="eastAsia"/>
                      <w:color w:val="auto"/>
                      <w:lang w:val="en-US"/>
                    </w:rPr>
                    <w:t>资源开发效率要求</w:t>
                  </w:r>
                </w:p>
              </w:tc>
              <w:tc>
                <w:tcPr>
                  <w:tcW w:w="2111" w:type="pct"/>
                  <w:tcBorders>
                    <w:tl2br w:val="nil"/>
                    <w:tr2bl w:val="nil"/>
                  </w:tcBorders>
                  <w:shd w:val="clear" w:color="auto" w:fill="auto"/>
                  <w:noWrap w:val="0"/>
                  <w:vAlign w:val="center"/>
                </w:tcPr>
                <w:p>
                  <w:pPr>
                    <w:pStyle w:val="2"/>
                    <w:bidi w:val="0"/>
                    <w:rPr>
                      <w:rFonts w:hint="default"/>
                      <w:color w:val="auto"/>
                      <w:lang w:val="en-US" w:eastAsia="zh-CN"/>
                    </w:rPr>
                  </w:pPr>
                  <w:r>
                    <w:rPr>
                      <w:rFonts w:hint="default"/>
                      <w:color w:val="auto"/>
                      <w:lang w:val="en-US" w:eastAsia="zh-CN"/>
                    </w:rPr>
                    <w:t>1.全面推进秸秆综合利用，鼓励秸秆资源化、饲料化、肥料化利用，推动秸秆还田与离田收集。</w:t>
                  </w:r>
                </w:p>
                <w:p>
                  <w:pPr>
                    <w:pStyle w:val="2"/>
                    <w:bidi w:val="0"/>
                    <w:rPr>
                      <w:rFonts w:hint="default"/>
                      <w:color w:val="auto"/>
                      <w:lang w:val="en-US" w:eastAsia="zh-CN"/>
                    </w:rPr>
                  </w:pPr>
                  <w:r>
                    <w:rPr>
                      <w:rFonts w:hint="default"/>
                      <w:color w:val="auto"/>
                      <w:lang w:val="en-US" w:eastAsia="zh-CN"/>
                    </w:rPr>
                    <w:t>2.减少化肥农药使用量，增加有机肥使用量，实现化肥农药使用量负增长。3.推广渠道防渗、管道输水、喷灌、微灌等节水灌溉技术，完善灌溉用水计量设施。推进规模化高效节水灌溉，推广农作物节水抗旱技术。建立灌区墒情测报网络，提高农业用水效率降低农业用水比重。</w:t>
                  </w:r>
                </w:p>
              </w:tc>
              <w:tc>
                <w:tcPr>
                  <w:tcW w:w="1571" w:type="pct"/>
                  <w:tcBorders>
                    <w:tl2br w:val="nil"/>
                    <w:tr2bl w:val="nil"/>
                  </w:tcBorders>
                  <w:shd w:val="clear" w:color="auto" w:fill="auto"/>
                  <w:noWrap w:val="0"/>
                  <w:vAlign w:val="center"/>
                </w:tcPr>
                <w:p>
                  <w:pPr>
                    <w:pStyle w:val="2"/>
                    <w:bidi w:val="0"/>
                    <w:rPr>
                      <w:rFonts w:hint="eastAsia" w:ascii="Times New Roman" w:hAnsi="Times New Roman" w:eastAsia="宋体" w:cs="Times New Roman"/>
                      <w:color w:val="auto"/>
                      <w:lang w:val="en-US" w:eastAsia="zh-CN"/>
                    </w:rPr>
                  </w:pPr>
                  <w:r>
                    <w:rPr>
                      <w:rFonts w:hint="eastAsia"/>
                      <w:color w:val="auto"/>
                      <w:lang w:val="en-US" w:eastAsia="zh-CN"/>
                    </w:rPr>
                    <w:t>1.</w:t>
                  </w:r>
                  <w:r>
                    <w:rPr>
                      <w:rFonts w:hint="eastAsia" w:ascii="Times New Roman" w:hAnsi="Times New Roman" w:eastAsia="宋体" w:cs="Times New Roman"/>
                      <w:color w:val="auto"/>
                      <w:lang w:val="en-US" w:eastAsia="zh-CN"/>
                    </w:rPr>
                    <w:t>本项目不涉及。</w:t>
                  </w:r>
                </w:p>
                <w:p>
                  <w:pPr>
                    <w:pStyle w:val="2"/>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2.本项目不涉及。</w:t>
                  </w:r>
                </w:p>
                <w:p>
                  <w:pPr>
                    <w:pStyle w:val="2"/>
                    <w:bidi w:val="0"/>
                    <w:rPr>
                      <w:rFonts w:hint="default"/>
                      <w:color w:val="auto"/>
                      <w:lang w:val="en-US" w:eastAsia="zh-CN"/>
                    </w:rPr>
                  </w:pPr>
                  <w:r>
                    <w:rPr>
                      <w:rFonts w:hint="eastAsia" w:ascii="Times New Roman" w:hAnsi="Times New Roman" w:eastAsia="宋体" w:cs="Times New Roman"/>
                      <w:color w:val="auto"/>
                      <w:lang w:val="en-US" w:eastAsia="zh-CN"/>
                    </w:rPr>
                    <w:t>3.本项目不涉及。</w:t>
                  </w:r>
                </w:p>
              </w:tc>
              <w:tc>
                <w:tcPr>
                  <w:tcW w:w="321" w:type="pct"/>
                  <w:tcBorders>
                    <w:tl2br w:val="nil"/>
                    <w:tr2bl w:val="nil"/>
                  </w:tcBorders>
                  <w:shd w:val="clear" w:color="auto" w:fill="auto"/>
                  <w:noWrap w:val="0"/>
                  <w:vAlign w:val="center"/>
                </w:tcPr>
                <w:p>
                  <w:pPr>
                    <w:pStyle w:val="2"/>
                    <w:bidi w:val="0"/>
                    <w:rPr>
                      <w:rFonts w:hint="default"/>
                      <w:color w:val="auto"/>
                      <w:lang w:val="en-US" w:eastAsia="zh-CN"/>
                    </w:rPr>
                  </w:pPr>
                  <w:r>
                    <w:rPr>
                      <w:rFonts w:hint="eastAsia"/>
                      <w:color w:val="auto"/>
                      <w:lang w:val="en-US" w:eastAsia="zh-CN"/>
                    </w:rPr>
                    <w:t>符合</w:t>
                  </w:r>
                </w:p>
              </w:tc>
            </w:tr>
          </w:tbl>
          <w:p>
            <w:pPr>
              <w:bidi w:val="0"/>
              <w:rPr>
                <w:color w:val="auto"/>
              </w:rPr>
            </w:pPr>
            <w:r>
              <w:rPr>
                <w:rFonts w:hint="eastAsia"/>
                <w:color w:val="auto"/>
                <w:lang w:val="en-US" w:eastAsia="zh-CN"/>
              </w:rPr>
              <w:t>综上所述，</w:t>
            </w:r>
            <w:r>
              <w:rPr>
                <w:rFonts w:hint="eastAsia"/>
                <w:color w:val="auto"/>
              </w:rPr>
              <w:t>本项目符合</w:t>
            </w:r>
            <w:r>
              <w:rPr>
                <w:rFonts w:hint="eastAsia"/>
                <w:color w:val="auto"/>
                <w:lang w:val="en-US" w:eastAsia="zh-CN"/>
              </w:rPr>
              <w:t>《关于印发巴州“三线一单”生态环境分区管控动态更新成果（2023年）的通知》</w:t>
            </w:r>
            <w:r>
              <w:rPr>
                <w:rFonts w:hint="eastAsia"/>
                <w:color w:val="auto"/>
                <w:lang w:eastAsia="zh-CN"/>
              </w:rPr>
              <w:t>（</w:t>
            </w:r>
            <w:r>
              <w:rPr>
                <w:rFonts w:hint="eastAsia"/>
                <w:color w:val="auto"/>
                <w:lang w:val="en-US" w:eastAsia="zh-CN"/>
              </w:rPr>
              <w:t>巴政办发〔2024〕32号）的相关要求</w:t>
            </w:r>
            <w:r>
              <w:rPr>
                <w:color w:val="auto"/>
              </w:rPr>
              <w:t>。</w:t>
            </w:r>
          </w:p>
          <w:p>
            <w:pPr>
              <w:pStyle w:val="5"/>
              <w:jc w:val="both"/>
              <w:rPr>
                <w:color w:val="auto"/>
              </w:rPr>
            </w:pPr>
            <w:bookmarkStart w:id="1" w:name="_Toc382903278"/>
            <w:bookmarkStart w:id="2" w:name="_Toc384381707"/>
            <w:bookmarkStart w:id="3" w:name="_Toc383796817"/>
            <w:r>
              <w:rPr>
                <w:rFonts w:hint="eastAsia"/>
                <w:color w:val="auto"/>
                <w:lang w:val="en-US" w:eastAsia="zh-CN"/>
              </w:rPr>
              <w:t>4、</w:t>
            </w:r>
            <w:r>
              <w:rPr>
                <w:rFonts w:hint="eastAsia"/>
                <w:color w:val="auto"/>
                <w:lang w:eastAsia="zh-CN"/>
              </w:rPr>
              <w:t>其他</w:t>
            </w:r>
            <w:r>
              <w:rPr>
                <w:rFonts w:hint="eastAsia"/>
                <w:color w:val="auto"/>
              </w:rPr>
              <w:t>符合性分析</w:t>
            </w:r>
            <w:bookmarkEnd w:id="1"/>
            <w:bookmarkEnd w:id="2"/>
            <w:bookmarkEnd w:id="3"/>
          </w:p>
          <w:p>
            <w:pPr>
              <w:ind w:firstLine="480"/>
              <w:jc w:val="both"/>
              <w:rPr>
                <w:color w:val="auto"/>
              </w:rPr>
            </w:pPr>
            <w:r>
              <w:rPr>
                <w:color w:val="auto"/>
              </w:rPr>
              <w:t>矿产资源开发必须与国家相关法律法规、产业政策和行业技术政策保持一致性，具体分析见表</w:t>
            </w:r>
            <w:r>
              <w:rPr>
                <w:rFonts w:hint="eastAsia"/>
                <w:color w:val="auto"/>
              </w:rPr>
              <w:t>1</w:t>
            </w:r>
            <w:r>
              <w:rPr>
                <w:rFonts w:hint="eastAsia"/>
                <w:color w:val="auto"/>
                <w:lang w:val="en-US" w:eastAsia="zh-CN"/>
              </w:rPr>
              <w:t>-4</w:t>
            </w:r>
            <w:r>
              <w:rPr>
                <w:color w:val="auto"/>
              </w:rPr>
              <w:t>。</w:t>
            </w:r>
          </w:p>
          <w:p>
            <w:pPr>
              <w:pStyle w:val="7"/>
              <w:bidi w:val="0"/>
              <w:jc w:val="both"/>
              <w:rPr>
                <w:color w:val="auto"/>
              </w:rPr>
            </w:pPr>
            <w:r>
              <w:rPr>
                <w:rFonts w:hint="eastAsia"/>
                <w:color w:val="auto"/>
              </w:rPr>
              <w:t>表1</w:t>
            </w:r>
            <w:r>
              <w:rPr>
                <w:rFonts w:hint="eastAsia"/>
                <w:color w:val="auto"/>
                <w:lang w:val="en-US" w:eastAsia="zh-CN"/>
              </w:rPr>
              <w:t>-4</w:t>
            </w:r>
            <w:r>
              <w:rPr>
                <w:rFonts w:hint="eastAsia"/>
                <w:color w:val="auto"/>
              </w:rPr>
              <w:t xml:space="preserve">               本工程与国家相关政策的关系表</w:t>
            </w:r>
          </w:p>
          <w:tbl>
            <w:tblPr>
              <w:tblStyle w:val="30"/>
              <w:tblW w:w="49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3158"/>
              <w:gridCol w:w="2559"/>
              <w:gridCol w:w="4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57" w:type="pct"/>
                  <w:tcBorders>
                    <w:tl2br w:val="nil"/>
                    <w:tr2bl w:val="nil"/>
                  </w:tcBorders>
                  <w:vAlign w:val="center"/>
                </w:tcPr>
                <w:p>
                  <w:pPr>
                    <w:pStyle w:val="2"/>
                    <w:jc w:val="both"/>
                    <w:rPr>
                      <w:color w:val="auto"/>
                    </w:rPr>
                  </w:pPr>
                  <w:r>
                    <w:rPr>
                      <w:rFonts w:hint="eastAsia"/>
                      <w:color w:val="auto"/>
                    </w:rPr>
                    <w:t>相关政策</w:t>
                  </w:r>
                </w:p>
              </w:tc>
              <w:tc>
                <w:tcPr>
                  <w:tcW w:w="2118" w:type="pct"/>
                  <w:tcBorders>
                    <w:tl2br w:val="nil"/>
                    <w:tr2bl w:val="nil"/>
                  </w:tcBorders>
                  <w:vAlign w:val="center"/>
                </w:tcPr>
                <w:p>
                  <w:pPr>
                    <w:pStyle w:val="2"/>
                    <w:jc w:val="both"/>
                    <w:rPr>
                      <w:color w:val="auto"/>
                    </w:rPr>
                  </w:pPr>
                  <w:r>
                    <w:rPr>
                      <w:rFonts w:hint="eastAsia"/>
                      <w:color w:val="auto"/>
                    </w:rPr>
                    <w:t>政策要求</w:t>
                  </w:r>
                </w:p>
              </w:tc>
              <w:tc>
                <w:tcPr>
                  <w:tcW w:w="1716" w:type="pct"/>
                  <w:tcBorders>
                    <w:tl2br w:val="nil"/>
                    <w:tr2bl w:val="nil"/>
                  </w:tcBorders>
                  <w:vAlign w:val="center"/>
                </w:tcPr>
                <w:p>
                  <w:pPr>
                    <w:pStyle w:val="2"/>
                    <w:jc w:val="both"/>
                    <w:rPr>
                      <w:color w:val="auto"/>
                    </w:rPr>
                  </w:pPr>
                  <w:r>
                    <w:rPr>
                      <w:rFonts w:hint="eastAsia"/>
                      <w:color w:val="auto"/>
                    </w:rPr>
                    <w:t>本工程建设情况</w:t>
                  </w:r>
                </w:p>
              </w:tc>
              <w:tc>
                <w:tcPr>
                  <w:tcW w:w="307" w:type="pct"/>
                  <w:tcBorders>
                    <w:tl2br w:val="nil"/>
                    <w:tr2bl w:val="nil"/>
                  </w:tcBorders>
                  <w:vAlign w:val="center"/>
                </w:tcPr>
                <w:p>
                  <w:pPr>
                    <w:pStyle w:val="2"/>
                    <w:jc w:val="both"/>
                    <w:rPr>
                      <w:color w:val="auto"/>
                    </w:rPr>
                  </w:pPr>
                  <w:r>
                    <w:rPr>
                      <w:rFonts w:hint="eastAsia"/>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pct"/>
                  <w:vMerge w:val="restart"/>
                  <w:tcBorders>
                    <w:tl2br w:val="nil"/>
                    <w:tr2bl w:val="nil"/>
                  </w:tcBorders>
                  <w:vAlign w:val="center"/>
                </w:tcPr>
                <w:p>
                  <w:pPr>
                    <w:pStyle w:val="2"/>
                    <w:jc w:val="both"/>
                    <w:rPr>
                      <w:color w:val="auto"/>
                    </w:rPr>
                  </w:pPr>
                  <w:r>
                    <w:rPr>
                      <w:rFonts w:hint="eastAsia"/>
                      <w:color w:val="auto"/>
                    </w:rPr>
                    <w:t>《中华人民共和国矿产资源法》</w:t>
                  </w:r>
                </w:p>
              </w:tc>
              <w:tc>
                <w:tcPr>
                  <w:tcW w:w="2118" w:type="pct"/>
                  <w:tcBorders>
                    <w:tl2br w:val="nil"/>
                    <w:tr2bl w:val="nil"/>
                  </w:tcBorders>
                  <w:vAlign w:val="center"/>
                </w:tcPr>
                <w:p>
                  <w:pPr>
                    <w:pStyle w:val="2"/>
                    <w:jc w:val="both"/>
                    <w:rPr>
                      <w:rFonts w:hint="eastAsia" w:eastAsia="宋体"/>
                      <w:color w:val="auto"/>
                      <w:lang w:eastAsia="zh-CN"/>
                    </w:rPr>
                  </w:pPr>
                  <w:r>
                    <w:rPr>
                      <w:rFonts w:hint="eastAsia"/>
                      <w:color w:val="auto"/>
                    </w:rPr>
                    <w:t>国家对矿产资源实行统一管理审批制度，必须办理采矿许可证</w:t>
                  </w:r>
                  <w:r>
                    <w:rPr>
                      <w:rFonts w:hint="eastAsia"/>
                      <w:color w:val="auto"/>
                      <w:lang w:eastAsia="zh-CN"/>
                    </w:rPr>
                    <w:t>。</w:t>
                  </w:r>
                </w:p>
              </w:tc>
              <w:tc>
                <w:tcPr>
                  <w:tcW w:w="1716" w:type="pct"/>
                  <w:tcBorders>
                    <w:tl2br w:val="nil"/>
                    <w:tr2bl w:val="nil"/>
                  </w:tcBorders>
                  <w:vAlign w:val="center"/>
                </w:tcPr>
                <w:p>
                  <w:pPr>
                    <w:pStyle w:val="2"/>
                    <w:jc w:val="both"/>
                    <w:rPr>
                      <w:rFonts w:hint="eastAsia" w:eastAsia="宋体"/>
                      <w:color w:val="auto"/>
                      <w:lang w:eastAsia="zh-CN"/>
                    </w:rPr>
                  </w:pPr>
                  <w:r>
                    <w:rPr>
                      <w:rFonts w:hint="eastAsia"/>
                      <w:color w:val="auto"/>
                    </w:rPr>
                    <w:t>本项目</w:t>
                  </w:r>
                  <w:r>
                    <w:rPr>
                      <w:rFonts w:hint="eastAsia"/>
                      <w:color w:val="auto"/>
                      <w:lang w:val="en-US" w:eastAsia="zh-CN"/>
                    </w:rPr>
                    <w:t>已取得</w:t>
                  </w:r>
                  <w:r>
                    <w:rPr>
                      <w:rFonts w:hint="eastAsia"/>
                      <w:color w:val="auto"/>
                    </w:rPr>
                    <w:t>采矿许可证</w:t>
                  </w:r>
                  <w:r>
                    <w:rPr>
                      <w:rFonts w:hint="eastAsia"/>
                      <w:color w:val="auto"/>
                      <w:lang w:eastAsia="zh-CN"/>
                    </w:rPr>
                    <w:t>。</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color w:val="auto"/>
                    </w:rPr>
                  </w:pPr>
                </w:p>
              </w:tc>
              <w:tc>
                <w:tcPr>
                  <w:tcW w:w="2118" w:type="pct"/>
                  <w:tcBorders>
                    <w:tl2br w:val="nil"/>
                    <w:tr2bl w:val="nil"/>
                  </w:tcBorders>
                  <w:vAlign w:val="center"/>
                </w:tcPr>
                <w:p>
                  <w:pPr>
                    <w:pStyle w:val="2"/>
                    <w:jc w:val="both"/>
                    <w:rPr>
                      <w:rFonts w:hint="eastAsia" w:eastAsia="宋体"/>
                      <w:color w:val="auto"/>
                      <w:lang w:eastAsia="zh-CN"/>
                    </w:rPr>
                  </w:pPr>
                  <w:r>
                    <w:rPr>
                      <w:rFonts w:hint="eastAsia"/>
                      <w:color w:val="auto"/>
                    </w:rPr>
                    <w:t>不得在国家圈定的环境保护区和须保护的特殊区域采矿</w:t>
                  </w:r>
                  <w:r>
                    <w:rPr>
                      <w:rFonts w:hint="eastAsia"/>
                      <w:color w:val="auto"/>
                      <w:lang w:eastAsia="zh-CN"/>
                    </w:rPr>
                    <w:t>。</w:t>
                  </w:r>
                </w:p>
              </w:tc>
              <w:tc>
                <w:tcPr>
                  <w:tcW w:w="1716" w:type="pct"/>
                  <w:tcBorders>
                    <w:tl2br w:val="nil"/>
                    <w:tr2bl w:val="nil"/>
                  </w:tcBorders>
                  <w:vAlign w:val="center"/>
                </w:tcPr>
                <w:p>
                  <w:pPr>
                    <w:pStyle w:val="2"/>
                    <w:jc w:val="both"/>
                    <w:rPr>
                      <w:rFonts w:hint="eastAsia" w:eastAsia="宋体"/>
                      <w:color w:val="auto"/>
                      <w:lang w:eastAsia="zh-CN"/>
                    </w:rPr>
                  </w:pPr>
                  <w:r>
                    <w:rPr>
                      <w:rFonts w:hint="eastAsia"/>
                      <w:color w:val="auto"/>
                    </w:rPr>
                    <w:t>本工程不在国家圈定的环境保护区和须保护的特殊区域采矿</w:t>
                  </w:r>
                  <w:r>
                    <w:rPr>
                      <w:rFonts w:hint="eastAsia"/>
                      <w:color w:val="auto"/>
                      <w:lang w:eastAsia="zh-CN"/>
                    </w:rPr>
                    <w:t>。</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color w:val="auto"/>
                    </w:rPr>
                  </w:pPr>
                </w:p>
              </w:tc>
              <w:tc>
                <w:tcPr>
                  <w:tcW w:w="2118" w:type="pct"/>
                  <w:tcBorders>
                    <w:tl2br w:val="nil"/>
                    <w:tr2bl w:val="nil"/>
                  </w:tcBorders>
                  <w:vAlign w:val="center"/>
                </w:tcPr>
                <w:p>
                  <w:pPr>
                    <w:pStyle w:val="2"/>
                    <w:jc w:val="both"/>
                    <w:rPr>
                      <w:rFonts w:hint="eastAsia" w:eastAsia="宋体"/>
                      <w:color w:val="auto"/>
                      <w:lang w:eastAsia="zh-CN"/>
                    </w:rPr>
                  </w:pPr>
                  <w:r>
                    <w:rPr>
                      <w:color w:val="auto"/>
                    </w:rPr>
                    <w:t>耕地、草原、林地因采矿受到破坏的，</w:t>
                  </w:r>
                  <w:r>
                    <w:rPr>
                      <w:rFonts w:hint="eastAsia"/>
                      <w:color w:val="auto"/>
                    </w:rPr>
                    <w:t>矿区</w:t>
                  </w:r>
                  <w:r>
                    <w:rPr>
                      <w:color w:val="auto"/>
                    </w:rPr>
                    <w:t>企业应当因地制宜地采取复垦利用、植树种草或者其</w:t>
                  </w:r>
                  <w:r>
                    <w:rPr>
                      <w:rFonts w:hint="eastAsia"/>
                      <w:color w:val="auto"/>
                    </w:rPr>
                    <w:t>它</w:t>
                  </w:r>
                  <w:r>
                    <w:rPr>
                      <w:color w:val="auto"/>
                    </w:rPr>
                    <w:t>利用措施</w:t>
                  </w:r>
                  <w:r>
                    <w:rPr>
                      <w:rFonts w:hint="eastAsia"/>
                      <w:color w:val="auto"/>
                      <w:lang w:eastAsia="zh-CN"/>
                    </w:rPr>
                    <w:t>。</w:t>
                  </w:r>
                </w:p>
              </w:tc>
              <w:tc>
                <w:tcPr>
                  <w:tcW w:w="1716" w:type="pct"/>
                  <w:tcBorders>
                    <w:tl2br w:val="nil"/>
                    <w:tr2bl w:val="nil"/>
                  </w:tcBorders>
                  <w:vAlign w:val="center"/>
                </w:tcPr>
                <w:p>
                  <w:pPr>
                    <w:pStyle w:val="2"/>
                    <w:jc w:val="both"/>
                    <w:rPr>
                      <w:rFonts w:hint="eastAsia" w:eastAsia="宋体"/>
                      <w:color w:val="auto"/>
                      <w:lang w:eastAsia="zh-CN"/>
                    </w:rPr>
                  </w:pPr>
                  <w:r>
                    <w:rPr>
                      <w:color w:val="auto"/>
                    </w:rPr>
                    <w:t>项目区现有土地利用类型为</w:t>
                  </w:r>
                  <w:r>
                    <w:rPr>
                      <w:rFonts w:hint="eastAsia"/>
                      <w:color w:val="auto"/>
                      <w:lang w:val="en-US" w:eastAsia="zh-CN"/>
                    </w:rPr>
                    <w:t>草地</w:t>
                  </w:r>
                  <w:r>
                    <w:rPr>
                      <w:color w:val="auto"/>
                    </w:rPr>
                    <w:t>，</w:t>
                  </w:r>
                  <w:r>
                    <w:rPr>
                      <w:rFonts w:hint="eastAsia"/>
                      <w:color w:val="auto"/>
                    </w:rPr>
                    <w:t>矿区</w:t>
                  </w:r>
                  <w:r>
                    <w:rPr>
                      <w:color w:val="auto"/>
                    </w:rPr>
                    <w:t>企业因地制宜地采取复垦措施</w:t>
                  </w:r>
                  <w:r>
                    <w:rPr>
                      <w:rFonts w:hint="eastAsia"/>
                      <w:color w:val="auto"/>
                      <w:lang w:eastAsia="zh-CN"/>
                    </w:rPr>
                    <w:t>。</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color w:val="auto"/>
                    </w:rPr>
                  </w:pPr>
                </w:p>
              </w:tc>
              <w:tc>
                <w:tcPr>
                  <w:tcW w:w="2118" w:type="pct"/>
                  <w:tcBorders>
                    <w:tl2br w:val="nil"/>
                    <w:tr2bl w:val="nil"/>
                  </w:tcBorders>
                  <w:vAlign w:val="center"/>
                </w:tcPr>
                <w:p>
                  <w:pPr>
                    <w:pStyle w:val="2"/>
                    <w:jc w:val="both"/>
                    <w:rPr>
                      <w:rFonts w:hint="eastAsia" w:eastAsia="宋体"/>
                      <w:color w:val="auto"/>
                      <w:lang w:eastAsia="zh-CN"/>
                    </w:rPr>
                  </w:pPr>
                  <w:r>
                    <w:rPr>
                      <w:color w:val="auto"/>
                    </w:rPr>
                    <w:t>开采矿产资源给他人生产、生活造成损失的，应当负责赔偿，并采取必要的补救措施</w:t>
                  </w:r>
                  <w:r>
                    <w:rPr>
                      <w:rFonts w:hint="eastAsia"/>
                      <w:color w:val="auto"/>
                      <w:lang w:eastAsia="zh-CN"/>
                    </w:rPr>
                    <w:t>。</w:t>
                  </w:r>
                </w:p>
              </w:tc>
              <w:tc>
                <w:tcPr>
                  <w:tcW w:w="1716" w:type="pct"/>
                  <w:tcBorders>
                    <w:tl2br w:val="nil"/>
                    <w:tr2bl w:val="nil"/>
                  </w:tcBorders>
                  <w:vAlign w:val="center"/>
                </w:tcPr>
                <w:p>
                  <w:pPr>
                    <w:pStyle w:val="2"/>
                    <w:jc w:val="both"/>
                    <w:rPr>
                      <w:rFonts w:hint="eastAsia" w:eastAsia="宋体"/>
                      <w:color w:val="auto"/>
                      <w:lang w:eastAsia="zh-CN"/>
                    </w:rPr>
                  </w:pPr>
                  <w:r>
                    <w:rPr>
                      <w:rFonts w:hint="eastAsia"/>
                      <w:color w:val="auto"/>
                    </w:rPr>
                    <w:t>项目区</w:t>
                  </w:r>
                  <w:r>
                    <w:rPr>
                      <w:rFonts w:hint="eastAsia"/>
                      <w:color w:val="auto"/>
                      <w:lang w:eastAsia="zh-CN"/>
                    </w:rPr>
                    <w:t>周边</w:t>
                  </w:r>
                  <w:r>
                    <w:rPr>
                      <w:rFonts w:hint="eastAsia"/>
                      <w:color w:val="auto"/>
                      <w:lang w:val="en-US" w:eastAsia="zh-CN"/>
                    </w:rPr>
                    <w:t>5公里范围内无居民区</w:t>
                  </w:r>
                  <w:r>
                    <w:rPr>
                      <w:rFonts w:hint="eastAsia"/>
                      <w:color w:val="auto"/>
                    </w:rPr>
                    <w:t>，本工程将采取有效措施减轻工程建设对环境的影响，因此项目的建设不会对他人生产、生活造成损失。</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restart"/>
                  <w:tcBorders>
                    <w:tl2br w:val="nil"/>
                    <w:tr2bl w:val="nil"/>
                  </w:tcBorders>
                  <w:vAlign w:val="center"/>
                </w:tcPr>
                <w:p>
                  <w:pPr>
                    <w:pStyle w:val="2"/>
                    <w:jc w:val="both"/>
                    <w:rPr>
                      <w:color w:val="auto"/>
                    </w:rPr>
                  </w:pPr>
                  <w:r>
                    <w:rPr>
                      <w:rFonts w:hint="eastAsia"/>
                      <w:color w:val="auto"/>
                    </w:rPr>
                    <w:t>《矿区</w:t>
                  </w:r>
                  <w:r>
                    <w:rPr>
                      <w:color w:val="auto"/>
                    </w:rPr>
                    <w:t>生态环境保护与污染防治技术政策》</w:t>
                  </w:r>
                </w:p>
              </w:tc>
              <w:tc>
                <w:tcPr>
                  <w:tcW w:w="2118" w:type="pct"/>
                  <w:tcBorders>
                    <w:tl2br w:val="nil"/>
                    <w:tr2bl w:val="nil"/>
                  </w:tcBorders>
                  <w:vAlign w:val="center"/>
                </w:tcPr>
                <w:p>
                  <w:pPr>
                    <w:pStyle w:val="2"/>
                    <w:jc w:val="both"/>
                    <w:rPr>
                      <w:rFonts w:hint="eastAsia" w:eastAsia="宋体"/>
                      <w:color w:val="auto"/>
                      <w:lang w:eastAsia="zh-CN"/>
                    </w:rPr>
                  </w:pPr>
                  <w:r>
                    <w:rPr>
                      <w:rFonts w:hint="eastAsia"/>
                      <w:color w:val="auto"/>
                    </w:rPr>
                    <w:t>开采矿产要优先选用对环境影响小的开采技术，注重矿区生态环境保护</w:t>
                  </w:r>
                  <w:r>
                    <w:rPr>
                      <w:rFonts w:hint="eastAsia"/>
                      <w:color w:val="auto"/>
                      <w:lang w:eastAsia="zh-CN"/>
                    </w:rPr>
                    <w:t>。</w:t>
                  </w:r>
                </w:p>
              </w:tc>
              <w:tc>
                <w:tcPr>
                  <w:tcW w:w="1716" w:type="pct"/>
                  <w:tcBorders>
                    <w:tl2br w:val="nil"/>
                    <w:tr2bl w:val="nil"/>
                  </w:tcBorders>
                  <w:vAlign w:val="center"/>
                </w:tcPr>
                <w:p>
                  <w:pPr>
                    <w:pStyle w:val="2"/>
                    <w:jc w:val="both"/>
                    <w:rPr>
                      <w:color w:val="auto"/>
                    </w:rPr>
                  </w:pPr>
                  <w:r>
                    <w:rPr>
                      <w:rFonts w:hint="eastAsia"/>
                      <w:color w:val="auto"/>
                    </w:rPr>
                    <w:t>本工程采矿采用露天开采，开采过程中制定严格的生态环境保护措施，加强对矿区的环境保护。</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color w:val="auto"/>
                    </w:rPr>
                  </w:pPr>
                </w:p>
              </w:tc>
              <w:tc>
                <w:tcPr>
                  <w:tcW w:w="2118" w:type="pct"/>
                  <w:tcBorders>
                    <w:tl2br w:val="nil"/>
                    <w:tr2bl w:val="nil"/>
                  </w:tcBorders>
                  <w:vAlign w:val="center"/>
                </w:tcPr>
                <w:p>
                  <w:pPr>
                    <w:pStyle w:val="2"/>
                    <w:jc w:val="both"/>
                    <w:rPr>
                      <w:rFonts w:hint="eastAsia" w:eastAsia="宋体"/>
                      <w:color w:val="auto"/>
                      <w:lang w:eastAsia="zh-CN"/>
                    </w:rPr>
                  </w:pPr>
                  <w:r>
                    <w:rPr>
                      <w:rFonts w:hint="eastAsia"/>
                      <w:color w:val="auto"/>
                    </w:rPr>
                    <w:t>矿产资源的开发应推行 “污染物减量、资源再利用和循环利用”的技术原则</w:t>
                  </w:r>
                  <w:r>
                    <w:rPr>
                      <w:rFonts w:hint="eastAsia"/>
                      <w:color w:val="auto"/>
                      <w:lang w:eastAsia="zh-CN"/>
                    </w:rPr>
                    <w:t>。</w:t>
                  </w:r>
                </w:p>
              </w:tc>
              <w:tc>
                <w:tcPr>
                  <w:tcW w:w="1716" w:type="pct"/>
                  <w:tcBorders>
                    <w:tl2br w:val="nil"/>
                    <w:tr2bl w:val="nil"/>
                  </w:tcBorders>
                  <w:vAlign w:val="center"/>
                </w:tcPr>
                <w:p>
                  <w:pPr>
                    <w:pStyle w:val="2"/>
                    <w:jc w:val="both"/>
                    <w:rPr>
                      <w:rFonts w:hint="eastAsia" w:eastAsia="宋体"/>
                      <w:color w:val="auto"/>
                      <w:lang w:eastAsia="zh-CN"/>
                    </w:rPr>
                  </w:pPr>
                  <w:r>
                    <w:rPr>
                      <w:rFonts w:hint="eastAsia"/>
                      <w:color w:val="auto"/>
                      <w:lang w:val="en-US" w:eastAsia="zh-CN"/>
                    </w:rPr>
                    <w:t>开采废水和洗车废水</w:t>
                  </w:r>
                  <w:r>
                    <w:rPr>
                      <w:rFonts w:hint="eastAsia"/>
                      <w:color w:val="auto"/>
                    </w:rPr>
                    <w:t>循环池沉淀后回用不外排，沉淀泥</w:t>
                  </w:r>
                  <w:r>
                    <w:rPr>
                      <w:rFonts w:hint="eastAsia"/>
                      <w:color w:val="auto"/>
                      <w:lang w:eastAsia="zh-CN"/>
                    </w:rPr>
                    <w:t>沙</w:t>
                  </w:r>
                  <w:r>
                    <w:rPr>
                      <w:rFonts w:hint="eastAsia"/>
                      <w:color w:val="auto"/>
                    </w:rPr>
                    <w:t>堆于废石场，矿区</w:t>
                  </w:r>
                  <w:r>
                    <w:rPr>
                      <w:color w:val="auto"/>
                    </w:rPr>
                    <w:t>闭坑后</w:t>
                  </w:r>
                  <w:r>
                    <w:rPr>
                      <w:rFonts w:hint="eastAsia"/>
                      <w:color w:val="auto"/>
                    </w:rPr>
                    <w:t>废石场废石用于</w:t>
                  </w:r>
                  <w:r>
                    <w:rPr>
                      <w:rFonts w:hint="eastAsia"/>
                      <w:color w:val="auto"/>
                      <w:lang w:eastAsia="zh-CN"/>
                    </w:rPr>
                    <w:t>矿坑回填</w:t>
                  </w:r>
                  <w:r>
                    <w:rPr>
                      <w:rFonts w:hint="eastAsia"/>
                      <w:color w:val="auto"/>
                    </w:rPr>
                    <w:t>，符合矿产资源的开发应推行“污染物减量、资源再利用和循环利用”的技术原则</w:t>
                  </w:r>
                  <w:r>
                    <w:rPr>
                      <w:rFonts w:hint="eastAsia"/>
                      <w:color w:val="auto"/>
                      <w:lang w:eastAsia="zh-CN"/>
                    </w:rPr>
                    <w:t>。</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color w:val="auto"/>
                    </w:rPr>
                  </w:pPr>
                </w:p>
              </w:tc>
              <w:tc>
                <w:tcPr>
                  <w:tcW w:w="2118" w:type="pct"/>
                  <w:tcBorders>
                    <w:tl2br w:val="nil"/>
                    <w:tr2bl w:val="nil"/>
                  </w:tcBorders>
                  <w:vAlign w:val="center"/>
                </w:tcPr>
                <w:p>
                  <w:pPr>
                    <w:pStyle w:val="2"/>
                    <w:jc w:val="both"/>
                    <w:rPr>
                      <w:color w:val="auto"/>
                    </w:rPr>
                  </w:pPr>
                  <w:r>
                    <w:rPr>
                      <w:rFonts w:hint="eastAsia"/>
                      <w:color w:val="auto"/>
                    </w:rPr>
                    <w:t>禁止在依法划定的自然保护区（核心区、缓冲区）等区域内采矿。</w:t>
                  </w:r>
                </w:p>
              </w:tc>
              <w:tc>
                <w:tcPr>
                  <w:tcW w:w="1716" w:type="pct"/>
                  <w:tcBorders>
                    <w:tl2br w:val="nil"/>
                    <w:tr2bl w:val="nil"/>
                  </w:tcBorders>
                  <w:vAlign w:val="center"/>
                </w:tcPr>
                <w:p>
                  <w:pPr>
                    <w:pStyle w:val="2"/>
                    <w:jc w:val="both"/>
                    <w:rPr>
                      <w:rFonts w:hint="eastAsia" w:eastAsia="宋体"/>
                      <w:color w:val="auto"/>
                      <w:lang w:eastAsia="zh-CN"/>
                    </w:rPr>
                  </w:pPr>
                  <w:r>
                    <w:rPr>
                      <w:rFonts w:hint="eastAsia"/>
                      <w:color w:val="auto"/>
                    </w:rPr>
                    <w:t>本项目不在禁止采矿的区域，符合该政策</w:t>
                  </w:r>
                  <w:r>
                    <w:rPr>
                      <w:rFonts w:hint="eastAsia"/>
                      <w:color w:val="auto"/>
                      <w:lang w:eastAsia="zh-CN"/>
                    </w:rPr>
                    <w:t>。</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tcBorders>
                    <w:tl2br w:val="nil"/>
                    <w:tr2bl w:val="nil"/>
                  </w:tcBorders>
                  <w:vAlign w:val="center"/>
                </w:tcPr>
                <w:p>
                  <w:pPr>
                    <w:pStyle w:val="2"/>
                    <w:jc w:val="both"/>
                    <w:rPr>
                      <w:color w:val="auto"/>
                    </w:rPr>
                  </w:pPr>
                  <w:r>
                    <w:rPr>
                      <w:rFonts w:hint="eastAsia"/>
                      <w:color w:val="auto"/>
                    </w:rPr>
                    <w:t>《矿区生态环境保护与恢复治理技术规范（试行）》（HJ651-2013）</w:t>
                  </w:r>
                </w:p>
              </w:tc>
              <w:tc>
                <w:tcPr>
                  <w:tcW w:w="2118" w:type="pct"/>
                  <w:tcBorders>
                    <w:tl2br w:val="nil"/>
                    <w:tr2bl w:val="nil"/>
                  </w:tcBorders>
                  <w:vAlign w:val="center"/>
                </w:tcPr>
                <w:p>
                  <w:pPr>
                    <w:pStyle w:val="2"/>
                    <w:jc w:val="both"/>
                    <w:rPr>
                      <w:color w:val="auto"/>
                    </w:rPr>
                  </w:pPr>
                  <w:r>
                    <w:rPr>
                      <w:rFonts w:hint="eastAsia"/>
                      <w:color w:val="auto"/>
                    </w:rPr>
                    <w:t>禁止在依法划定的自然保护区、风景名胜区等重要生态保护地以及其他法律法规规定的禁采区域内采矿。</w:t>
                  </w:r>
                </w:p>
              </w:tc>
              <w:tc>
                <w:tcPr>
                  <w:tcW w:w="1716" w:type="pct"/>
                  <w:tcBorders>
                    <w:tl2br w:val="nil"/>
                    <w:tr2bl w:val="nil"/>
                  </w:tcBorders>
                  <w:vAlign w:val="center"/>
                </w:tcPr>
                <w:p>
                  <w:pPr>
                    <w:pStyle w:val="2"/>
                    <w:jc w:val="both"/>
                    <w:rPr>
                      <w:color w:val="auto"/>
                    </w:rPr>
                  </w:pPr>
                  <w:r>
                    <w:rPr>
                      <w:rFonts w:hint="eastAsia"/>
                      <w:color w:val="auto"/>
                    </w:rPr>
                    <w:t>本项目不在依法划定的自然保护区（核心区、缓冲区）、风景名胜区、森林公园、饮用水水源保护区、重要湖泊周边、文物古迹所在地、地质遗迹保护区、基本农田保护区等区域内采矿；不在铁路、国道、省道两侧的直观可视范围内进行露天开采；不在地质灾害危险区开采矿产资源等重要生态保护地以及其他法律法规规定的禁采区域内采矿。</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tcBorders>
                    <w:tl2br w:val="nil"/>
                    <w:tr2bl w:val="nil"/>
                  </w:tcBorders>
                  <w:vAlign w:val="center"/>
                </w:tcPr>
                <w:p>
                  <w:pPr>
                    <w:pStyle w:val="2"/>
                    <w:jc w:val="center"/>
                    <w:rPr>
                      <w:rFonts w:hint="eastAsia"/>
                      <w:color w:val="auto"/>
                    </w:rPr>
                  </w:pPr>
                  <w:r>
                    <w:rPr>
                      <w:rFonts w:hint="eastAsia"/>
                      <w:color w:val="auto"/>
                    </w:rPr>
                    <w:t>《</w:t>
                  </w:r>
                  <w:r>
                    <w:rPr>
                      <w:rFonts w:hint="eastAsia"/>
                      <w:color w:val="auto"/>
                      <w:lang w:eastAsia="zh-CN"/>
                    </w:rPr>
                    <w:t>新疆维吾尔自治区生态功能区划</w:t>
                  </w:r>
                  <w:r>
                    <w:rPr>
                      <w:rFonts w:hint="eastAsia"/>
                      <w:color w:val="auto"/>
                    </w:rPr>
                    <w:t>》</w:t>
                  </w:r>
                </w:p>
              </w:tc>
              <w:tc>
                <w:tcPr>
                  <w:tcW w:w="2118" w:type="pct"/>
                  <w:tcBorders>
                    <w:tl2br w:val="nil"/>
                    <w:tr2bl w:val="nil"/>
                  </w:tcBorders>
                  <w:vAlign w:val="center"/>
                </w:tcPr>
                <w:p>
                  <w:pPr>
                    <w:pStyle w:val="2"/>
                    <w:jc w:val="both"/>
                    <w:rPr>
                      <w:rFonts w:hint="eastAsia"/>
                      <w:color w:val="auto"/>
                      <w:lang w:val="en-US" w:eastAsia="zh-CN"/>
                    </w:rPr>
                  </w:pPr>
                  <w:r>
                    <w:rPr>
                      <w:rFonts w:hint="eastAsia"/>
                      <w:color w:val="auto"/>
                      <w:lang w:val="en-US" w:eastAsia="zh-CN"/>
                    </w:rPr>
                    <w:t>项目区属于“</w:t>
                  </w:r>
                  <w:r>
                    <w:rPr>
                      <w:rFonts w:hint="eastAsia"/>
                      <w:color w:val="auto"/>
                    </w:rPr>
                    <w:t>Ⅲ天山山地温性草原、森林生态区，Ⅲ3天山南坡草原牧业、绿洲农业生态亚区</w:t>
                  </w:r>
                  <w:r>
                    <w:rPr>
                      <w:rFonts w:hint="eastAsia"/>
                      <w:color w:val="auto"/>
                      <w:lang w:val="en-US" w:eastAsia="zh-CN"/>
                    </w:rPr>
                    <w:t>42</w:t>
                  </w:r>
                  <w:r>
                    <w:rPr>
                      <w:rFonts w:hint="eastAsia"/>
                      <w:color w:val="auto"/>
                    </w:rPr>
                    <w:t>．托木尔峰和天山南坡中段冰雪水源及生物多样性保护生态功能区</w:t>
                  </w:r>
                  <w:r>
                    <w:rPr>
                      <w:rFonts w:hint="eastAsia"/>
                      <w:color w:val="auto"/>
                      <w:lang w:val="en-US" w:eastAsia="zh-CN"/>
                    </w:rPr>
                    <w:t>”该功能区主要生态问题为水土流失、野生动物减少、土壤侵蚀、森林破坏；主要保护目标为保护托木尔峰自然景观、保护高山冰川、保护野生动物、保护森林和草原；主要保护措施为草地减牧、森林禁伐、禁猎、加强保护区管理；适宜发展方向为合理利用天然草地，维护自然景观和生物多样性。</w:t>
                  </w:r>
                </w:p>
              </w:tc>
              <w:tc>
                <w:tcPr>
                  <w:tcW w:w="1716" w:type="pct"/>
                  <w:tcBorders>
                    <w:tl2br w:val="nil"/>
                    <w:tr2bl w:val="nil"/>
                  </w:tcBorders>
                  <w:vAlign w:val="center"/>
                </w:tcPr>
                <w:p>
                  <w:pPr>
                    <w:pStyle w:val="2"/>
                    <w:jc w:val="both"/>
                    <w:rPr>
                      <w:rFonts w:hint="eastAsia"/>
                      <w:color w:val="auto"/>
                      <w:lang w:val="en-US" w:eastAsia="zh-CN"/>
                    </w:rPr>
                  </w:pPr>
                  <w:r>
                    <w:rPr>
                      <w:rFonts w:hint="eastAsia"/>
                      <w:color w:val="auto"/>
                      <w:lang w:val="en-US" w:eastAsia="zh-CN"/>
                    </w:rPr>
                    <w:t>本项目根据“谁开发谁保护，谁造成污染负责治理”的原则，制定了矿山环境保护和生态恢复建设方案，切实履行矿产资源开发的环境保护、水土流失防治、防风固沙、土地复垦、生态恢复建设的措施。</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tcBorders>
                    <w:tl2br w:val="nil"/>
                    <w:tr2bl w:val="nil"/>
                  </w:tcBorders>
                  <w:vAlign w:val="center"/>
                </w:tcPr>
                <w:p>
                  <w:pPr>
                    <w:pStyle w:val="2"/>
                    <w:jc w:val="both"/>
                    <w:rPr>
                      <w:color w:val="auto"/>
                    </w:rPr>
                  </w:pPr>
                  <w:r>
                    <w:rPr>
                      <w:rFonts w:hint="eastAsia"/>
                      <w:color w:val="auto"/>
                    </w:rPr>
                    <w:t>《</w:t>
                  </w:r>
                  <w:r>
                    <w:rPr>
                      <w:rFonts w:hint="eastAsia"/>
                      <w:color w:val="auto"/>
                      <w:lang w:eastAsia="zh-CN"/>
                    </w:rPr>
                    <w:t>新疆维吾尔自治区主体功能区规划</w:t>
                  </w:r>
                  <w:r>
                    <w:rPr>
                      <w:rFonts w:hint="eastAsia"/>
                      <w:color w:val="auto"/>
                    </w:rPr>
                    <w:t>》</w:t>
                  </w:r>
                </w:p>
              </w:tc>
              <w:tc>
                <w:tcPr>
                  <w:tcW w:w="2118" w:type="pct"/>
                  <w:tcBorders>
                    <w:tl2br w:val="nil"/>
                    <w:tr2bl w:val="nil"/>
                  </w:tcBorders>
                  <w:vAlign w:val="center"/>
                </w:tcPr>
                <w:p>
                  <w:pPr>
                    <w:pStyle w:val="2"/>
                    <w:jc w:val="both"/>
                    <w:rPr>
                      <w:rFonts w:hint="eastAsia"/>
                      <w:color w:val="auto"/>
                      <w:lang w:val="en-US" w:eastAsia="zh-CN"/>
                    </w:rPr>
                  </w:pPr>
                  <w:r>
                    <w:rPr>
                      <w:rFonts w:hint="eastAsia"/>
                      <w:color w:val="auto"/>
                      <w:lang w:val="en-US" w:eastAsia="zh-CN"/>
                    </w:rPr>
                    <w:t>/</w:t>
                  </w:r>
                </w:p>
              </w:tc>
              <w:tc>
                <w:tcPr>
                  <w:tcW w:w="1716" w:type="pct"/>
                  <w:tcBorders>
                    <w:tl2br w:val="nil"/>
                    <w:tr2bl w:val="nil"/>
                  </w:tcBorders>
                  <w:vAlign w:val="center"/>
                </w:tcPr>
                <w:p>
                  <w:pPr>
                    <w:pStyle w:val="2"/>
                    <w:jc w:val="both"/>
                    <w:rPr>
                      <w:rFonts w:hint="eastAsia"/>
                      <w:color w:val="auto"/>
                      <w:lang w:val="en-US" w:eastAsia="zh-CN"/>
                    </w:rPr>
                  </w:pPr>
                  <w:r>
                    <w:rPr>
                      <w:rFonts w:hint="eastAsia"/>
                      <w:color w:val="auto"/>
                      <w:lang w:val="en-US" w:eastAsia="zh-CN"/>
                    </w:rPr>
                    <w:t>本项目属于《新疆维吾尔自治区主体功能区规划》中</w:t>
                  </w:r>
                  <w:r>
                    <w:rPr>
                      <w:rFonts w:hint="eastAsia"/>
                      <w:color w:val="auto"/>
                      <w:lang w:eastAsia="zh-CN"/>
                    </w:rPr>
                    <w:t>自治区级重点生态功能区——天山南坡中段山地草原生态功能区</w:t>
                  </w:r>
                  <w:r>
                    <w:rPr>
                      <w:rFonts w:hint="eastAsia"/>
                      <w:color w:val="auto"/>
                      <w:lang w:val="en-US" w:eastAsia="zh-CN"/>
                    </w:rPr>
                    <w:t>，本项目为采矿项目，不属于高强度工业化项目。</w:t>
                  </w:r>
                </w:p>
              </w:tc>
              <w:tc>
                <w:tcPr>
                  <w:tcW w:w="307" w:type="pct"/>
                  <w:tcBorders>
                    <w:tl2br w:val="nil"/>
                    <w:tr2bl w:val="nil"/>
                  </w:tcBorders>
                  <w:vAlign w:val="center"/>
                </w:tcPr>
                <w:p>
                  <w:pPr>
                    <w:pStyle w:val="2"/>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restart"/>
                  <w:tcBorders>
                    <w:tl2br w:val="nil"/>
                    <w:tr2bl w:val="nil"/>
                  </w:tcBorders>
                  <w:vAlign w:val="center"/>
                </w:tcPr>
                <w:p>
                  <w:pPr>
                    <w:pStyle w:val="2"/>
                    <w:jc w:val="center"/>
                    <w:rPr>
                      <w:rFonts w:hint="eastAsia"/>
                      <w:color w:val="auto"/>
                    </w:rPr>
                  </w:pPr>
                  <w:r>
                    <w:rPr>
                      <w:rFonts w:hint="eastAsia"/>
                      <w:color w:val="auto"/>
                      <w:lang w:eastAsia="zh-CN"/>
                    </w:rPr>
                    <w:t>《</w:t>
                  </w:r>
                  <w:r>
                    <w:rPr>
                      <w:rFonts w:hint="default"/>
                      <w:color w:val="auto"/>
                    </w:rPr>
                    <w:t>巴音郭楞蒙古自治州生态环境</w:t>
                  </w:r>
                  <w:r>
                    <w:rPr>
                      <w:rFonts w:hint="eastAsia"/>
                      <w:color w:val="auto"/>
                      <w:lang w:eastAsia="zh-CN"/>
                    </w:rPr>
                    <w:t>“</w:t>
                  </w:r>
                  <w:r>
                    <w:rPr>
                      <w:rFonts w:hint="default"/>
                      <w:color w:val="auto"/>
                    </w:rPr>
                    <w:t>十四五</w:t>
                  </w:r>
                  <w:r>
                    <w:rPr>
                      <w:rFonts w:hint="eastAsia"/>
                      <w:color w:val="auto"/>
                      <w:lang w:eastAsia="zh-CN"/>
                    </w:rPr>
                    <w:t>”</w:t>
                  </w:r>
                  <w:r>
                    <w:rPr>
                      <w:rFonts w:hint="default"/>
                      <w:color w:val="auto"/>
                    </w:rPr>
                    <w:t>规划</w:t>
                  </w:r>
                  <w:r>
                    <w:rPr>
                      <w:rFonts w:hint="eastAsia"/>
                      <w:color w:val="auto"/>
                    </w:rPr>
                    <w:t>》</w:t>
                  </w:r>
                </w:p>
              </w:tc>
              <w:tc>
                <w:tcPr>
                  <w:tcW w:w="2118" w:type="pct"/>
                  <w:tcBorders>
                    <w:tl2br w:val="nil"/>
                    <w:tr2bl w:val="nil"/>
                  </w:tcBorders>
                  <w:vAlign w:val="center"/>
                </w:tcPr>
                <w:p>
                  <w:pPr>
                    <w:pStyle w:val="2"/>
                    <w:jc w:val="both"/>
                    <w:rPr>
                      <w:rFonts w:hint="eastAsia"/>
                      <w:color w:val="auto"/>
                    </w:rPr>
                  </w:pPr>
                  <w:r>
                    <w:rPr>
                      <w:rFonts w:hint="eastAsia"/>
                      <w:color w:val="auto"/>
                      <w:lang w:eastAsia="zh-CN"/>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自然资源利用上线，实施兵地统一的生态环境准入清单管控。</w:t>
                  </w:r>
                </w:p>
                <w:p>
                  <w:pPr>
                    <w:pStyle w:val="2"/>
                    <w:jc w:val="both"/>
                    <w:rPr>
                      <w:rFonts w:hint="eastAsia"/>
                      <w:color w:val="auto"/>
                    </w:rPr>
                  </w:pPr>
                </w:p>
              </w:tc>
              <w:tc>
                <w:tcPr>
                  <w:tcW w:w="1716" w:type="pct"/>
                  <w:tcBorders>
                    <w:tl2br w:val="nil"/>
                    <w:tr2bl w:val="nil"/>
                  </w:tcBorders>
                  <w:vAlign w:val="center"/>
                </w:tcPr>
                <w:p>
                  <w:pPr>
                    <w:pStyle w:val="2"/>
                    <w:numPr>
                      <w:ilvl w:val="0"/>
                      <w:numId w:val="0"/>
                    </w:numPr>
                    <w:jc w:val="both"/>
                    <w:rPr>
                      <w:rFonts w:hint="eastAsia"/>
                      <w:color w:val="auto"/>
                    </w:rPr>
                  </w:pPr>
                  <w:r>
                    <w:rPr>
                      <w:rFonts w:hint="eastAsia"/>
                      <w:color w:val="auto"/>
                      <w:lang w:eastAsia="zh-CN"/>
                    </w:rPr>
                    <w:t>本项目为非金属采矿，不涉及选矿，不属于“两高”项目</w:t>
                  </w:r>
                  <w:r>
                    <w:rPr>
                      <w:rFonts w:hint="eastAsia"/>
                      <w:color w:val="auto"/>
                      <w:lang w:val="en-US" w:eastAsia="zh-CN"/>
                    </w:rPr>
                    <w:t>。</w:t>
                  </w:r>
                </w:p>
                <w:p>
                  <w:pPr>
                    <w:pStyle w:val="2"/>
                    <w:jc w:val="both"/>
                    <w:rPr>
                      <w:rFonts w:hint="eastAsia"/>
                      <w:color w:val="auto"/>
                    </w:rPr>
                  </w:pPr>
                </w:p>
              </w:tc>
              <w:tc>
                <w:tcPr>
                  <w:tcW w:w="307" w:type="pct"/>
                  <w:tcBorders>
                    <w:tl2br w:val="nil"/>
                    <w:tr2bl w:val="nil"/>
                  </w:tcBorders>
                  <w:vAlign w:val="center"/>
                </w:tcPr>
                <w:p>
                  <w:pPr>
                    <w:pStyle w:val="2"/>
                    <w:jc w:val="both"/>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rFonts w:hint="eastAsia"/>
                      <w:color w:val="auto"/>
                    </w:rPr>
                  </w:pPr>
                </w:p>
              </w:tc>
              <w:tc>
                <w:tcPr>
                  <w:tcW w:w="2118" w:type="pct"/>
                  <w:tcBorders>
                    <w:tl2br w:val="nil"/>
                    <w:tr2bl w:val="nil"/>
                  </w:tcBorders>
                  <w:vAlign w:val="center"/>
                </w:tcPr>
                <w:p>
                  <w:pPr>
                    <w:pStyle w:val="2"/>
                    <w:jc w:val="both"/>
                    <w:rPr>
                      <w:rFonts w:hint="eastAsia"/>
                      <w:color w:val="auto"/>
                    </w:rPr>
                  </w:pPr>
                  <w:r>
                    <w:rPr>
                      <w:rFonts w:hint="eastAsia"/>
                      <w:color w:val="auto"/>
                    </w:rPr>
                    <w:t>加强矿山粉尘治理，充分运用新型、高效的防尘、降尘、除尘技术，全面加强矿山开采各环节粉尘防控措施。</w:t>
                  </w:r>
                </w:p>
              </w:tc>
              <w:tc>
                <w:tcPr>
                  <w:tcW w:w="1716" w:type="pct"/>
                  <w:tcBorders>
                    <w:tl2br w:val="nil"/>
                    <w:tr2bl w:val="nil"/>
                  </w:tcBorders>
                  <w:vAlign w:val="center"/>
                </w:tcPr>
                <w:p>
                  <w:pPr>
                    <w:pStyle w:val="2"/>
                    <w:numPr>
                      <w:ilvl w:val="0"/>
                      <w:numId w:val="0"/>
                    </w:numPr>
                    <w:jc w:val="both"/>
                    <w:rPr>
                      <w:rFonts w:hint="eastAsia"/>
                      <w:color w:val="auto"/>
                      <w:lang w:val="en-US" w:eastAsia="zh-CN"/>
                    </w:rPr>
                  </w:pPr>
                  <w:r>
                    <w:rPr>
                      <w:rFonts w:hint="eastAsia"/>
                      <w:color w:val="auto"/>
                    </w:rPr>
                    <w:t>本项目采用洒水降尘、</w:t>
                  </w:r>
                  <w:r>
                    <w:rPr>
                      <w:rFonts w:hint="eastAsia"/>
                      <w:color w:val="auto"/>
                      <w:lang w:eastAsia="zh-CN"/>
                    </w:rPr>
                    <w:t>湿法作业</w:t>
                  </w:r>
                  <w:r>
                    <w:rPr>
                      <w:rFonts w:hint="eastAsia"/>
                      <w:color w:val="auto"/>
                    </w:rPr>
                    <w:t>、道路硬化</w:t>
                  </w:r>
                  <w:r>
                    <w:rPr>
                      <w:rFonts w:hint="eastAsia"/>
                      <w:color w:val="auto"/>
                      <w:lang w:eastAsia="zh-CN"/>
                    </w:rPr>
                    <w:t>等措施</w:t>
                  </w:r>
                  <w:r>
                    <w:rPr>
                      <w:rFonts w:hint="eastAsia"/>
                      <w:color w:val="auto"/>
                    </w:rPr>
                    <w:t>，有效抑制粉尘排放量，</w:t>
                  </w:r>
                  <w:r>
                    <w:rPr>
                      <w:rFonts w:hint="eastAsia"/>
                      <w:color w:val="auto"/>
                      <w:lang w:eastAsia="zh-CN"/>
                    </w:rPr>
                    <w:t>满足</w:t>
                  </w:r>
                  <w:r>
                    <w:rPr>
                      <w:color w:val="auto"/>
                    </w:rPr>
                    <w:t>《大气污染物综合排放标准》</w:t>
                  </w:r>
                  <w:r>
                    <w:rPr>
                      <w:rFonts w:hint="eastAsia"/>
                      <w:color w:val="auto"/>
                    </w:rPr>
                    <w:t>（</w:t>
                  </w:r>
                  <w:r>
                    <w:rPr>
                      <w:color w:val="auto"/>
                    </w:rPr>
                    <w:t>GB16297-1996</w:t>
                  </w:r>
                  <w:r>
                    <w:rPr>
                      <w:rFonts w:hint="eastAsia"/>
                      <w:color w:val="auto"/>
                    </w:rPr>
                    <w:t>）</w:t>
                  </w:r>
                  <w:r>
                    <w:rPr>
                      <w:rFonts w:hint="eastAsia"/>
                      <w:color w:val="auto"/>
                      <w:lang w:eastAsia="zh-CN"/>
                    </w:rPr>
                    <w:t>表</w:t>
                  </w:r>
                  <w:r>
                    <w:rPr>
                      <w:rFonts w:hint="eastAsia"/>
                      <w:color w:val="auto"/>
                      <w:lang w:val="en-US" w:eastAsia="zh-CN"/>
                    </w:rPr>
                    <w:t>2排放</w:t>
                  </w:r>
                  <w:r>
                    <w:rPr>
                      <w:color w:val="auto"/>
                    </w:rPr>
                    <w:t>限值</w:t>
                  </w:r>
                  <w:r>
                    <w:rPr>
                      <w:rFonts w:hint="eastAsia"/>
                      <w:color w:val="auto"/>
                    </w:rPr>
                    <w:t>。</w:t>
                  </w:r>
                </w:p>
              </w:tc>
              <w:tc>
                <w:tcPr>
                  <w:tcW w:w="307" w:type="pct"/>
                  <w:tcBorders>
                    <w:tl2br w:val="nil"/>
                    <w:tr2bl w:val="nil"/>
                  </w:tcBorders>
                  <w:vAlign w:val="center"/>
                </w:tcPr>
                <w:p>
                  <w:pPr>
                    <w:pStyle w:val="2"/>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rFonts w:hint="eastAsia"/>
                      <w:color w:val="auto"/>
                    </w:rPr>
                  </w:pPr>
                </w:p>
              </w:tc>
              <w:tc>
                <w:tcPr>
                  <w:tcW w:w="2118" w:type="pct"/>
                  <w:tcBorders>
                    <w:tl2br w:val="nil"/>
                    <w:tr2bl w:val="nil"/>
                  </w:tcBorders>
                  <w:vAlign w:val="center"/>
                </w:tcPr>
                <w:p>
                  <w:pPr>
                    <w:pStyle w:val="2"/>
                    <w:jc w:val="both"/>
                    <w:rPr>
                      <w:rFonts w:hint="eastAsia"/>
                      <w:color w:val="auto"/>
                    </w:rPr>
                  </w:pPr>
                  <w:r>
                    <w:rPr>
                      <w:rFonts w:hint="eastAsia"/>
                      <w:color w:val="auto"/>
                    </w:rPr>
                    <w:t>促进再生水利用。制定促进再生水利用的政策，以城市及产业集聚区为重点，持续推进污水收集处理，实施再生水利用工程，完善再生水利用设施，工业生产、城市绿化、道路清扫、车辆冲洗、建筑施工以及生态景观等用水，优先使用再生水。</w:t>
                  </w:r>
                </w:p>
              </w:tc>
              <w:tc>
                <w:tcPr>
                  <w:tcW w:w="1716" w:type="pct"/>
                  <w:tcBorders>
                    <w:tl2br w:val="nil"/>
                    <w:tr2bl w:val="nil"/>
                  </w:tcBorders>
                  <w:vAlign w:val="center"/>
                </w:tcPr>
                <w:p>
                  <w:pPr>
                    <w:pStyle w:val="2"/>
                    <w:jc w:val="both"/>
                    <w:rPr>
                      <w:rFonts w:hint="eastAsia"/>
                      <w:color w:val="auto"/>
                      <w:lang w:val="en-US" w:eastAsia="zh-CN"/>
                    </w:rPr>
                  </w:pPr>
                  <w:r>
                    <w:rPr>
                      <w:rFonts w:hint="eastAsia"/>
                      <w:color w:val="auto"/>
                      <w:lang w:eastAsia="zh-CN"/>
                    </w:rPr>
                    <w:t>本项目工业废水可循环使用，不外排，废水利用率为</w:t>
                  </w:r>
                  <w:r>
                    <w:rPr>
                      <w:rFonts w:hint="eastAsia"/>
                      <w:color w:val="auto"/>
                      <w:lang w:val="en-US" w:eastAsia="zh-CN"/>
                    </w:rPr>
                    <w:t>100%</w:t>
                  </w:r>
                  <w:r>
                    <w:rPr>
                      <w:rFonts w:hint="eastAsia"/>
                      <w:color w:val="auto"/>
                      <w:lang w:eastAsia="zh-CN"/>
                    </w:rPr>
                    <w:t>。</w:t>
                  </w:r>
                </w:p>
              </w:tc>
              <w:tc>
                <w:tcPr>
                  <w:tcW w:w="307" w:type="pct"/>
                  <w:tcBorders>
                    <w:tl2br w:val="nil"/>
                    <w:tr2bl w:val="nil"/>
                  </w:tcBorders>
                  <w:vAlign w:val="center"/>
                </w:tcPr>
                <w:p>
                  <w:pPr>
                    <w:pStyle w:val="2"/>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both"/>
                    <w:rPr>
                      <w:rFonts w:hint="eastAsia"/>
                      <w:color w:val="auto"/>
                    </w:rPr>
                  </w:pPr>
                </w:p>
              </w:tc>
              <w:tc>
                <w:tcPr>
                  <w:tcW w:w="2118" w:type="pct"/>
                  <w:tcBorders>
                    <w:tl2br w:val="nil"/>
                    <w:tr2bl w:val="nil"/>
                  </w:tcBorders>
                  <w:vAlign w:val="center"/>
                </w:tcPr>
                <w:p>
                  <w:pPr>
                    <w:pStyle w:val="2"/>
                    <w:jc w:val="both"/>
                    <w:rPr>
                      <w:rFonts w:hint="eastAsia"/>
                      <w:color w:val="auto"/>
                    </w:rPr>
                  </w:pPr>
                  <w:r>
                    <w:rPr>
                      <w:rFonts w:hint="eastAsia"/>
                      <w:color w:val="auto"/>
                    </w:rPr>
                    <w:t>加强环境噪声污染防控。加强噪声污染源监管，继续强化和深入推进交通运输、建筑施工、社会生活、工业企业、机场周边噪声污染防治，推进工业企业噪声纳入排污许可管理</w:t>
                  </w:r>
                  <w:r>
                    <w:rPr>
                      <w:rFonts w:hint="eastAsia"/>
                      <w:color w:val="auto"/>
                      <w:lang w:eastAsia="zh-CN"/>
                    </w:rPr>
                    <w:t>。</w:t>
                  </w:r>
                </w:p>
              </w:tc>
              <w:tc>
                <w:tcPr>
                  <w:tcW w:w="1716" w:type="pct"/>
                  <w:tcBorders>
                    <w:tl2br w:val="nil"/>
                    <w:tr2bl w:val="nil"/>
                  </w:tcBorders>
                  <w:vAlign w:val="center"/>
                </w:tcPr>
                <w:p>
                  <w:pPr>
                    <w:pStyle w:val="2"/>
                    <w:jc w:val="both"/>
                    <w:rPr>
                      <w:rFonts w:hint="eastAsia"/>
                      <w:color w:val="auto"/>
                      <w:lang w:val="en-US" w:eastAsia="zh-CN"/>
                    </w:rPr>
                  </w:pPr>
                  <w:r>
                    <w:rPr>
                      <w:rFonts w:hint="eastAsia"/>
                      <w:color w:val="auto"/>
                    </w:rPr>
                    <w:t>噪声设备采用基础减振、隔音的措施，满足</w:t>
                  </w:r>
                  <w:r>
                    <w:rPr>
                      <w:color w:val="auto"/>
                    </w:rPr>
                    <w:t>《工业企业厂界环境噪声排放标准》（GB 12348-2008）中</w:t>
                  </w:r>
                  <w:r>
                    <w:rPr>
                      <w:rFonts w:hint="eastAsia"/>
                      <w:color w:val="auto"/>
                      <w:lang w:val="en-US" w:eastAsia="zh-CN"/>
                    </w:rPr>
                    <w:t>2</w:t>
                  </w:r>
                  <w:r>
                    <w:rPr>
                      <w:color w:val="auto"/>
                    </w:rPr>
                    <w:t>类</w:t>
                  </w:r>
                  <w:r>
                    <w:rPr>
                      <w:rFonts w:hint="eastAsia"/>
                      <w:color w:val="auto"/>
                    </w:rPr>
                    <w:t>区</w:t>
                  </w:r>
                  <w:r>
                    <w:rPr>
                      <w:color w:val="auto"/>
                    </w:rPr>
                    <w:t>声环境功能区标准</w:t>
                  </w:r>
                  <w:r>
                    <w:rPr>
                      <w:rFonts w:hint="eastAsia"/>
                      <w:color w:val="auto"/>
                    </w:rPr>
                    <w:t>。</w:t>
                  </w:r>
                </w:p>
              </w:tc>
              <w:tc>
                <w:tcPr>
                  <w:tcW w:w="307" w:type="pct"/>
                  <w:tcBorders>
                    <w:tl2br w:val="nil"/>
                    <w:tr2bl w:val="nil"/>
                  </w:tcBorders>
                  <w:vAlign w:val="center"/>
                </w:tcPr>
                <w:p>
                  <w:pPr>
                    <w:pStyle w:val="2"/>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tcBorders>
                    <w:tl2br w:val="nil"/>
                    <w:tr2bl w:val="nil"/>
                  </w:tcBorders>
                  <w:vAlign w:val="center"/>
                </w:tcPr>
                <w:p>
                  <w:pPr>
                    <w:pStyle w:val="2"/>
                    <w:jc w:val="both"/>
                    <w:rPr>
                      <w:rFonts w:hint="eastAsia"/>
                      <w:color w:val="auto"/>
                    </w:rPr>
                  </w:pPr>
                  <w:r>
                    <w:rPr>
                      <w:rFonts w:hint="eastAsia"/>
                      <w:color w:val="auto"/>
                      <w:lang w:val="en-US" w:eastAsia="zh-CN"/>
                    </w:rPr>
                    <w:t>《新疆维吾尔自治区28个国家重点生态功能区县（市）产业准入负面清单》</w:t>
                  </w:r>
                </w:p>
              </w:tc>
              <w:tc>
                <w:tcPr>
                  <w:tcW w:w="2118" w:type="pct"/>
                  <w:tcBorders>
                    <w:tl2br w:val="nil"/>
                    <w:tr2bl w:val="nil"/>
                  </w:tcBorders>
                  <w:vAlign w:val="center"/>
                </w:tcPr>
                <w:p>
                  <w:pPr>
                    <w:pStyle w:val="2"/>
                    <w:jc w:val="both"/>
                    <w:rPr>
                      <w:rFonts w:hint="eastAsia"/>
                      <w:color w:val="auto"/>
                      <w:lang w:val="en-US" w:eastAsia="zh-CN"/>
                    </w:rPr>
                  </w:pPr>
                  <w:r>
                    <w:rPr>
                      <w:rFonts w:hint="eastAsia"/>
                      <w:color w:val="auto"/>
                      <w:lang w:val="en-US" w:eastAsia="zh-CN"/>
                    </w:rPr>
                    <w:t>/</w:t>
                  </w:r>
                </w:p>
              </w:tc>
              <w:tc>
                <w:tcPr>
                  <w:tcW w:w="1716" w:type="pct"/>
                  <w:tcBorders>
                    <w:tl2br w:val="nil"/>
                    <w:tr2bl w:val="nil"/>
                  </w:tcBorders>
                  <w:vAlign w:val="center"/>
                </w:tcPr>
                <w:p>
                  <w:pPr>
                    <w:pStyle w:val="2"/>
                    <w:jc w:val="both"/>
                    <w:rPr>
                      <w:rFonts w:hint="eastAsia"/>
                      <w:color w:val="auto"/>
                      <w:lang w:val="en-US" w:eastAsia="zh-CN"/>
                    </w:rPr>
                  </w:pPr>
                  <w:r>
                    <w:rPr>
                      <w:rFonts w:hint="eastAsia"/>
                      <w:color w:val="auto"/>
                      <w:lang w:eastAsia="zh-CN"/>
                    </w:rPr>
                    <w:t>本项目不在</w:t>
                  </w:r>
                  <w:r>
                    <w:rPr>
                      <w:rFonts w:hint="eastAsia"/>
                      <w:color w:val="auto"/>
                      <w:lang w:val="en-US" w:eastAsia="zh-CN"/>
                    </w:rPr>
                    <w:t>《新疆维吾尔自治区28个国家重点生态功能区县（市）产业准入负面清单》的产业负面清单中。</w:t>
                  </w:r>
                </w:p>
              </w:tc>
              <w:tc>
                <w:tcPr>
                  <w:tcW w:w="307" w:type="pct"/>
                  <w:tcBorders>
                    <w:tl2br w:val="nil"/>
                    <w:tr2bl w:val="nil"/>
                  </w:tcBorders>
                  <w:vAlign w:val="center"/>
                </w:tcPr>
                <w:p>
                  <w:pPr>
                    <w:pStyle w:val="2"/>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tcBorders>
                    <w:tl2br w:val="nil"/>
                    <w:tr2bl w:val="nil"/>
                  </w:tcBorders>
                  <w:vAlign w:val="center"/>
                </w:tcPr>
                <w:p>
                  <w:pPr>
                    <w:pStyle w:val="2"/>
                    <w:jc w:val="both"/>
                    <w:rPr>
                      <w:rFonts w:hint="eastAsia"/>
                      <w:color w:val="auto"/>
                    </w:rPr>
                  </w:pPr>
                  <w:r>
                    <w:rPr>
                      <w:rFonts w:hint="eastAsia"/>
                      <w:color w:val="auto"/>
                      <w:lang w:val="en-US" w:eastAsia="zh-CN"/>
                    </w:rPr>
                    <w:t>《</w:t>
                  </w:r>
                  <w:r>
                    <w:rPr>
                      <w:rFonts w:hint="default"/>
                      <w:color w:val="auto"/>
                    </w:rPr>
                    <w:t>新疆维吾尔自治区17个新增纳入国家重点生态功能区县（市）产业准入负面清单（试行）</w:t>
                  </w:r>
                  <w:r>
                    <w:rPr>
                      <w:rFonts w:hint="eastAsia"/>
                      <w:color w:val="auto"/>
                      <w:lang w:val="en-US" w:eastAsia="zh-CN"/>
                    </w:rPr>
                    <w:t>》</w:t>
                  </w:r>
                </w:p>
              </w:tc>
              <w:tc>
                <w:tcPr>
                  <w:tcW w:w="2118" w:type="pct"/>
                  <w:tcBorders>
                    <w:tl2br w:val="nil"/>
                    <w:tr2bl w:val="nil"/>
                  </w:tcBorders>
                  <w:vAlign w:val="center"/>
                </w:tcPr>
                <w:p>
                  <w:pPr>
                    <w:pStyle w:val="2"/>
                    <w:jc w:val="both"/>
                    <w:rPr>
                      <w:rFonts w:hint="eastAsia"/>
                      <w:color w:val="auto"/>
                      <w:lang w:val="en-US" w:eastAsia="zh-CN"/>
                    </w:rPr>
                  </w:pPr>
                  <w:r>
                    <w:rPr>
                      <w:rFonts w:hint="eastAsia"/>
                      <w:color w:val="auto"/>
                      <w:lang w:val="en-US" w:eastAsia="zh-CN"/>
                    </w:rPr>
                    <w:t>/</w:t>
                  </w:r>
                </w:p>
              </w:tc>
              <w:tc>
                <w:tcPr>
                  <w:tcW w:w="1716" w:type="pct"/>
                  <w:tcBorders>
                    <w:tl2br w:val="nil"/>
                    <w:tr2bl w:val="nil"/>
                  </w:tcBorders>
                  <w:vAlign w:val="center"/>
                </w:tcPr>
                <w:p>
                  <w:pPr>
                    <w:pStyle w:val="2"/>
                    <w:jc w:val="both"/>
                    <w:rPr>
                      <w:rFonts w:hint="eastAsia"/>
                      <w:color w:val="auto"/>
                      <w:lang w:val="en-US" w:eastAsia="zh-CN"/>
                    </w:rPr>
                  </w:pPr>
                  <w:r>
                    <w:rPr>
                      <w:rFonts w:hint="eastAsia"/>
                      <w:color w:val="auto"/>
                      <w:lang w:eastAsia="zh-CN"/>
                    </w:rPr>
                    <w:t>本项目不在</w:t>
                  </w:r>
                  <w:r>
                    <w:rPr>
                      <w:rFonts w:hint="eastAsia"/>
                      <w:color w:val="auto"/>
                      <w:lang w:val="en-US" w:eastAsia="zh-CN"/>
                    </w:rPr>
                    <w:t>《</w:t>
                  </w:r>
                  <w:r>
                    <w:rPr>
                      <w:rFonts w:hint="default"/>
                      <w:color w:val="auto"/>
                    </w:rPr>
                    <w:t>新疆维吾尔自治区17个新增纳入国家重点生态功能区县（市）产业准入负面清单（试行）</w:t>
                  </w:r>
                  <w:r>
                    <w:rPr>
                      <w:rFonts w:hint="eastAsia"/>
                      <w:color w:val="auto"/>
                      <w:lang w:val="en-US" w:eastAsia="zh-CN"/>
                    </w:rPr>
                    <w:t>》的产业负面清单中。</w:t>
                  </w:r>
                </w:p>
              </w:tc>
              <w:tc>
                <w:tcPr>
                  <w:tcW w:w="307" w:type="pct"/>
                  <w:tcBorders>
                    <w:tl2br w:val="nil"/>
                    <w:tr2bl w:val="nil"/>
                  </w:tcBorders>
                  <w:vAlign w:val="center"/>
                </w:tcPr>
                <w:p>
                  <w:pPr>
                    <w:pStyle w:val="2"/>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restar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《新疆维吾尔自治区重点行业生态环境准入条件（2024年）》（新环环评发〔2024〕93号）</w:t>
                  </w: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p>
              </w:tc>
              <w:tc>
                <w:tcPr>
                  <w:tcW w:w="1716" w:type="pct"/>
                  <w:tcBorders>
                    <w:tl2br w:val="nil"/>
                    <w:tr2bl w:val="nil"/>
                  </w:tcBorders>
                  <w:vAlign w:val="center"/>
                </w:tcPr>
                <w:p>
                  <w:pPr>
                    <w:pStyle w:val="2"/>
                    <w:bidi w:val="0"/>
                    <w:ind w:firstLine="0" w:firstLineChars="0"/>
                    <w:jc w:val="center"/>
                    <w:rPr>
                      <w:rFonts w:hint="default"/>
                      <w:color w:val="auto"/>
                      <w:lang w:val="en-US" w:eastAsia="zh-CN"/>
                    </w:rPr>
                  </w:pPr>
                  <w:r>
                    <w:rPr>
                      <w:rFonts w:hint="eastAsia"/>
                      <w:color w:val="auto"/>
                      <w:lang w:val="en-US" w:eastAsia="zh-CN"/>
                    </w:rPr>
                    <w:t>本项目占地不涉及</w:t>
                  </w:r>
                  <w:r>
                    <w:rPr>
                      <w:rFonts w:hint="eastAsia" w:ascii="Times New Roman" w:hAnsi="Times New Roman" w:eastAsia="宋体" w:cs="Times New Roman"/>
                      <w:color w:val="auto"/>
                      <w:lang w:val="en-US" w:eastAsia="zh-CN"/>
                    </w:rPr>
                    <w:t>重要工业区、大型水利工程设施、城镇市政工程设施所在区域，军事管理区、机场、国防工程设施圈定的区域，周边200m范围内无高速公路、国道、省道等重要交通干线。周边1000m范围内无铁路。本项目为花岗岩开采，不涉及石灰石。</w:t>
                  </w:r>
                </w:p>
              </w:tc>
              <w:tc>
                <w:tcPr>
                  <w:tcW w:w="307" w:type="pct"/>
                  <w:tcBorders>
                    <w:tl2br w:val="nil"/>
                    <w:tr2bl w:val="nil"/>
                  </w:tcBorders>
                  <w:vAlign w:val="center"/>
                </w:tcPr>
                <w:p>
                  <w:pPr>
                    <w:pStyle w:val="2"/>
                    <w:jc w:val="both"/>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color w:val="auto"/>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河道范围及其附近的非金属矿采选项目应符合国家和自治区河道管理条例要求，具体根据矿产资源开发利用结论和环境影响评价结论管控。</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本项目距离最近的</w:t>
                  </w:r>
                  <w:r>
                    <w:rPr>
                      <w:rFonts w:hint="eastAsia"/>
                      <w:color w:val="auto"/>
                    </w:rPr>
                    <w:t>河流为</w:t>
                  </w:r>
                  <w:r>
                    <w:rPr>
                      <w:rFonts w:hint="eastAsia"/>
                      <w:color w:val="auto"/>
                      <w:lang w:eastAsia="zh-CN"/>
                    </w:rPr>
                    <w:t>霍拉沟</w:t>
                  </w:r>
                  <w:r>
                    <w:rPr>
                      <w:rFonts w:hint="eastAsia"/>
                      <w:color w:val="auto"/>
                    </w:rPr>
                    <w:t>河，水环境</w:t>
                  </w:r>
                  <w:r>
                    <w:rPr>
                      <w:rFonts w:hint="eastAsia"/>
                      <w:color w:val="auto"/>
                      <w:lang w:eastAsia="zh-CN"/>
                    </w:rPr>
                    <w:t>功能区</w:t>
                  </w:r>
                  <w:r>
                    <w:rPr>
                      <w:rFonts w:hint="eastAsia"/>
                      <w:color w:val="auto"/>
                    </w:rPr>
                    <w:t>为Ⅰ</w:t>
                  </w:r>
                  <w:r>
                    <w:rPr>
                      <w:color w:val="auto"/>
                    </w:rPr>
                    <w:t>类</w:t>
                  </w:r>
                  <w:r>
                    <w:rPr>
                      <w:rFonts w:hint="eastAsia"/>
                      <w:color w:val="auto"/>
                    </w:rPr>
                    <w:t>，</w:t>
                  </w:r>
                  <w:r>
                    <w:rPr>
                      <w:rFonts w:hint="eastAsia"/>
                      <w:color w:val="auto"/>
                      <w:lang w:eastAsia="zh-CN"/>
                    </w:rPr>
                    <w:t>位于项目区</w:t>
                  </w:r>
                  <w:r>
                    <w:rPr>
                      <w:rFonts w:hint="eastAsia"/>
                      <w:color w:val="auto"/>
                      <w:lang w:val="en-US" w:eastAsia="zh-CN"/>
                    </w:rPr>
                    <w:t>南</w:t>
                  </w:r>
                  <w:r>
                    <w:rPr>
                      <w:rFonts w:hint="eastAsia"/>
                      <w:color w:val="auto"/>
                      <w:lang w:eastAsia="zh-CN"/>
                    </w:rPr>
                    <w:t>侧</w:t>
                  </w:r>
                  <w:r>
                    <w:rPr>
                      <w:rFonts w:hint="eastAsia"/>
                      <w:color w:val="auto"/>
                      <w:lang w:val="en-US" w:eastAsia="zh-CN"/>
                    </w:rPr>
                    <w:t>1.4km处，本项目与该河道不产生联系。</w:t>
                  </w:r>
                </w:p>
              </w:tc>
              <w:tc>
                <w:tcPr>
                  <w:tcW w:w="307" w:type="pct"/>
                  <w:tcBorders>
                    <w:tl2br w:val="nil"/>
                    <w:tr2bl w:val="nil"/>
                  </w:tcBorders>
                  <w:vAlign w:val="center"/>
                </w:tcPr>
                <w:p>
                  <w:pPr>
                    <w:pStyle w:val="2"/>
                    <w:jc w:val="center"/>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color w:val="auto"/>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石开采须采用湿式凿岩作业方式。矿石转运、破碎、筛分等粉尘产生工序，须配备抑尘、除尘设施，除尘效率不低于99%。矿石、废石堆场须采用洒水抑尘、设置围挡等无组织粉尘防治措施。大气污染物排放须满足《大气污染物综合排放标准》（GB16297）要求，有行业排放标准的执行行业标准。</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本项目开采采用湿式凿岩作业方式；无工业广场。矿石、废石堆场定期洒水抑尘，因为产品和废石均为大块，仅定期洒水降尘。大气污染物排放满足《大气污染物综合排放标准》（GB16297）要求。</w:t>
                  </w:r>
                </w:p>
              </w:tc>
              <w:tc>
                <w:tcPr>
                  <w:tcW w:w="307" w:type="pct"/>
                  <w:tcBorders>
                    <w:tl2br w:val="nil"/>
                    <w:tr2bl w:val="nil"/>
                  </w:tcBorders>
                  <w:vAlign w:val="center"/>
                </w:tcPr>
                <w:p>
                  <w:pPr>
                    <w:pStyle w:val="2"/>
                    <w:jc w:val="center"/>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color w:val="auto"/>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严禁未经处理的采矿废水直接排放，禁止利用渗井、渗坑、裂隙和溶洞等排放废水。鼓励将矿坑水优先作为生产用水和辅助水源利用。在干旱缺水地区，鼓励将外排矿坑水处理达标后用于农林灌溉，生活污水处理达标后尽量综合利用，边远矿区的生活污水排放和综合利用可参照《农村生活污水处理排放标准》（DB65/4275）要求管控。</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本项目采矿废水经循环沉淀池处理后回用，不外排。生活污水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ascii="Times New Roman" w:hAnsi="Times New Roman" w:eastAsia="宋体" w:cs="Times New Roman"/>
                      <w:color w:val="auto"/>
                      <w:lang w:val="en-US" w:eastAsia="zh-CN"/>
                    </w:rPr>
                    <w:t>。</w:t>
                  </w:r>
                </w:p>
              </w:tc>
              <w:tc>
                <w:tcPr>
                  <w:tcW w:w="307" w:type="pct"/>
                  <w:tcBorders>
                    <w:tl2br w:val="nil"/>
                    <w:tr2bl w:val="nil"/>
                  </w:tcBorders>
                  <w:vAlign w:val="center"/>
                </w:tcPr>
                <w:p>
                  <w:pPr>
                    <w:pStyle w:val="2"/>
                    <w:jc w:val="center"/>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color w:val="auto"/>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噪声排放执行《工业企业厂界环境噪声排放标准》(GB12348)</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本项目噪声排放执行</w:t>
                  </w:r>
                  <w:r>
                    <w:rPr>
                      <w:color w:val="auto"/>
                    </w:rPr>
                    <w:t>《工业企业厂界环境噪声排放标准》（GB 12348-2008）中</w:t>
                  </w:r>
                  <w:r>
                    <w:rPr>
                      <w:rFonts w:hint="eastAsia"/>
                      <w:color w:val="auto"/>
                      <w:lang w:val="en-US" w:eastAsia="zh-CN"/>
                    </w:rPr>
                    <w:t>2</w:t>
                  </w:r>
                  <w:r>
                    <w:rPr>
                      <w:color w:val="auto"/>
                    </w:rPr>
                    <w:t>类</w:t>
                  </w:r>
                  <w:r>
                    <w:rPr>
                      <w:rFonts w:hint="eastAsia"/>
                      <w:color w:val="auto"/>
                      <w:lang w:val="en-US" w:eastAsia="zh-CN"/>
                    </w:rPr>
                    <w:t>标准限值。</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color w:val="auto"/>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GB18599)要求建设。生活垃圾实现100%无害化处置。</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本项目废石堆场按《一般工业固体废物贮存和填埋污染控制标准》(GB18599)要求建设，废石用于复垦期回填。生活垃圾集中收集至垃圾箱内，委托环卫部门处置。</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color w:val="auto"/>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改（扩）建矿山应在矿山开采前完成《矿山生态环境保护与恢复治理方案》编制工作。位于荒漠和风沙区的矿产资源开发应尽可能避开易发生风蚀和生态退化地带；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本项目于2023年10月8日取得了关于对《新疆富华石业有限公司新疆焉耆县霍拉山14号花岗岩矿矿产资源开发利用与生态保护修复方案》专家审查意见，严格按照该方案开展复垦工作。</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restar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《关于加快推进露天矿山综合整治工作实施意见的函》自然资办函〔2019〕819号</w:t>
                  </w: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强露天矿山生态修复。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本项目严格按照“谁开采、谁治理，边开采、边治理”原则，已编制《新疆富华石业有限公司新疆焉耆县霍拉山14号花岗岩矿矿产资源开发利用与生态保护修复方案》，严格按照该方案开展复垦工作。</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ascii="Times New Roman" w:hAnsi="Times New Roman" w:eastAsia="宋体" w:cs="Times New Roman"/>
                      <w:color w:val="auto"/>
                      <w:lang w:val="en-US" w:eastAsia="zh-CN"/>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制定政策措施。各地结合当地工作实际，建立露天矿山综合整治长效机制，突出重点区域、重点矿种，围绕开采准入标准、矿山升级改造、生态环境治理和提高资源保障能力等内容，制定出台符合本地实际、切实可行的政策措施，推动露天矿山综合整治取得实效。</w:t>
                  </w:r>
                </w:p>
              </w:tc>
              <w:tc>
                <w:tcPr>
                  <w:tcW w:w="1716"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本项目符合《新疆维吾尔自治区焉耆县矿产资源总体规划（2021—2025年）》</w:t>
                  </w:r>
                </w:p>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，属于重点勘查开采矿种，不属于限制和禁止勘查开采矿种。</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restar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lang w:val="en-US" w:eastAsia="zh-CN"/>
                    </w:rPr>
                    <w:t>《矿山生态环境保护与恢复治理技术规范（试行）》（HJ651-2013）</w:t>
                  </w: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涉及自然保护区、风景名胜区、森林公园、饮用水水源保护区、文物古迹所在地、地质遗迹保护区、基本农田保护区等重要生态保护地以及其他法律法规规定的禁采区域内采矿。周边无重要道路、航道两侧及重要生态环境敏感目标。</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lang w:val="en-US" w:eastAsia="zh-CN"/>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矿产资源开发活动应符合国家和区域主体功能区规划、生态功能区划、生态环境保护规划的要求，采取有效预防和保护措施，避免或减轻矿产资源开发活动造成的生态破坏和环境污染。</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本项目符合《新疆维吾尔自治区生态功能区划》《新疆维吾尔自治区主体功能区规划》。</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lang w:val="en-US" w:eastAsia="zh-CN"/>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本项目坚持“预防为主、防治结合、过程控制”的原则，将矿山生态环境保护与恢复治理贯穿矿产资源开采的全过程。</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lang w:val="en-US" w:eastAsia="zh-CN"/>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所有矿山企业均应对照本标准各项要求，编制实施矿山生态环境保护与恢复治理方案。</w:t>
                  </w:r>
                </w:p>
              </w:tc>
              <w:tc>
                <w:tcPr>
                  <w:tcW w:w="1716"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本项目于2023年10月8日取得了关于对《新疆富华石业有限公司新疆焉耆县霍拉山14号花岗岩矿矿产资源开发利用与生态保护修复方案》专家审查意见，严格按照该方案开展复垦工作。</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vMerge w:val="continue"/>
                  <w:tcBorders>
                    <w:tl2br w:val="nil"/>
                    <w:tr2bl w:val="nil"/>
                  </w:tcBorders>
                  <w:vAlign w:val="center"/>
                </w:tcPr>
                <w:p>
                  <w:pPr>
                    <w:pStyle w:val="2"/>
                    <w:jc w:val="center"/>
                    <w:rPr>
                      <w:rFonts w:hint="eastAsia"/>
                      <w:lang w:val="en-US" w:eastAsia="zh-CN"/>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严格按照《新疆富华石业有限公司新疆焉耆县霍拉山14号花岗岩矿矿产资源开发利用与生态保护修复方案》中的要求开展复垦工作，恢复治理后的各类场地实现：安全稳定，对人类和动植物不造成威胁；对周边环境不产生污染；与周边自然环境和景观相协调；恢复土地基本功能，因地制宜实现土地可持续利用；区域整体生态功能得到保护和恢复。</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《空气质量持续改善行动计划》的通知</w:t>
                  </w:r>
                </w:p>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国发〔2023〕24号</w:t>
                  </w:r>
                </w:p>
                <w:p>
                  <w:pPr>
                    <w:pStyle w:val="2"/>
                    <w:jc w:val="center"/>
                    <w:rPr>
                      <w:rFonts w:hint="eastAsia" w:ascii="Times New Roman" w:hAnsi="Times New Roman" w:eastAsia="宋体" w:cs="Times New Roman"/>
                      <w:color w:val="auto"/>
                      <w:lang w:val="en-US" w:eastAsia="zh-CN"/>
                    </w:rPr>
                  </w:pPr>
                </w:p>
              </w:tc>
              <w:tc>
                <w:tcPr>
                  <w:tcW w:w="2118" w:type="pct"/>
                  <w:tcBorders>
                    <w:tl2br w:val="nil"/>
                    <w:tr2bl w:val="nil"/>
                  </w:tcBorders>
                  <w:vAlign w:val="center"/>
                </w:tcPr>
                <w:p>
                  <w:pPr>
                    <w:pStyle w:val="2"/>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推进矿山生态环境综合整治。新建矿山原则上要同步建设铁路专用线或采用其他清洁运输方式。到2025年，京津冀及周边地区原则上不再新建露天矿山（省级矿产资源规划确定的重点开采区或经安全论证不宜采用地下开采方式的除外）。对限期整改仍不达标的矿山，根据安全生产、水土保持、生态环境等要求依法关闭。</w:t>
                  </w:r>
                </w:p>
              </w:tc>
              <w:tc>
                <w:tcPr>
                  <w:tcW w:w="1716" w:type="pct"/>
                  <w:tcBorders>
                    <w:tl2br w:val="nil"/>
                    <w:tr2bl w:val="nil"/>
                  </w:tcBorders>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本项目运输为大块荒料，运输车辆定期洒水降尘，进出车辆清洗。</w:t>
                  </w:r>
                </w:p>
              </w:tc>
              <w:tc>
                <w:tcPr>
                  <w:tcW w:w="307" w:type="pct"/>
                  <w:tcBorders>
                    <w:tl2br w:val="nil"/>
                    <w:tr2bl w:val="nil"/>
                  </w:tcBorders>
                  <w:vAlign w:val="center"/>
                </w:tcPr>
                <w:p>
                  <w:pPr>
                    <w:pStyle w:val="2"/>
                    <w:jc w:val="center"/>
                    <w:rPr>
                      <w:rFonts w:hint="eastAsia"/>
                      <w:color w:val="auto"/>
                      <w:lang w:eastAsia="zh-CN"/>
                    </w:rPr>
                  </w:pPr>
                  <w:r>
                    <w:rPr>
                      <w:rFonts w:hint="eastAsia"/>
                      <w:color w:val="auto"/>
                      <w:lang w:eastAsia="zh-CN"/>
                    </w:rPr>
                    <w:t>符合</w:t>
                  </w:r>
                </w:p>
              </w:tc>
            </w:tr>
          </w:tbl>
          <w:p>
            <w:pPr>
              <w:pStyle w:val="5"/>
              <w:numPr>
                <w:ilvl w:val="0"/>
                <w:numId w:val="0"/>
              </w:numPr>
              <w:bidi w:val="0"/>
              <w:jc w:val="both"/>
              <w:rPr>
                <w:rFonts w:hint="eastAsia"/>
                <w:color w:val="auto"/>
                <w:lang w:val="en-US" w:eastAsia="zh-CN"/>
              </w:rPr>
            </w:pPr>
            <w:r>
              <w:rPr>
                <w:rFonts w:hint="eastAsia"/>
                <w:color w:val="auto"/>
                <w:lang w:val="en-US" w:eastAsia="zh-CN"/>
              </w:rPr>
              <w:t>5、与《非金属矿行业绿色矿山建设规范》（DZ/T 0312-2018）的符合性分析</w:t>
            </w:r>
          </w:p>
          <w:p>
            <w:pPr>
              <w:pStyle w:val="7"/>
              <w:bidi w:val="0"/>
              <w:jc w:val="both"/>
              <w:rPr>
                <w:rFonts w:hint="eastAsia"/>
                <w:color w:val="auto"/>
                <w:lang w:val="en-US" w:eastAsia="zh-CN"/>
              </w:rPr>
            </w:pPr>
            <w:r>
              <w:rPr>
                <w:rFonts w:hint="eastAsia"/>
                <w:color w:val="auto"/>
                <w:lang w:val="en-US" w:eastAsia="zh-CN"/>
              </w:rPr>
              <w:t>表1-5与《非金属矿行业绿色矿山建设规范》（DZ/T 0312-2018）的符合性分析</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530"/>
              <w:gridCol w:w="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58" w:type="dxa"/>
                  <w:tcBorders>
                    <w:tl2br w:val="nil"/>
                    <w:tr2bl w:val="nil"/>
                  </w:tcBorders>
                  <w:vAlign w:val="center"/>
                </w:tcPr>
                <w:p>
                  <w:pPr>
                    <w:pStyle w:val="2"/>
                    <w:jc w:val="center"/>
                    <w:rPr>
                      <w:rFonts w:hint="eastAsia"/>
                      <w:color w:val="auto"/>
                      <w:lang w:val="en-US" w:eastAsia="zh-CN"/>
                    </w:rPr>
                  </w:pPr>
                  <w:r>
                    <w:rPr>
                      <w:rFonts w:hint="eastAsia"/>
                      <w:color w:val="auto"/>
                    </w:rPr>
                    <w:t>建设</w:t>
                  </w:r>
                  <w:r>
                    <w:rPr>
                      <w:rFonts w:hint="eastAsia"/>
                      <w:color w:val="auto"/>
                      <w:lang w:eastAsia="zh-CN"/>
                    </w:rPr>
                    <w:t>要求</w:t>
                  </w:r>
                </w:p>
              </w:tc>
              <w:tc>
                <w:tcPr>
                  <w:tcW w:w="3530" w:type="dxa"/>
                  <w:tcBorders>
                    <w:tl2br w:val="nil"/>
                    <w:tr2bl w:val="nil"/>
                  </w:tcBorders>
                  <w:vAlign w:val="center"/>
                </w:tcPr>
                <w:p>
                  <w:pPr>
                    <w:pStyle w:val="2"/>
                    <w:jc w:val="center"/>
                    <w:rPr>
                      <w:rFonts w:hint="default"/>
                      <w:color w:val="auto"/>
                      <w:lang w:val="en-US" w:eastAsia="zh-CN"/>
                    </w:rPr>
                  </w:pPr>
                  <w:r>
                    <w:rPr>
                      <w:rFonts w:hint="eastAsia"/>
                      <w:color w:val="auto"/>
                    </w:rPr>
                    <w:t>本工程具体情况</w:t>
                  </w:r>
                </w:p>
              </w:tc>
              <w:tc>
                <w:tcPr>
                  <w:tcW w:w="710" w:type="dxa"/>
                  <w:tcBorders>
                    <w:tl2br w:val="nil"/>
                    <w:tr2bl w:val="nil"/>
                  </w:tcBorders>
                  <w:vAlign w:val="center"/>
                </w:tcPr>
                <w:p>
                  <w:pPr>
                    <w:pStyle w:val="2"/>
                    <w:jc w:val="both"/>
                    <w:rPr>
                      <w:rFonts w:hint="eastAsia"/>
                      <w:color w:val="auto"/>
                      <w:lang w:val="en-US" w:eastAsia="zh-CN"/>
                    </w:rPr>
                  </w:pPr>
                  <w:r>
                    <w:rPr>
                      <w:rFonts w:hint="eastAsia"/>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58" w:type="dxa"/>
                  <w:tcBorders>
                    <w:tl2br w:val="nil"/>
                    <w:tr2bl w:val="nil"/>
                  </w:tcBorders>
                  <w:vAlign w:val="center"/>
                </w:tcPr>
                <w:p>
                  <w:pPr>
                    <w:pStyle w:val="2"/>
                    <w:jc w:val="both"/>
                    <w:rPr>
                      <w:rFonts w:hint="default"/>
                      <w:color w:val="auto"/>
                      <w:lang w:val="en-US" w:eastAsia="zh-CN"/>
                    </w:rPr>
                  </w:pPr>
                  <w:r>
                    <w:rPr>
                      <w:rFonts w:hint="default"/>
                      <w:color w:val="auto"/>
                      <w:lang w:val="en-US" w:eastAsia="zh-CN"/>
                    </w:rPr>
                    <w:t>认真落实矿山地质环境保护与土地复垦方案的要求</w:t>
                  </w:r>
                  <w:r>
                    <w:rPr>
                      <w:rFonts w:hint="eastAsia"/>
                      <w:color w:val="auto"/>
                      <w:lang w:val="en-US" w:eastAsia="zh-CN"/>
                    </w:rPr>
                    <w:t>：</w:t>
                  </w:r>
                </w:p>
                <w:p>
                  <w:pPr>
                    <w:pStyle w:val="2"/>
                    <w:jc w:val="both"/>
                    <w:rPr>
                      <w:rFonts w:hint="default"/>
                      <w:color w:val="auto"/>
                      <w:lang w:val="en-US" w:eastAsia="zh-CN"/>
                    </w:rPr>
                  </w:pPr>
                  <w:r>
                    <w:rPr>
                      <w:rFonts w:hint="eastAsia"/>
                      <w:color w:val="auto"/>
                      <w:lang w:val="en-US" w:eastAsia="zh-CN"/>
                    </w:rPr>
                    <w:t>a）</w:t>
                  </w:r>
                  <w:r>
                    <w:rPr>
                      <w:rFonts w:hint="default"/>
                      <w:color w:val="auto"/>
                      <w:lang w:val="en-US" w:eastAsia="zh-CN"/>
                    </w:rPr>
                    <w:t>矿山土地复垦质量应符合TD/T 1036的规定。</w:t>
                  </w:r>
                </w:p>
                <w:p>
                  <w:pPr>
                    <w:pStyle w:val="2"/>
                    <w:jc w:val="both"/>
                    <w:rPr>
                      <w:rFonts w:hint="default"/>
                      <w:color w:val="auto"/>
                      <w:lang w:val="en-US" w:eastAsia="zh-CN"/>
                    </w:rPr>
                  </w:pPr>
                  <w:r>
                    <w:rPr>
                      <w:rFonts w:hint="eastAsia"/>
                      <w:color w:val="auto"/>
                      <w:lang w:val="en-US" w:eastAsia="zh-CN"/>
                    </w:rPr>
                    <w:t>b）</w:t>
                  </w:r>
                  <w:r>
                    <w:rPr>
                      <w:rFonts w:hint="default"/>
                      <w:color w:val="auto"/>
                      <w:lang w:val="en-US" w:eastAsia="zh-CN"/>
                    </w:rPr>
                    <w:t>矿山恢复治理后的各类场地应与周边自然环境和景观相协调。矿山土地复垦应因地制宜</w:t>
                  </w:r>
                  <w:r>
                    <w:rPr>
                      <w:rFonts w:hint="eastAsia"/>
                      <w:color w:val="auto"/>
                      <w:lang w:val="en-US" w:eastAsia="zh-CN"/>
                    </w:rPr>
                    <w:t>，</w:t>
                  </w:r>
                  <w:r>
                    <w:rPr>
                      <w:rFonts w:hint="default"/>
                      <w:color w:val="auto"/>
                      <w:lang w:val="en-US" w:eastAsia="zh-CN"/>
                    </w:rPr>
                    <w:t>实现</w:t>
                  </w:r>
                </w:p>
                <w:p>
                  <w:pPr>
                    <w:pStyle w:val="2"/>
                    <w:jc w:val="both"/>
                    <w:rPr>
                      <w:rFonts w:hint="default"/>
                      <w:color w:val="auto"/>
                      <w:lang w:val="en-US" w:eastAsia="zh-CN"/>
                    </w:rPr>
                  </w:pPr>
                  <w:r>
                    <w:rPr>
                      <w:rFonts w:hint="default"/>
                      <w:color w:val="auto"/>
                      <w:lang w:val="en-US" w:eastAsia="zh-CN"/>
                    </w:rPr>
                    <w:t>土地可持续利用</w:t>
                  </w:r>
                  <w:r>
                    <w:rPr>
                      <w:rFonts w:hint="eastAsia"/>
                      <w:color w:val="auto"/>
                      <w:lang w:val="en-US" w:eastAsia="zh-CN"/>
                    </w:rPr>
                    <w:t>，</w:t>
                  </w:r>
                  <w:r>
                    <w:rPr>
                      <w:rFonts w:hint="default"/>
                      <w:color w:val="auto"/>
                      <w:lang w:val="en-US" w:eastAsia="zh-CN"/>
                    </w:rPr>
                    <w:t>区域整体生态功能得到保护和恢复。</w:t>
                  </w:r>
                </w:p>
              </w:tc>
              <w:tc>
                <w:tcPr>
                  <w:tcW w:w="3530" w:type="dxa"/>
                  <w:tcBorders>
                    <w:tl2br w:val="nil"/>
                    <w:tr2bl w:val="nil"/>
                  </w:tcBorders>
                  <w:vAlign w:val="center"/>
                </w:tcPr>
                <w:p>
                  <w:pPr>
                    <w:pStyle w:val="2"/>
                    <w:jc w:val="both"/>
                    <w:rPr>
                      <w:rFonts w:hint="eastAsia"/>
                      <w:color w:val="auto"/>
                      <w:lang w:val="en-US" w:eastAsia="zh-CN"/>
                    </w:rPr>
                  </w:pPr>
                  <w:r>
                    <w:rPr>
                      <w:rFonts w:hint="eastAsia"/>
                      <w:color w:val="auto"/>
                      <w:lang w:eastAsia="zh-CN"/>
                    </w:rPr>
                    <w:t>本项目于</w:t>
                  </w:r>
                  <w:r>
                    <w:rPr>
                      <w:rFonts w:hint="eastAsia"/>
                      <w:color w:val="auto"/>
                      <w:lang w:val="en-US" w:eastAsia="zh-CN"/>
                    </w:rPr>
                    <w:t>2023年2月5日取得了关于对</w:t>
                  </w:r>
                  <w:r>
                    <w:rPr>
                      <w:rFonts w:hint="eastAsia"/>
                      <w:color w:val="auto"/>
                    </w:rPr>
                    <w:t>《</w:t>
                  </w:r>
                  <w:r>
                    <w:rPr>
                      <w:rFonts w:hint="eastAsia"/>
                      <w:color w:val="auto"/>
                      <w:lang w:val="en-US" w:eastAsia="zh-CN"/>
                    </w:rPr>
                    <w:t>焉耆富华石业有限公司新疆富华石业有限公司新疆焉耆县霍拉山14号花岗岩矿矿产资源开发利用与生态保护修复方案</w:t>
                  </w:r>
                  <w:r>
                    <w:rPr>
                      <w:rFonts w:hint="eastAsia"/>
                      <w:color w:val="auto"/>
                    </w:rPr>
                    <w:t>》</w:t>
                  </w:r>
                  <w:r>
                    <w:rPr>
                      <w:rFonts w:hint="eastAsia"/>
                      <w:color w:val="auto"/>
                      <w:lang w:val="en-US" w:eastAsia="zh-CN"/>
                    </w:rPr>
                    <w:t>专家审查意见，严格按照《土地复垦质量控制标准》中西北干旱区土地复垦质量控制标准D.9进行恢复，保证回填复垦后的地貌与周边地形地貌相协调。</w:t>
                  </w:r>
                </w:p>
              </w:tc>
              <w:tc>
                <w:tcPr>
                  <w:tcW w:w="710" w:type="dxa"/>
                  <w:tcBorders>
                    <w:tl2br w:val="nil"/>
                    <w:tr2bl w:val="nil"/>
                  </w:tcBorders>
                  <w:vAlign w:val="center"/>
                </w:tcPr>
                <w:p>
                  <w:pPr>
                    <w:pStyle w:val="2"/>
                    <w:jc w:val="both"/>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58" w:type="dxa"/>
                  <w:tcBorders>
                    <w:tl2br w:val="nil"/>
                    <w:tr2bl w:val="nil"/>
                  </w:tcBorders>
                  <w:vAlign w:val="center"/>
                </w:tcPr>
                <w:p>
                  <w:pPr>
                    <w:pStyle w:val="2"/>
                    <w:jc w:val="both"/>
                    <w:rPr>
                      <w:rFonts w:hint="default"/>
                      <w:color w:val="auto"/>
                      <w:lang w:val="en-US" w:eastAsia="zh-CN"/>
                    </w:rPr>
                  </w:pPr>
                  <w:r>
                    <w:rPr>
                      <w:rFonts w:hint="default"/>
                      <w:color w:val="auto"/>
                      <w:lang w:val="en-US" w:eastAsia="zh-CN"/>
                    </w:rPr>
                    <w:t>固体废弃物利用</w:t>
                  </w:r>
                  <w:r>
                    <w:rPr>
                      <w:rFonts w:hint="eastAsia"/>
                      <w:color w:val="auto"/>
                      <w:lang w:val="en-US" w:eastAsia="zh-CN"/>
                    </w:rPr>
                    <w:t>：</w:t>
                  </w:r>
                  <w:r>
                    <w:rPr>
                      <w:rFonts w:hint="default"/>
                      <w:color w:val="auto"/>
                      <w:lang w:val="en-US" w:eastAsia="zh-CN"/>
                    </w:rPr>
                    <w:t>宜对废石等固体废弃物开展回填、筑路、制作建筑材料等资源综合利用工作</w:t>
                  </w:r>
                  <w:r>
                    <w:rPr>
                      <w:rFonts w:hint="eastAsia"/>
                      <w:color w:val="auto"/>
                      <w:lang w:val="en-US" w:eastAsia="zh-CN"/>
                    </w:rPr>
                    <w:t>。</w:t>
                  </w:r>
                </w:p>
              </w:tc>
              <w:tc>
                <w:tcPr>
                  <w:tcW w:w="3530" w:type="dxa"/>
                  <w:tcBorders>
                    <w:tl2br w:val="nil"/>
                    <w:tr2bl w:val="nil"/>
                  </w:tcBorders>
                  <w:vAlign w:val="center"/>
                </w:tcPr>
                <w:p>
                  <w:pPr>
                    <w:pStyle w:val="2"/>
                    <w:jc w:val="both"/>
                    <w:rPr>
                      <w:rFonts w:hint="default"/>
                      <w:color w:val="auto"/>
                      <w:lang w:val="en-US" w:eastAsia="zh-CN"/>
                    </w:rPr>
                  </w:pPr>
                  <w:r>
                    <w:rPr>
                      <w:rFonts w:hint="eastAsia"/>
                      <w:color w:val="auto"/>
                    </w:rPr>
                    <w:t>生产过程中产生的</w:t>
                  </w:r>
                  <w:r>
                    <w:rPr>
                      <w:rFonts w:hint="eastAsia"/>
                      <w:color w:val="auto"/>
                      <w:lang w:eastAsia="zh-CN"/>
                    </w:rPr>
                    <w:t>废石</w:t>
                  </w:r>
                  <w:r>
                    <w:rPr>
                      <w:rFonts w:hint="eastAsia"/>
                      <w:color w:val="auto"/>
                    </w:rPr>
                    <w:t>，定期清运</w:t>
                  </w:r>
                  <w:r>
                    <w:rPr>
                      <w:rFonts w:hint="eastAsia"/>
                      <w:color w:val="auto"/>
                      <w:lang w:eastAsia="zh-CN"/>
                    </w:rPr>
                    <w:t>至</w:t>
                  </w:r>
                  <w:r>
                    <w:rPr>
                      <w:rFonts w:hint="eastAsia"/>
                      <w:color w:val="auto"/>
                    </w:rPr>
                    <w:t>废石场堆存</w:t>
                  </w:r>
                  <w:r>
                    <w:rPr>
                      <w:rFonts w:hint="eastAsia"/>
                      <w:color w:val="auto"/>
                      <w:lang w:eastAsia="zh-CN"/>
                    </w:rPr>
                    <w:t>暂存；后期复垦用于采坑回填。</w:t>
                  </w:r>
                </w:p>
              </w:tc>
              <w:tc>
                <w:tcPr>
                  <w:tcW w:w="710" w:type="dxa"/>
                  <w:tcBorders>
                    <w:tl2br w:val="nil"/>
                    <w:tr2bl w:val="nil"/>
                  </w:tcBorders>
                  <w:vAlign w:val="center"/>
                </w:tcPr>
                <w:p>
                  <w:pPr>
                    <w:pStyle w:val="2"/>
                    <w:jc w:val="both"/>
                    <w:rPr>
                      <w:rFonts w:hint="default"/>
                      <w:color w:val="auto"/>
                      <w:lang w:val="en-US" w:eastAsia="zh-CN"/>
                    </w:rPr>
                  </w:pPr>
                  <w:r>
                    <w:rPr>
                      <w:rFonts w:hint="eastAsia"/>
                      <w:color w:val="auto"/>
                      <w:lang w:val="en-US" w:eastAsia="zh-CN"/>
                    </w:rPr>
                    <w:t>符合</w:t>
                  </w:r>
                </w:p>
              </w:tc>
            </w:tr>
          </w:tbl>
          <w:p>
            <w:pPr>
              <w:ind w:left="0" w:leftChars="0" w:firstLine="0" w:firstLineChars="0"/>
              <w:rPr>
                <w:rFonts w:hint="default"/>
                <w:color w:val="auto"/>
                <w:lang w:val="en-US" w:eastAsia="zh-CN"/>
              </w:rPr>
            </w:pPr>
          </w:p>
          <w:p>
            <w:pPr>
              <w:pStyle w:val="38"/>
              <w:rPr>
                <w:rFonts w:hint="default"/>
                <w:color w:val="auto"/>
                <w:lang w:val="en-US" w:eastAsia="zh-CN"/>
              </w:rPr>
            </w:pPr>
          </w:p>
          <w:p>
            <w:pPr>
              <w:rPr>
                <w:rFonts w:hint="default"/>
                <w:color w:val="auto"/>
                <w:lang w:val="en-US" w:eastAsia="zh-CN"/>
              </w:rPr>
            </w:pPr>
          </w:p>
          <w:p>
            <w:pPr>
              <w:pStyle w:val="38"/>
              <w:rPr>
                <w:rFonts w:hint="default"/>
                <w:color w:val="auto"/>
                <w:lang w:val="en-US" w:eastAsia="zh-CN"/>
              </w:rPr>
            </w:pPr>
          </w:p>
          <w:p>
            <w:pPr>
              <w:pStyle w:val="38"/>
              <w:jc w:val="both"/>
              <w:rPr>
                <w:rFonts w:hint="default"/>
                <w:color w:val="auto"/>
                <w:lang w:val="en-US" w:eastAsia="zh-CN"/>
              </w:rPr>
            </w:pPr>
          </w:p>
          <w:p>
            <w:pPr>
              <w:pStyle w:val="38"/>
              <w:jc w:val="both"/>
              <w:rPr>
                <w:rFonts w:hint="default"/>
                <w:color w:val="auto"/>
                <w:lang w:val="en-US" w:eastAsia="zh-CN"/>
              </w:rPr>
            </w:pPr>
          </w:p>
        </w:tc>
      </w:tr>
    </w:tbl>
    <w:p>
      <w:pPr>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二、建设内容</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ind w:firstLine="0" w:firstLineChars="0"/>
              <w:rPr>
                <w:rFonts w:ascii="宋体" w:hAnsi="宋体" w:cs="宋体"/>
                <w:color w:val="auto"/>
                <w:kern w:val="0"/>
              </w:rPr>
            </w:pPr>
            <w:r>
              <w:rPr>
                <w:rFonts w:hint="eastAsia" w:ascii="宋体" w:hAnsi="宋体" w:cs="宋体"/>
                <w:color w:val="auto"/>
                <w:kern w:val="0"/>
              </w:rPr>
              <w:t>地理位置</w:t>
            </w:r>
          </w:p>
        </w:tc>
        <w:tc>
          <w:tcPr>
            <w:tcW w:w="8099" w:type="dxa"/>
            <w:vAlign w:val="center"/>
          </w:tcPr>
          <w:p>
            <w:pPr>
              <w:bidi w:val="0"/>
              <w:rPr>
                <w:rFonts w:hint="eastAsia"/>
                <w:color w:val="auto"/>
                <w:lang w:val="en-US" w:eastAsia="zh-CN"/>
              </w:rPr>
            </w:pPr>
            <w:r>
              <w:rPr>
                <w:rFonts w:hint="eastAsia"/>
                <w:color w:val="auto"/>
                <w:lang w:val="en-US" w:eastAsia="zh-CN"/>
              </w:rPr>
              <w:t>本项目</w:t>
            </w:r>
            <w:r>
              <w:rPr>
                <w:color w:val="auto"/>
              </w:rPr>
              <w:t>位于</w:t>
            </w:r>
            <w:r>
              <w:rPr>
                <w:rFonts w:hint="eastAsia"/>
                <w:color w:val="auto"/>
                <w:lang w:eastAsia="zh-CN"/>
              </w:rPr>
              <w:t>焉耆县城西275°方向，直线距离约66千米处的霍拉山中</w:t>
            </w:r>
            <w:r>
              <w:rPr>
                <w:color w:val="auto"/>
              </w:rPr>
              <w:t>，行政区划隶属巴音郭楞蒙古自治州焉耆县</w:t>
            </w:r>
            <w:r>
              <w:rPr>
                <w:rFonts w:hint="eastAsia"/>
                <w:color w:val="auto"/>
                <w:lang w:val="en-US" w:eastAsia="zh-CN"/>
              </w:rPr>
              <w:t>七个星镇</w:t>
            </w:r>
            <w:r>
              <w:rPr>
                <w:color w:val="auto"/>
              </w:rPr>
              <w:t>管辖，中心地理坐标（CGCS2000坐标系）：东经</w:t>
            </w:r>
            <w:r>
              <w:rPr>
                <w:rFonts w:hint="eastAsia"/>
                <w:color w:val="auto"/>
              </w:rPr>
              <w:t>85°48′24.425″，北纬42°4′47.072″</w:t>
            </w:r>
            <w:r>
              <w:rPr>
                <w:color w:val="auto"/>
              </w:rPr>
              <w:t>。由焉耆县城至七个星镇霍拉山村43公里为柏油路，再从霍拉山村至矿区23公里为简易山路，全程约66千米，交通较为便利</w:t>
            </w:r>
            <w:r>
              <w:rPr>
                <w:rFonts w:hint="eastAsia"/>
                <w:color w:val="auto"/>
                <w:lang w:eastAsia="zh-CN"/>
              </w:rPr>
              <w:t>。</w:t>
            </w:r>
          </w:p>
          <w:p>
            <w:pPr>
              <w:bidi w:val="0"/>
              <w:ind w:left="0" w:leftChars="0" w:firstLine="0" w:firstLineChars="0"/>
              <w:jc w:val="center"/>
              <w:rPr>
                <w:color w:val="auto"/>
              </w:rPr>
            </w:pPr>
            <w:r>
              <w:rPr>
                <w:color w:val="auto"/>
                <w:position w:val="-144"/>
              </w:rPr>
              <w:drawing>
                <wp:inline distT="0" distB="0" distL="0" distR="0">
                  <wp:extent cx="4882515" cy="4201160"/>
                  <wp:effectExtent l="0" t="0" r="13335" b="8890"/>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8"/>
                          <a:stretch>
                            <a:fillRect/>
                          </a:stretch>
                        </pic:blipFill>
                        <pic:spPr>
                          <a:xfrm>
                            <a:off x="0" y="0"/>
                            <a:ext cx="4882515" cy="4201160"/>
                          </a:xfrm>
                          <a:prstGeom prst="rect">
                            <a:avLst/>
                          </a:prstGeom>
                        </pic:spPr>
                      </pic:pic>
                    </a:graphicData>
                  </a:graphic>
                </wp:inline>
              </w:drawing>
            </w:r>
          </w:p>
          <w:p>
            <w:pPr>
              <w:bidi w:val="0"/>
              <w:ind w:left="0" w:leftChars="0" w:firstLine="0" w:firstLineChars="0"/>
              <w:jc w:val="center"/>
              <w:rPr>
                <w:b/>
                <w:bCs/>
                <w:color w:val="auto"/>
                <w:sz w:val="21"/>
                <w:szCs w:val="21"/>
              </w:rPr>
            </w:pPr>
            <w:r>
              <w:rPr>
                <w:b/>
                <w:bCs/>
                <w:color w:val="auto"/>
                <w:sz w:val="21"/>
                <w:szCs w:val="21"/>
              </w:rPr>
              <w:t>图</w:t>
            </w:r>
            <w:r>
              <w:rPr>
                <w:rFonts w:hint="eastAsia"/>
                <w:b/>
                <w:bCs/>
                <w:color w:val="auto"/>
                <w:sz w:val="21"/>
                <w:szCs w:val="21"/>
                <w:lang w:val="en-US" w:eastAsia="zh-CN"/>
              </w:rPr>
              <w:t>2-1</w:t>
            </w:r>
            <w:r>
              <w:rPr>
                <w:b/>
                <w:bCs/>
                <w:color w:val="auto"/>
                <w:sz w:val="21"/>
                <w:szCs w:val="21"/>
              </w:rPr>
              <w:t xml:space="preserve">   矿区交通位置图</w:t>
            </w:r>
          </w:p>
          <w:p>
            <w:pPr>
              <w:bidi w:val="0"/>
              <w:rPr>
                <w:color w:val="auto"/>
              </w:rPr>
            </w:pPr>
            <w:r>
              <w:rPr>
                <w:rFonts w:hint="eastAsia"/>
                <w:color w:val="auto"/>
                <w:lang w:eastAsia="zh-CN"/>
              </w:rPr>
              <w:t>本项目于</w:t>
            </w:r>
            <w:r>
              <w:rPr>
                <w:rFonts w:hint="eastAsia"/>
                <w:color w:val="auto"/>
                <w:lang w:val="en-US" w:eastAsia="zh-CN"/>
              </w:rPr>
              <w:t>2023年10月8日取得了关于对《新疆富华石业有限公司新疆焉耆县霍拉山14号花岗岩矿矿产资源开发利用与生态保护修复方案》专家审查意见，</w:t>
            </w:r>
            <w:r>
              <w:rPr>
                <w:rFonts w:hint="eastAsia"/>
                <w:color w:val="auto"/>
              </w:rPr>
              <w:t>矿区面积</w:t>
            </w:r>
            <w:r>
              <w:rPr>
                <w:rFonts w:hint="eastAsia"/>
                <w:color w:val="auto"/>
                <w:lang w:val="en-US" w:eastAsia="zh-CN"/>
              </w:rPr>
              <w:t>1.3841km</w:t>
            </w:r>
            <w:r>
              <w:rPr>
                <w:rFonts w:hint="eastAsia"/>
                <w:color w:val="auto"/>
                <w:vertAlign w:val="superscript"/>
                <w:lang w:val="en-US" w:eastAsia="zh-CN"/>
              </w:rPr>
              <w:t>2</w:t>
            </w:r>
            <w:r>
              <w:rPr>
                <w:rFonts w:hint="eastAsia"/>
                <w:color w:val="auto"/>
              </w:rPr>
              <w:t>，由</w:t>
            </w:r>
            <w:r>
              <w:rPr>
                <w:rFonts w:hint="eastAsia"/>
                <w:color w:val="auto"/>
                <w:lang w:val="en-US" w:eastAsia="zh-CN"/>
              </w:rPr>
              <w:t>6</w:t>
            </w:r>
            <w:r>
              <w:rPr>
                <w:rFonts w:hint="eastAsia"/>
                <w:color w:val="auto"/>
              </w:rPr>
              <w:t>个拐点圈定，拐点坐标详表</w:t>
            </w:r>
            <w:r>
              <w:rPr>
                <w:rFonts w:hint="eastAsia"/>
                <w:color w:val="auto"/>
                <w:lang w:val="en-US" w:eastAsia="zh-CN"/>
              </w:rPr>
              <w:t>2-1</w:t>
            </w:r>
            <w:r>
              <w:rPr>
                <w:rFonts w:hint="eastAsia"/>
                <w:color w:val="auto"/>
              </w:rPr>
              <w:t>。</w:t>
            </w:r>
            <w:r>
              <w:rPr>
                <w:rFonts w:hint="eastAsia"/>
                <w:color w:val="auto"/>
                <w:lang w:val="en-US" w:eastAsia="zh-CN"/>
              </w:rPr>
              <w:t>矿区东侧为新疆富华石业有限公司新疆焉耆县许古尔鲁克北饰面石材花岗岩矿，南侧、西侧、北侧均为空地。</w:t>
            </w:r>
            <w:r>
              <w:rPr>
                <w:rFonts w:hint="eastAsia"/>
                <w:color w:val="auto"/>
              </w:rPr>
              <w:t>该矿为新建矿山，矿区</w:t>
            </w:r>
            <w:r>
              <w:rPr>
                <w:rFonts w:hint="eastAsia"/>
                <w:color w:val="auto"/>
                <w:lang w:val="en-US" w:eastAsia="zh-CN"/>
              </w:rPr>
              <w:t>拟</w:t>
            </w:r>
            <w:r>
              <w:rPr>
                <w:rFonts w:hint="eastAsia"/>
                <w:color w:val="auto"/>
              </w:rPr>
              <w:t>开采标高为：</w:t>
            </w:r>
            <w:r>
              <w:rPr>
                <w:color w:val="auto"/>
              </w:rPr>
              <w:t>2321～2409</w:t>
            </w:r>
            <w:r>
              <w:rPr>
                <w:rFonts w:hint="eastAsia"/>
                <w:color w:val="auto"/>
                <w:lang w:val="en-US" w:eastAsia="zh-CN"/>
              </w:rPr>
              <w:t>m</w:t>
            </w:r>
            <w:r>
              <w:rPr>
                <w:rFonts w:hint="eastAsia"/>
                <w:color w:val="auto"/>
              </w:rPr>
              <w:t>，开采矿种为饰面石材花岗岩，生产规模为</w:t>
            </w:r>
            <w:r>
              <w:rPr>
                <w:rFonts w:hint="eastAsia"/>
                <w:color w:val="auto"/>
                <w:lang w:val="en-US" w:eastAsia="zh-CN"/>
              </w:rPr>
              <w:t>1.5</w:t>
            </w:r>
            <w:r>
              <w:rPr>
                <w:rFonts w:hint="eastAsia"/>
                <w:color w:val="auto"/>
              </w:rPr>
              <w:t>万</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r>
              <w:rPr>
                <w:rFonts w:hint="eastAsia"/>
                <w:color w:val="auto"/>
              </w:rPr>
              <w:t>，矿山服务年限</w:t>
            </w:r>
            <w:r>
              <w:rPr>
                <w:rFonts w:hint="eastAsia"/>
                <w:color w:val="auto"/>
                <w:lang w:val="en-US" w:eastAsia="zh-CN"/>
              </w:rPr>
              <w:t>16.78</w:t>
            </w:r>
            <w:r>
              <w:rPr>
                <w:rFonts w:hint="eastAsia"/>
                <w:color w:val="auto"/>
              </w:rPr>
              <w:t>年</w:t>
            </w:r>
            <w:r>
              <w:rPr>
                <w:rFonts w:hint="eastAsia"/>
                <w:color w:val="auto"/>
                <w:lang w:eastAsia="zh-CN"/>
              </w:rPr>
              <w:t>，</w:t>
            </w:r>
            <w:r>
              <w:rPr>
                <w:rFonts w:hint="eastAsia"/>
                <w:color w:val="auto"/>
              </w:rPr>
              <w:t>占用土地</w:t>
            </w:r>
            <w:r>
              <w:rPr>
                <w:rFonts w:hint="eastAsia"/>
                <w:color w:val="auto"/>
                <w:lang w:eastAsia="zh-CN"/>
              </w:rPr>
              <w:t>利用</w:t>
            </w:r>
            <w:r>
              <w:rPr>
                <w:rFonts w:hint="eastAsia"/>
                <w:color w:val="auto"/>
              </w:rPr>
              <w:t>类型为</w:t>
            </w:r>
            <w:r>
              <w:rPr>
                <w:rFonts w:hint="eastAsia"/>
                <w:color w:val="auto"/>
                <w:lang w:eastAsia="zh-CN"/>
              </w:rPr>
              <w:t>草地</w:t>
            </w:r>
            <w:r>
              <w:rPr>
                <w:color w:val="auto"/>
              </w:rPr>
              <w:t>。</w:t>
            </w:r>
          </w:p>
          <w:p>
            <w:pPr>
              <w:spacing w:line="240" w:lineRule="auto"/>
              <w:ind w:firstLine="422"/>
              <w:rPr>
                <w:b/>
                <w:color w:val="auto"/>
              </w:rPr>
            </w:pPr>
            <w:r>
              <w:rPr>
                <w:b/>
                <w:color w:val="auto"/>
                <w:sz w:val="21"/>
                <w:szCs w:val="20"/>
              </w:rPr>
              <w:t>表</w:t>
            </w:r>
            <w:r>
              <w:rPr>
                <w:rFonts w:hint="eastAsia"/>
                <w:b/>
                <w:color w:val="auto"/>
                <w:sz w:val="21"/>
                <w:szCs w:val="20"/>
                <w:lang w:val="en-US" w:eastAsia="zh-CN"/>
              </w:rPr>
              <w:t>2-1</w:t>
            </w:r>
            <w:r>
              <w:rPr>
                <w:b/>
                <w:color w:val="auto"/>
                <w:sz w:val="21"/>
                <w:szCs w:val="20"/>
              </w:rPr>
              <w:t xml:space="preserve">        </w:t>
            </w:r>
            <w:r>
              <w:rPr>
                <w:b/>
                <w:color w:val="auto"/>
                <w:sz w:val="21"/>
                <w:szCs w:val="20"/>
                <w:lang w:val="zh-CN"/>
              </w:rPr>
              <w:t xml:space="preserve"> 采矿权范围拐点坐标一览表</w:t>
            </w:r>
            <w:r>
              <w:rPr>
                <w:rFonts w:hint="eastAsia"/>
                <w:b/>
                <w:color w:val="auto"/>
                <w:sz w:val="21"/>
                <w:szCs w:val="20"/>
                <w:lang w:val="zh-CN"/>
              </w:rPr>
              <w:t>（2000国家坐标系）</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44"/>
              <w:gridCol w:w="1567"/>
              <w:gridCol w:w="1999"/>
              <w:gridCol w:w="1819"/>
              <w:gridCol w:w="20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vMerge w:val="restart"/>
                  <w:tcBorders>
                    <w:tl2br w:val="nil"/>
                    <w:tr2bl w:val="nil"/>
                  </w:tcBorders>
                  <w:noWrap/>
                  <w:tcMar>
                    <w:top w:w="12" w:type="dxa"/>
                    <w:left w:w="12" w:type="dxa"/>
                    <w:right w:w="12" w:type="dxa"/>
                  </w:tcMar>
                  <w:vAlign w:val="center"/>
                </w:tcPr>
                <w:p>
                  <w:pPr>
                    <w:pStyle w:val="2"/>
                    <w:rPr>
                      <w:color w:val="auto"/>
                    </w:rPr>
                  </w:pPr>
                  <w:r>
                    <w:rPr>
                      <w:color w:val="auto"/>
                    </w:rPr>
                    <w:t>拐点</w:t>
                  </w:r>
                </w:p>
              </w:tc>
              <w:tc>
                <w:tcPr>
                  <w:tcW w:w="2209" w:type="pct"/>
                  <w:gridSpan w:val="2"/>
                  <w:tcBorders>
                    <w:tl2br w:val="nil"/>
                    <w:tr2bl w:val="nil"/>
                  </w:tcBorders>
                  <w:noWrap/>
                  <w:tcMar>
                    <w:top w:w="12" w:type="dxa"/>
                    <w:left w:w="12" w:type="dxa"/>
                    <w:right w:w="12" w:type="dxa"/>
                  </w:tcMar>
                  <w:vAlign w:val="center"/>
                </w:tcPr>
                <w:p>
                  <w:pPr>
                    <w:pStyle w:val="2"/>
                    <w:rPr>
                      <w:color w:val="auto"/>
                    </w:rPr>
                  </w:pPr>
                  <w:r>
                    <w:rPr>
                      <w:rFonts w:hint="eastAsia"/>
                      <w:color w:val="auto"/>
                    </w:rPr>
                    <w:t>CGCS2000坐标系（3度带，代号29）</w:t>
                  </w:r>
                </w:p>
              </w:tc>
              <w:tc>
                <w:tcPr>
                  <w:tcW w:w="2543" w:type="pct"/>
                  <w:gridSpan w:val="2"/>
                  <w:tcBorders>
                    <w:tl2br w:val="nil"/>
                    <w:tr2bl w:val="nil"/>
                  </w:tcBorders>
                  <w:noWrap/>
                  <w:tcMar>
                    <w:top w:w="12" w:type="dxa"/>
                    <w:left w:w="12" w:type="dxa"/>
                    <w:right w:w="12" w:type="dxa"/>
                  </w:tcMar>
                  <w:vAlign w:val="center"/>
                </w:tcPr>
                <w:p>
                  <w:pPr>
                    <w:pStyle w:val="2"/>
                    <w:rPr>
                      <w:color w:val="auto"/>
                    </w:rPr>
                  </w:pPr>
                  <w:r>
                    <w:rPr>
                      <w:rFonts w:hint="eastAsia"/>
                      <w:color w:val="auto"/>
                    </w:rPr>
                    <w:t>CGCS2000坐标系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vMerge w:val="continue"/>
                  <w:tcBorders>
                    <w:tl2br w:val="nil"/>
                    <w:tr2bl w:val="nil"/>
                  </w:tcBorders>
                  <w:noWrap/>
                  <w:tcMar>
                    <w:top w:w="12" w:type="dxa"/>
                    <w:left w:w="12" w:type="dxa"/>
                    <w:right w:w="12" w:type="dxa"/>
                  </w:tcMar>
                  <w:vAlign w:val="center"/>
                </w:tcPr>
                <w:p>
                  <w:pPr>
                    <w:pStyle w:val="2"/>
                    <w:rPr>
                      <w:color w:val="auto"/>
                    </w:rPr>
                  </w:pPr>
                </w:p>
              </w:tc>
              <w:tc>
                <w:tcPr>
                  <w:tcW w:w="971" w:type="pct"/>
                  <w:tcBorders>
                    <w:tl2br w:val="nil"/>
                    <w:tr2bl w:val="nil"/>
                  </w:tcBorders>
                  <w:noWrap/>
                  <w:tcMar>
                    <w:top w:w="12" w:type="dxa"/>
                    <w:left w:w="12" w:type="dxa"/>
                    <w:right w:w="12" w:type="dxa"/>
                  </w:tcMar>
                  <w:vAlign w:val="center"/>
                </w:tcPr>
                <w:p>
                  <w:pPr>
                    <w:pStyle w:val="2"/>
                    <w:rPr>
                      <w:color w:val="auto"/>
                    </w:rPr>
                  </w:pPr>
                  <w:r>
                    <w:rPr>
                      <w:color w:val="auto"/>
                    </w:rPr>
                    <w:t>X</w:t>
                  </w:r>
                </w:p>
              </w:tc>
              <w:tc>
                <w:tcPr>
                  <w:tcW w:w="1238" w:type="pct"/>
                  <w:tcBorders>
                    <w:tl2br w:val="nil"/>
                    <w:tr2bl w:val="nil"/>
                  </w:tcBorders>
                  <w:noWrap/>
                  <w:tcMar>
                    <w:top w:w="12" w:type="dxa"/>
                    <w:left w:w="12" w:type="dxa"/>
                    <w:right w:w="12" w:type="dxa"/>
                  </w:tcMar>
                  <w:vAlign w:val="center"/>
                </w:tcPr>
                <w:p>
                  <w:pPr>
                    <w:pStyle w:val="2"/>
                    <w:rPr>
                      <w:color w:val="auto"/>
                    </w:rPr>
                  </w:pPr>
                  <w:r>
                    <w:rPr>
                      <w:color w:val="auto"/>
                    </w:rPr>
                    <w:t>Y</w:t>
                  </w:r>
                </w:p>
              </w:tc>
              <w:tc>
                <w:tcPr>
                  <w:tcW w:w="1207" w:type="pct"/>
                  <w:tcBorders>
                    <w:tl2br w:val="nil"/>
                    <w:tr2bl w:val="nil"/>
                  </w:tcBorders>
                  <w:noWrap/>
                  <w:tcMar>
                    <w:top w:w="12" w:type="dxa"/>
                    <w:left w:w="12" w:type="dxa"/>
                    <w:right w:w="12" w:type="dxa"/>
                  </w:tcMar>
                  <w:vAlign w:val="center"/>
                </w:tcPr>
                <w:p>
                  <w:pPr>
                    <w:pStyle w:val="2"/>
                    <w:rPr>
                      <w:color w:val="auto"/>
                    </w:rPr>
                  </w:pPr>
                  <w:r>
                    <w:rPr>
                      <w:color w:val="auto"/>
                    </w:rPr>
                    <w:t>纬度</w:t>
                  </w:r>
                </w:p>
              </w:tc>
              <w:tc>
                <w:tcPr>
                  <w:tcW w:w="1336" w:type="pct"/>
                  <w:tcBorders>
                    <w:tl2br w:val="nil"/>
                    <w:tr2bl w:val="nil"/>
                  </w:tcBorders>
                  <w:noWrap/>
                  <w:tcMar>
                    <w:top w:w="12" w:type="dxa"/>
                    <w:left w:w="12" w:type="dxa"/>
                    <w:right w:w="12" w:type="dxa"/>
                  </w:tcMar>
                  <w:vAlign w:val="center"/>
                </w:tcPr>
                <w:p>
                  <w:pPr>
                    <w:pStyle w:val="2"/>
                    <w:rPr>
                      <w:color w:val="auto"/>
                    </w:rPr>
                  </w:pPr>
                  <w:r>
                    <w:rPr>
                      <w:color w:val="auto"/>
                    </w:rPr>
                    <w:t>经度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tcBorders>
                    <w:tl2br w:val="nil"/>
                    <w:tr2bl w:val="nil"/>
                  </w:tcBorders>
                  <w:noWrap/>
                  <w:tcMar>
                    <w:top w:w="12" w:type="dxa"/>
                    <w:left w:w="12" w:type="dxa"/>
                    <w:right w:w="12" w:type="dxa"/>
                  </w:tcMar>
                  <w:vAlign w:val="center"/>
                </w:tcPr>
                <w:p>
                  <w:pPr>
                    <w:pStyle w:val="2"/>
                    <w:rPr>
                      <w:rFonts w:hint="default"/>
                      <w:color w:val="auto"/>
                      <w:lang w:val="en-US" w:eastAsia="zh-CN"/>
                    </w:rPr>
                  </w:pPr>
                  <w:r>
                    <w:rPr>
                      <w:color w:val="auto"/>
                    </w:rPr>
                    <w:t>1</w:t>
                  </w:r>
                </w:p>
              </w:tc>
              <w:tc>
                <w:tcPr>
                  <w:tcW w:w="971"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4661774.228</w:t>
                  </w:r>
                </w:p>
              </w:tc>
              <w:tc>
                <w:tcPr>
                  <w:tcW w:w="1238"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29400696.150</w:t>
                  </w:r>
                </w:p>
              </w:tc>
              <w:tc>
                <w:tcPr>
                  <w:tcW w:w="1207"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42°05′05.965″</w:t>
                  </w:r>
                </w:p>
              </w:tc>
              <w:tc>
                <w:tcPr>
                  <w:tcW w:w="1336"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85°47′59.365″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tcBorders>
                    <w:tl2br w:val="nil"/>
                    <w:tr2bl w:val="nil"/>
                  </w:tcBorders>
                  <w:shd w:val="clear" w:color="auto" w:fill="FFFFFF"/>
                  <w:noWrap/>
                  <w:tcMar>
                    <w:top w:w="12" w:type="dxa"/>
                    <w:left w:w="12" w:type="dxa"/>
                    <w:right w:w="12" w:type="dxa"/>
                  </w:tcMar>
                  <w:vAlign w:val="center"/>
                </w:tcPr>
                <w:p>
                  <w:pPr>
                    <w:pStyle w:val="2"/>
                    <w:rPr>
                      <w:rFonts w:hint="eastAsia"/>
                      <w:color w:val="auto"/>
                      <w:lang w:val="en-US" w:eastAsia="zh-CN"/>
                    </w:rPr>
                  </w:pPr>
                  <w:r>
                    <w:rPr>
                      <w:color w:val="auto"/>
                    </w:rPr>
                    <w:t>2</w:t>
                  </w:r>
                </w:p>
              </w:tc>
              <w:tc>
                <w:tcPr>
                  <w:tcW w:w="971"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4661564.187</w:t>
                  </w:r>
                </w:p>
              </w:tc>
              <w:tc>
                <w:tcPr>
                  <w:tcW w:w="1238"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29402058.206</w:t>
                  </w:r>
                </w:p>
              </w:tc>
              <w:tc>
                <w:tcPr>
                  <w:tcW w:w="1207"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42°04′59.774″</w:t>
                  </w:r>
                </w:p>
              </w:tc>
              <w:tc>
                <w:tcPr>
                  <w:tcW w:w="1336"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85°48′58.741″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tcBorders>
                    <w:tl2br w:val="nil"/>
                    <w:tr2bl w:val="nil"/>
                  </w:tcBorders>
                  <w:shd w:val="clear" w:color="auto" w:fill="FFFFFF"/>
                  <w:noWrap/>
                  <w:tcMar>
                    <w:top w:w="12" w:type="dxa"/>
                    <w:left w:w="12" w:type="dxa"/>
                    <w:right w:w="12" w:type="dxa"/>
                  </w:tcMar>
                  <w:vAlign w:val="center"/>
                </w:tcPr>
                <w:p>
                  <w:pPr>
                    <w:pStyle w:val="2"/>
                    <w:rPr>
                      <w:rFonts w:hint="eastAsia"/>
                      <w:color w:val="auto"/>
                      <w:lang w:val="en-US" w:eastAsia="zh-CN"/>
                    </w:rPr>
                  </w:pPr>
                  <w:r>
                    <w:rPr>
                      <w:color w:val="auto"/>
                    </w:rPr>
                    <w:t>3</w:t>
                  </w:r>
                </w:p>
              </w:tc>
              <w:tc>
                <w:tcPr>
                  <w:tcW w:w="971"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4660772.526</w:t>
                  </w:r>
                </w:p>
              </w:tc>
              <w:tc>
                <w:tcPr>
                  <w:tcW w:w="1238"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29402047.567</w:t>
                  </w:r>
                </w:p>
              </w:tc>
              <w:tc>
                <w:tcPr>
                  <w:tcW w:w="1207"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42°04′34.117″</w:t>
                  </w:r>
                </w:p>
              </w:tc>
              <w:tc>
                <w:tcPr>
                  <w:tcW w:w="1336"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85°48′58.755″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tcBorders>
                    <w:tl2br w:val="nil"/>
                    <w:tr2bl w:val="nil"/>
                  </w:tcBorders>
                  <w:noWrap/>
                  <w:tcMar>
                    <w:top w:w="12" w:type="dxa"/>
                    <w:left w:w="12" w:type="dxa"/>
                    <w:right w:w="12" w:type="dxa"/>
                  </w:tcMar>
                  <w:vAlign w:val="center"/>
                </w:tcPr>
                <w:p>
                  <w:pPr>
                    <w:pStyle w:val="2"/>
                    <w:rPr>
                      <w:rFonts w:hint="eastAsia"/>
                      <w:color w:val="auto"/>
                      <w:lang w:val="en-US" w:eastAsia="zh-CN"/>
                    </w:rPr>
                  </w:pPr>
                  <w:r>
                    <w:rPr>
                      <w:color w:val="auto"/>
                    </w:rPr>
                    <w:t>4</w:t>
                  </w:r>
                </w:p>
              </w:tc>
              <w:tc>
                <w:tcPr>
                  <w:tcW w:w="971"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4660772.653</w:t>
                  </w:r>
                </w:p>
              </w:tc>
              <w:tc>
                <w:tcPr>
                  <w:tcW w:w="1238"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29401557.917</w:t>
                  </w:r>
                </w:p>
              </w:tc>
              <w:tc>
                <w:tcPr>
                  <w:tcW w:w="1207"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42°04′33.901″</w:t>
                  </w:r>
                </w:p>
              </w:tc>
              <w:tc>
                <w:tcPr>
                  <w:tcW w:w="1336"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85°48′37.458″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tcBorders>
                    <w:tl2br w:val="nil"/>
                    <w:tr2bl w:val="nil"/>
                  </w:tcBorders>
                  <w:noWrap/>
                  <w:tcMar>
                    <w:top w:w="12" w:type="dxa"/>
                    <w:left w:w="12" w:type="dxa"/>
                    <w:right w:w="12" w:type="dxa"/>
                  </w:tcMar>
                  <w:vAlign w:val="center"/>
                </w:tcPr>
                <w:p>
                  <w:pPr>
                    <w:pStyle w:val="2"/>
                    <w:rPr>
                      <w:rFonts w:hint="eastAsia"/>
                      <w:color w:val="auto"/>
                      <w:lang w:val="en-US" w:eastAsia="zh-CN"/>
                    </w:rPr>
                  </w:pPr>
                  <w:r>
                    <w:rPr>
                      <w:color w:val="auto"/>
                    </w:rPr>
                    <w:t>5</w:t>
                  </w:r>
                </w:p>
              </w:tc>
              <w:tc>
                <w:tcPr>
                  <w:tcW w:w="971"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4660501.000</w:t>
                  </w:r>
                </w:p>
              </w:tc>
              <w:tc>
                <w:tcPr>
                  <w:tcW w:w="1238"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29401360.000</w:t>
                  </w:r>
                </w:p>
              </w:tc>
              <w:tc>
                <w:tcPr>
                  <w:tcW w:w="1207"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42°04′25.009″</w:t>
                  </w:r>
                </w:p>
              </w:tc>
              <w:tc>
                <w:tcPr>
                  <w:tcW w:w="1336"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85°48′29.015″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6" w:type="pct"/>
                  <w:tcBorders>
                    <w:tl2br w:val="nil"/>
                    <w:tr2bl w:val="nil"/>
                  </w:tcBorders>
                  <w:noWrap/>
                  <w:tcMar>
                    <w:top w:w="12" w:type="dxa"/>
                    <w:left w:w="12" w:type="dxa"/>
                    <w:right w:w="12" w:type="dxa"/>
                  </w:tcMar>
                  <w:vAlign w:val="center"/>
                </w:tcPr>
                <w:p>
                  <w:pPr>
                    <w:pStyle w:val="2"/>
                    <w:rPr>
                      <w:rFonts w:hint="eastAsia"/>
                      <w:color w:val="auto"/>
                      <w:lang w:val="en-US" w:eastAsia="zh-CN"/>
                    </w:rPr>
                  </w:pPr>
                  <w:r>
                    <w:rPr>
                      <w:color w:val="auto"/>
                    </w:rPr>
                    <w:t>6</w:t>
                  </w:r>
                </w:p>
              </w:tc>
              <w:tc>
                <w:tcPr>
                  <w:tcW w:w="971"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4660485.572</w:t>
                  </w:r>
                </w:p>
              </w:tc>
              <w:tc>
                <w:tcPr>
                  <w:tcW w:w="1238"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29400766.690</w:t>
                  </w:r>
                </w:p>
              </w:tc>
              <w:tc>
                <w:tcPr>
                  <w:tcW w:w="1207"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42°04′24.240″</w:t>
                  </w:r>
                </w:p>
              </w:tc>
              <w:tc>
                <w:tcPr>
                  <w:tcW w:w="1336" w:type="pct"/>
                  <w:tcBorders>
                    <w:tl2br w:val="nil"/>
                    <w:tr2bl w:val="nil"/>
                  </w:tcBorders>
                  <w:shd w:val="clear" w:color="auto" w:fill="auto"/>
                  <w:noWrap/>
                  <w:tcMar>
                    <w:top w:w="12" w:type="dxa"/>
                    <w:left w:w="12" w:type="dxa"/>
                    <w:right w:w="12" w:type="dxa"/>
                  </w:tcMar>
                  <w:vAlign w:val="top"/>
                </w:tcPr>
                <w:p>
                  <w:pPr>
                    <w:pStyle w:val="2"/>
                    <w:rPr>
                      <w:rFonts w:hint="eastAsia"/>
                      <w:color w:val="auto"/>
                      <w:lang w:val="en-US" w:eastAsia="zh-CN"/>
                    </w:rPr>
                  </w:pPr>
                  <w:r>
                    <w:rPr>
                      <w:color w:val="auto"/>
                    </w:rPr>
                    <w:t>85°48′03.220″</w:t>
                  </w:r>
                </w:p>
              </w:tc>
            </w:tr>
          </w:tbl>
          <w:p>
            <w:pPr>
              <w:ind w:firstLine="0" w:firstLineChars="0"/>
              <w:rPr>
                <w:rFonts w:ascii="宋体" w:hAnsi="宋体" w:cs="宋体"/>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项目组成及规模</w:t>
            </w:r>
          </w:p>
        </w:tc>
        <w:tc>
          <w:tcPr>
            <w:tcW w:w="8099" w:type="dxa"/>
            <w:vAlign w:val="center"/>
          </w:tcPr>
          <w:p>
            <w:pPr>
              <w:pStyle w:val="5"/>
              <w:rPr>
                <w:color w:val="auto"/>
              </w:rPr>
            </w:pPr>
            <w:r>
              <w:rPr>
                <w:rFonts w:hint="eastAsia"/>
                <w:color w:val="auto"/>
                <w:lang w:val="en-US" w:eastAsia="zh-CN"/>
              </w:rPr>
              <w:t>1</w:t>
            </w:r>
            <w:r>
              <w:rPr>
                <w:rFonts w:hint="eastAsia"/>
                <w:color w:val="auto"/>
              </w:rPr>
              <w:t>、主要建设内容</w:t>
            </w:r>
          </w:p>
          <w:p>
            <w:pPr>
              <w:keepNext w:val="0"/>
              <w:keepLines w:val="0"/>
              <w:widowControl/>
              <w:suppressLineNumbers w:val="0"/>
              <w:jc w:val="left"/>
              <w:rPr>
                <w:color w:val="auto"/>
              </w:rPr>
            </w:pPr>
            <w:r>
              <w:rPr>
                <w:color w:val="auto"/>
              </w:rPr>
              <w:t>本项目</w:t>
            </w:r>
            <w:r>
              <w:rPr>
                <w:rFonts w:hint="eastAsia"/>
                <w:color w:val="auto"/>
                <w:lang w:val="en-US" w:eastAsia="zh-CN"/>
              </w:rPr>
              <w:t>为新建项目，总投资1268.42万元，</w:t>
            </w:r>
            <w:r>
              <w:rPr>
                <w:rFonts w:hint="eastAsia"/>
                <w:color w:val="auto"/>
                <w:lang w:eastAsia="zh-CN"/>
              </w:rPr>
              <w:t>总</w:t>
            </w:r>
            <w:r>
              <w:rPr>
                <w:rFonts w:hint="eastAsia"/>
                <w:color w:val="auto"/>
                <w:lang w:val="en-US" w:eastAsia="zh-CN"/>
              </w:rPr>
              <w:t>矿区划定范围138.41公顷，项目</w:t>
            </w:r>
            <w:r>
              <w:rPr>
                <w:rFonts w:hint="eastAsia"/>
                <w:color w:val="auto"/>
                <w:lang w:eastAsia="zh-CN"/>
              </w:rPr>
              <w:t>占地面积</w:t>
            </w:r>
            <w:r>
              <w:rPr>
                <w:color w:val="auto"/>
              </w:rPr>
              <w:t>24.67</w:t>
            </w:r>
            <w:r>
              <w:rPr>
                <w:rFonts w:hint="eastAsia"/>
                <w:color w:val="auto"/>
                <w:lang w:val="en-US" w:eastAsia="zh-CN"/>
              </w:rPr>
              <w:t>公顷，</w:t>
            </w:r>
            <w:r>
              <w:rPr>
                <w:rFonts w:hint="eastAsia"/>
                <w:color w:val="auto"/>
              </w:rPr>
              <w:t>主要</w:t>
            </w:r>
            <w:r>
              <w:rPr>
                <w:color w:val="auto"/>
              </w:rPr>
              <w:t>建设内容包括主体工程（采矿场）、</w:t>
            </w:r>
            <w:r>
              <w:rPr>
                <w:rFonts w:hint="eastAsia"/>
                <w:color w:val="auto"/>
              </w:rPr>
              <w:t>储运工程（废石堆场、</w:t>
            </w:r>
            <w:r>
              <w:rPr>
                <w:rFonts w:hint="eastAsia"/>
                <w:color w:val="auto"/>
                <w:lang w:eastAsia="zh-CN"/>
              </w:rPr>
              <w:t>荒料堆放场</w:t>
            </w:r>
            <w:r>
              <w:rPr>
                <w:rFonts w:hint="eastAsia"/>
                <w:color w:val="auto"/>
              </w:rPr>
              <w:t>、矿区道路）、</w:t>
            </w:r>
            <w:r>
              <w:rPr>
                <w:color w:val="auto"/>
              </w:rPr>
              <w:t>辅助工程（</w:t>
            </w:r>
            <w:r>
              <w:rPr>
                <w:rFonts w:hint="eastAsia"/>
                <w:color w:val="auto"/>
                <w:lang w:eastAsia="zh-CN"/>
              </w:rPr>
              <w:t>生活区</w:t>
            </w:r>
            <w:r>
              <w:rPr>
                <w:color w:val="auto"/>
              </w:rPr>
              <w:t>）、公用工程（给水工程</w:t>
            </w:r>
            <w:r>
              <w:rPr>
                <w:rFonts w:hint="eastAsia"/>
                <w:color w:val="auto"/>
                <w:lang w:eastAsia="zh-CN"/>
              </w:rPr>
              <w:t>，供电工程</w:t>
            </w:r>
            <w:r>
              <w:rPr>
                <w:color w:val="auto"/>
              </w:rPr>
              <w:t>）、环保工程等。</w:t>
            </w:r>
            <w:r>
              <w:rPr>
                <w:rFonts w:hint="eastAsia"/>
                <w:color w:val="auto"/>
              </w:rPr>
              <w:t>矿区范围内设置</w:t>
            </w:r>
            <w:r>
              <w:rPr>
                <w:rFonts w:hint="eastAsia"/>
                <w:color w:val="auto"/>
                <w:lang w:val="en-US" w:eastAsia="zh-CN"/>
              </w:rPr>
              <w:t>3</w:t>
            </w:r>
            <w:r>
              <w:rPr>
                <w:rFonts w:hint="eastAsia"/>
                <w:color w:val="auto"/>
              </w:rPr>
              <w:t>个露天采矿场，</w:t>
            </w:r>
            <w:r>
              <w:rPr>
                <w:rFonts w:hint="eastAsia"/>
                <w:color w:val="auto"/>
                <w:lang w:val="en-US" w:eastAsia="zh-CN"/>
              </w:rPr>
              <w:t>最高开采标高为</w:t>
            </w:r>
            <w:r>
              <w:rPr>
                <w:color w:val="auto"/>
              </w:rPr>
              <w:t>2321</w:t>
            </w:r>
            <w:r>
              <w:rPr>
                <w:rFonts w:hint="eastAsia"/>
                <w:color w:val="auto"/>
                <w:lang w:val="en-US" w:eastAsia="zh-CN"/>
              </w:rPr>
              <w:t>m，最低标高</w:t>
            </w:r>
            <w:r>
              <w:rPr>
                <w:color w:val="auto"/>
              </w:rPr>
              <w:t>2409</w:t>
            </w:r>
            <w:r>
              <w:rPr>
                <w:rFonts w:hint="eastAsia"/>
                <w:color w:val="auto"/>
                <w:lang w:val="en-US" w:eastAsia="zh-CN"/>
              </w:rPr>
              <w:t>m</w:t>
            </w:r>
            <w:r>
              <w:rPr>
                <w:rFonts w:hint="eastAsia"/>
                <w:color w:val="auto"/>
              </w:rPr>
              <w:t>，采场占地面积</w:t>
            </w:r>
            <w:r>
              <w:rPr>
                <w:rFonts w:hint="eastAsia"/>
                <w:color w:val="auto"/>
                <w:lang w:val="en-US" w:eastAsia="zh-CN"/>
              </w:rPr>
              <w:t>11.31公顷</w:t>
            </w:r>
            <w:r>
              <w:rPr>
                <w:color w:val="auto"/>
              </w:rPr>
              <w:t>。项目主要建设内容见表</w:t>
            </w:r>
            <w:r>
              <w:rPr>
                <w:rFonts w:hint="eastAsia"/>
                <w:color w:val="auto"/>
                <w:lang w:val="en-US" w:eastAsia="zh-CN"/>
              </w:rPr>
              <w:t>2-2</w:t>
            </w:r>
            <w:r>
              <w:rPr>
                <w:color w:val="auto"/>
              </w:rPr>
              <w:t>，主要构筑物见表</w:t>
            </w:r>
            <w:r>
              <w:rPr>
                <w:rFonts w:hint="eastAsia"/>
                <w:color w:val="auto"/>
                <w:lang w:val="en-US" w:eastAsia="zh-CN"/>
              </w:rPr>
              <w:t>2-3</w:t>
            </w:r>
            <w:r>
              <w:rPr>
                <w:color w:val="auto"/>
              </w:rPr>
              <w:t>，主要采矿</w:t>
            </w:r>
            <w:r>
              <w:rPr>
                <w:rFonts w:hint="eastAsia"/>
                <w:color w:val="auto"/>
                <w:lang w:eastAsia="zh-CN"/>
              </w:rPr>
              <w:t>设备</w:t>
            </w:r>
            <w:r>
              <w:rPr>
                <w:color w:val="auto"/>
              </w:rPr>
              <w:t>见表</w:t>
            </w:r>
            <w:r>
              <w:rPr>
                <w:rFonts w:hint="eastAsia"/>
                <w:color w:val="auto"/>
                <w:lang w:val="en-US" w:eastAsia="zh-CN"/>
              </w:rPr>
              <w:t>2-4</w:t>
            </w:r>
            <w:r>
              <w:rPr>
                <w:rFonts w:hint="eastAsia"/>
                <w:color w:val="auto"/>
              </w:rPr>
              <w:t>，主要原料及用量见表</w:t>
            </w:r>
            <w:r>
              <w:rPr>
                <w:rFonts w:hint="eastAsia"/>
                <w:color w:val="auto"/>
                <w:lang w:val="en-US" w:eastAsia="zh-CN"/>
              </w:rPr>
              <w:t>2-5</w:t>
            </w:r>
            <w:r>
              <w:rPr>
                <w:rFonts w:hint="eastAsia"/>
                <w:color w:val="auto"/>
              </w:rPr>
              <w:t>。</w:t>
            </w:r>
          </w:p>
          <w:p>
            <w:pPr>
              <w:pStyle w:val="71"/>
              <w:spacing w:line="240" w:lineRule="auto"/>
              <w:ind w:firstLine="422"/>
              <w:rPr>
                <w:b/>
                <w:color w:val="auto"/>
                <w:sz w:val="21"/>
                <w:szCs w:val="20"/>
              </w:rPr>
            </w:pPr>
            <w:r>
              <w:rPr>
                <w:b/>
                <w:color w:val="auto"/>
                <w:sz w:val="21"/>
                <w:szCs w:val="20"/>
              </w:rPr>
              <w:t>表</w:t>
            </w:r>
            <w:r>
              <w:rPr>
                <w:rFonts w:hint="eastAsia"/>
                <w:b/>
                <w:color w:val="auto"/>
                <w:sz w:val="21"/>
                <w:szCs w:val="20"/>
                <w:lang w:val="en-US" w:eastAsia="zh-CN"/>
              </w:rPr>
              <w:t>2-2</w:t>
            </w:r>
            <w:r>
              <w:rPr>
                <w:b/>
                <w:color w:val="auto"/>
                <w:sz w:val="21"/>
                <w:szCs w:val="20"/>
              </w:rPr>
              <w:t xml:space="preserve">                </w:t>
            </w:r>
            <w:r>
              <w:rPr>
                <w:rFonts w:hint="eastAsia"/>
                <w:b/>
                <w:color w:val="auto"/>
                <w:sz w:val="21"/>
                <w:szCs w:val="20"/>
              </w:rPr>
              <w:t xml:space="preserve">     </w:t>
            </w:r>
            <w:r>
              <w:rPr>
                <w:b/>
                <w:color w:val="auto"/>
                <w:sz w:val="21"/>
                <w:szCs w:val="20"/>
              </w:rPr>
              <w:t>主要建设内容一览表</w:t>
            </w:r>
          </w:p>
          <w:tbl>
            <w:tblPr>
              <w:tblStyle w:val="30"/>
              <w:tblW w:w="501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24"/>
              <w:gridCol w:w="828"/>
              <w:gridCol w:w="5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0" w:type="pct"/>
                  <w:gridSpan w:val="2"/>
                  <w:tcBorders>
                    <w:tl2br w:val="nil"/>
                    <w:tr2bl w:val="nil"/>
                  </w:tcBorders>
                  <w:vAlign w:val="center"/>
                </w:tcPr>
                <w:p>
                  <w:pPr>
                    <w:pStyle w:val="2"/>
                    <w:rPr>
                      <w:color w:val="auto"/>
                    </w:rPr>
                  </w:pPr>
                  <w:r>
                    <w:rPr>
                      <w:color w:val="auto"/>
                    </w:rPr>
                    <w:t>类别</w:t>
                  </w:r>
                </w:p>
              </w:tc>
              <w:tc>
                <w:tcPr>
                  <w:tcW w:w="4269" w:type="pct"/>
                  <w:gridSpan w:val="2"/>
                  <w:tcBorders>
                    <w:tl2br w:val="nil"/>
                    <w:tr2bl w:val="nil"/>
                  </w:tcBorders>
                  <w:vAlign w:val="center"/>
                </w:tcPr>
                <w:p>
                  <w:pPr>
                    <w:pStyle w:val="2"/>
                    <w:rPr>
                      <w:color w:val="auto"/>
                    </w:rPr>
                  </w:pPr>
                  <w:r>
                    <w:rPr>
                      <w:color w:val="auto"/>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270" w:type="pct"/>
                  <w:tcBorders>
                    <w:tl2br w:val="nil"/>
                    <w:tr2bl w:val="nil"/>
                  </w:tcBorders>
                  <w:vAlign w:val="center"/>
                </w:tcPr>
                <w:p>
                  <w:pPr>
                    <w:pStyle w:val="2"/>
                    <w:rPr>
                      <w:color w:val="auto"/>
                    </w:rPr>
                  </w:pPr>
                  <w:r>
                    <w:rPr>
                      <w:color w:val="auto"/>
                    </w:rPr>
                    <w:t>主体工程</w:t>
                  </w:r>
                </w:p>
              </w:tc>
              <w:tc>
                <w:tcPr>
                  <w:tcW w:w="459" w:type="pct"/>
                  <w:tcBorders>
                    <w:tl2br w:val="nil"/>
                    <w:tr2bl w:val="nil"/>
                  </w:tcBorders>
                  <w:vAlign w:val="center"/>
                </w:tcPr>
                <w:p>
                  <w:pPr>
                    <w:pStyle w:val="2"/>
                    <w:rPr>
                      <w:rFonts w:hint="eastAsia" w:ascii="Times New Roman" w:hAnsi="Times New Roman" w:cs="Times New Roman"/>
                      <w:bCs/>
                      <w:color w:val="auto"/>
                    </w:rPr>
                  </w:pPr>
                  <w:r>
                    <w:rPr>
                      <w:rFonts w:hint="eastAsia" w:ascii="Times New Roman" w:hAnsi="Times New Roman" w:cs="Times New Roman"/>
                      <w:bCs/>
                      <w:color w:val="auto"/>
                    </w:rPr>
                    <w:t>露天采矿场</w:t>
                  </w:r>
                </w:p>
              </w:tc>
              <w:tc>
                <w:tcPr>
                  <w:tcW w:w="4269" w:type="pct"/>
                  <w:gridSpan w:val="2"/>
                  <w:tcBorders>
                    <w:tl2br w:val="nil"/>
                    <w:tr2bl w:val="nil"/>
                  </w:tcBorders>
                  <w:vAlign w:val="center"/>
                </w:tcPr>
                <w:p>
                  <w:pPr>
                    <w:pStyle w:val="2"/>
                    <w:rPr>
                      <w:rFonts w:hint="eastAsia" w:ascii="Times New Roman" w:hAnsi="Times New Roman" w:cs="Times New Roman"/>
                      <w:bCs/>
                      <w:color w:val="auto"/>
                      <w:lang w:val="en-US" w:eastAsia="zh-CN"/>
                    </w:rPr>
                  </w:pPr>
                  <w:r>
                    <w:rPr>
                      <w:rFonts w:hint="eastAsia" w:ascii="Times New Roman" w:hAnsi="Times New Roman" w:cs="Times New Roman"/>
                      <w:bCs/>
                      <w:color w:val="auto"/>
                    </w:rPr>
                    <w:t>设计全矿设置</w:t>
                  </w:r>
                  <w:r>
                    <w:rPr>
                      <w:rFonts w:hint="eastAsia" w:ascii="Times New Roman" w:hAnsi="Times New Roman" w:cs="Times New Roman"/>
                      <w:bCs/>
                      <w:color w:val="auto"/>
                      <w:lang w:val="en-US" w:eastAsia="zh-CN"/>
                    </w:rPr>
                    <w:t>3</w:t>
                  </w:r>
                  <w:r>
                    <w:rPr>
                      <w:rFonts w:hint="eastAsia" w:ascii="Times New Roman" w:hAnsi="Times New Roman" w:cs="Times New Roman"/>
                      <w:bCs/>
                      <w:color w:val="auto"/>
                    </w:rPr>
                    <w:t>个露天采场，露天采场占地面积总计</w:t>
                  </w:r>
                  <w:r>
                    <w:rPr>
                      <w:rFonts w:hint="eastAsia" w:ascii="Times New Roman" w:hAnsi="Times New Roman" w:cs="Times New Roman"/>
                      <w:bCs/>
                      <w:color w:val="auto"/>
                      <w:lang w:val="en-US" w:eastAsia="zh-CN"/>
                    </w:rPr>
                    <w:t>11.31公顷</w:t>
                  </w:r>
                  <w:r>
                    <w:rPr>
                      <w:rFonts w:hint="eastAsia" w:ascii="Times New Roman" w:hAnsi="Times New Roman" w:cs="Times New Roman"/>
                      <w:bCs/>
                      <w:color w:val="auto"/>
                    </w:rPr>
                    <w:t>，开采标高2321～2409</w:t>
                  </w:r>
                  <w:r>
                    <w:rPr>
                      <w:rFonts w:hint="eastAsia" w:ascii="Times New Roman" w:hAnsi="Times New Roman" w:cs="Times New Roman"/>
                      <w:bCs/>
                      <w:color w:val="auto"/>
                      <w:lang w:val="en-US" w:eastAsia="zh-CN"/>
                    </w:rPr>
                    <w:t>m。</w:t>
                  </w:r>
                </w:p>
                <w:p>
                  <w:pPr>
                    <w:pStyle w:val="2"/>
                    <w:rPr>
                      <w:rFonts w:hint="eastAsia" w:ascii="Times New Roman" w:hAnsi="Times New Roman" w:cs="Times New Roman"/>
                      <w:bCs/>
                      <w:color w:val="auto"/>
                      <w:lang w:val="en-US" w:eastAsia="zh-CN"/>
                    </w:rPr>
                  </w:pPr>
                  <w:r>
                    <w:rPr>
                      <w:rFonts w:hint="eastAsia" w:ascii="Times New Roman" w:hAnsi="Times New Roman" w:cs="Times New Roman"/>
                      <w:bCs/>
                      <w:color w:val="auto"/>
                    </w:rPr>
                    <w:t>规划V1露天采矿场位于矿区西北部，占地面积约为2.90公顷</w:t>
                  </w:r>
                  <w:r>
                    <w:rPr>
                      <w:rFonts w:hint="eastAsia" w:ascii="Times New Roman" w:hAnsi="Times New Roman" w:cs="Times New Roman"/>
                      <w:bCs/>
                      <w:color w:val="auto"/>
                      <w:lang w:eastAsia="zh-CN"/>
                    </w:rPr>
                    <w:t>，</w:t>
                  </w:r>
                  <w:r>
                    <w:rPr>
                      <w:rFonts w:hint="eastAsia" w:ascii="Times New Roman" w:hAnsi="Times New Roman" w:cs="Times New Roman"/>
                      <w:bCs/>
                      <w:color w:val="auto"/>
                    </w:rPr>
                    <w:t>开采标高为2409～2378</w:t>
                  </w:r>
                  <w:r>
                    <w:rPr>
                      <w:rFonts w:hint="eastAsia" w:ascii="Times New Roman" w:hAnsi="Times New Roman" w:cs="Times New Roman"/>
                      <w:bCs/>
                      <w:color w:val="auto"/>
                      <w:lang w:val="en-US" w:eastAsia="zh-CN"/>
                    </w:rPr>
                    <w:t>m</w:t>
                  </w:r>
                  <w:r>
                    <w:rPr>
                      <w:rFonts w:hint="eastAsia" w:ascii="Times New Roman" w:hAnsi="Times New Roman" w:cs="Times New Roman"/>
                      <w:bCs/>
                      <w:color w:val="auto"/>
                    </w:rPr>
                    <w:t>，生产台阶4个</w:t>
                  </w:r>
                  <w:r>
                    <w:rPr>
                      <w:rFonts w:hint="eastAsia" w:ascii="Times New Roman" w:hAnsi="Times New Roman" w:cs="Times New Roman"/>
                      <w:bCs/>
                      <w:color w:val="auto"/>
                      <w:lang w:eastAsia="zh-CN"/>
                    </w:rPr>
                    <w:t>，</w:t>
                  </w:r>
                  <w:r>
                    <w:rPr>
                      <w:rFonts w:hint="eastAsia" w:ascii="Times New Roman" w:hAnsi="Times New Roman" w:cs="Times New Roman"/>
                      <w:bCs/>
                      <w:color w:val="auto"/>
                    </w:rPr>
                    <w:t>2398米水平以上采用山坡露天开采方式，2398米水平以下采用凹陷露天开采方式</w:t>
                  </w:r>
                  <w:r>
                    <w:rPr>
                      <w:rFonts w:hint="eastAsia" w:ascii="Times New Roman" w:hAnsi="Times New Roman" w:cs="Times New Roman"/>
                      <w:bCs/>
                      <w:color w:val="auto"/>
                      <w:lang w:eastAsia="zh-CN"/>
                    </w:rPr>
                    <w:t>。</w:t>
                  </w:r>
                </w:p>
                <w:p>
                  <w:pPr>
                    <w:pStyle w:val="2"/>
                    <w:rPr>
                      <w:rFonts w:hint="eastAsia" w:ascii="Times New Roman" w:hAnsi="Times New Roman" w:cs="Times New Roman"/>
                      <w:bCs/>
                      <w:color w:val="auto"/>
                    </w:rPr>
                  </w:pPr>
                  <w:r>
                    <w:rPr>
                      <w:rFonts w:hint="eastAsia" w:ascii="Times New Roman" w:hAnsi="Times New Roman" w:cs="Times New Roman"/>
                      <w:bCs/>
                      <w:color w:val="auto"/>
                    </w:rPr>
                    <w:t>规划V2露天采矿场位于矿区西南部，占地面积约为4.39公顷</w:t>
                  </w:r>
                  <w:r>
                    <w:rPr>
                      <w:rFonts w:hint="eastAsia" w:ascii="Times New Roman" w:hAnsi="Times New Roman" w:cs="Times New Roman"/>
                      <w:bCs/>
                      <w:color w:val="auto"/>
                      <w:lang w:eastAsia="zh-CN"/>
                    </w:rPr>
                    <w:t>，</w:t>
                  </w:r>
                  <w:r>
                    <w:rPr>
                      <w:rFonts w:hint="eastAsia" w:ascii="Times New Roman" w:hAnsi="Times New Roman" w:cs="Times New Roman"/>
                      <w:bCs/>
                      <w:color w:val="auto"/>
                    </w:rPr>
                    <w:t xml:space="preserve">开采标高为2406～2373 </w:t>
                  </w:r>
                  <w:r>
                    <w:rPr>
                      <w:rFonts w:hint="eastAsia" w:ascii="Times New Roman" w:hAnsi="Times New Roman" w:cs="Times New Roman"/>
                      <w:bCs/>
                      <w:color w:val="auto"/>
                      <w:lang w:val="en-US" w:eastAsia="zh-CN"/>
                    </w:rPr>
                    <w:t>m</w:t>
                  </w:r>
                  <w:r>
                    <w:rPr>
                      <w:rFonts w:hint="eastAsia" w:ascii="Times New Roman" w:hAnsi="Times New Roman" w:cs="Times New Roman"/>
                      <w:bCs/>
                      <w:color w:val="auto"/>
                    </w:rPr>
                    <w:t>，生产台阶4个；2393米水平以上采用山坡露天开采方式，2393米水平以下采用凹陷露天开采方式。</w:t>
                  </w:r>
                </w:p>
                <w:p>
                  <w:pPr>
                    <w:pStyle w:val="2"/>
                    <w:rPr>
                      <w:rFonts w:hint="eastAsia" w:ascii="Times New Roman" w:hAnsi="Times New Roman" w:eastAsia="宋体" w:cs="Times New Roman"/>
                      <w:bCs/>
                      <w:color w:val="auto"/>
                      <w:lang w:val="en-US" w:eastAsia="zh-CN"/>
                    </w:rPr>
                  </w:pPr>
                  <w:r>
                    <w:rPr>
                      <w:rFonts w:hint="eastAsia" w:ascii="Times New Roman" w:hAnsi="Times New Roman" w:cs="Times New Roman"/>
                      <w:bCs/>
                      <w:color w:val="auto"/>
                    </w:rPr>
                    <w:t>规划V3露天采矿场位于矿区东南部，占地面积约为4.02公顷。开采标高为2355～2321</w:t>
                  </w:r>
                  <w:r>
                    <w:rPr>
                      <w:rFonts w:hint="eastAsia" w:ascii="Times New Roman" w:hAnsi="Times New Roman" w:cs="Times New Roman"/>
                      <w:bCs/>
                      <w:color w:val="auto"/>
                      <w:lang w:val="en-US" w:eastAsia="zh-CN"/>
                    </w:rPr>
                    <w:t>m</w:t>
                  </w:r>
                  <w:r>
                    <w:rPr>
                      <w:rFonts w:hint="eastAsia" w:ascii="Times New Roman" w:hAnsi="Times New Roman" w:cs="Times New Roman"/>
                      <w:bCs/>
                      <w:color w:val="auto"/>
                    </w:rPr>
                    <w:t>，生产台阶4个；2341米水平以上采用山坡露天开采方式，2341米水平以下采用凹陷露天开采方式</w:t>
                  </w:r>
                  <w:r>
                    <w:rPr>
                      <w:rFonts w:hint="eastAsia" w:ascii="Times New Roman" w:hAnsi="Times New Roman" w:cs="Times New Roman"/>
                      <w:bCs/>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restart"/>
                  <w:tcBorders>
                    <w:tl2br w:val="nil"/>
                    <w:tr2bl w:val="nil"/>
                  </w:tcBorders>
                  <w:vAlign w:val="center"/>
                </w:tcPr>
                <w:p>
                  <w:pPr>
                    <w:pStyle w:val="2"/>
                    <w:rPr>
                      <w:color w:val="auto"/>
                    </w:rPr>
                  </w:pPr>
                  <w:r>
                    <w:rPr>
                      <w:rFonts w:hint="eastAsia"/>
                      <w:color w:val="auto"/>
                    </w:rPr>
                    <w:t>储运工程</w:t>
                  </w:r>
                </w:p>
              </w:tc>
              <w:tc>
                <w:tcPr>
                  <w:tcW w:w="459" w:type="pct"/>
                  <w:tcBorders>
                    <w:tl2br w:val="nil"/>
                    <w:tr2bl w:val="nil"/>
                  </w:tcBorders>
                  <w:vAlign w:val="center"/>
                </w:tcPr>
                <w:p>
                  <w:pPr>
                    <w:pStyle w:val="2"/>
                    <w:rPr>
                      <w:rFonts w:hint="eastAsia" w:ascii="Times New Roman" w:hAnsi="Times New Roman" w:cs="Times New Roman"/>
                      <w:color w:val="auto"/>
                      <w:lang w:eastAsia="zh-CN"/>
                    </w:rPr>
                  </w:pPr>
                  <w:r>
                    <w:rPr>
                      <w:rFonts w:hint="eastAsia" w:ascii="Times New Roman" w:hAnsi="Times New Roman" w:cs="Times New Roman"/>
                      <w:color w:val="auto"/>
                      <w:lang w:eastAsia="zh-CN"/>
                    </w:rPr>
                    <w:t>废石堆场</w:t>
                  </w:r>
                </w:p>
              </w:tc>
              <w:tc>
                <w:tcPr>
                  <w:tcW w:w="4269" w:type="pct"/>
                  <w:gridSpan w:val="2"/>
                  <w:tcBorders>
                    <w:tl2br w:val="nil"/>
                    <w:tr2bl w:val="nil"/>
                  </w:tcBorders>
                  <w:vAlign w:val="center"/>
                </w:tcPr>
                <w:p>
                  <w:pPr>
                    <w:pStyle w:val="2"/>
                    <w:bidi w:val="0"/>
                    <w:rPr>
                      <w:rFonts w:hint="eastAsia"/>
                      <w:color w:val="auto"/>
                      <w:lang w:eastAsia="zh-CN"/>
                    </w:rPr>
                  </w:pPr>
                  <w:r>
                    <w:rPr>
                      <w:rFonts w:hint="eastAsia"/>
                      <w:color w:val="auto"/>
                      <w:lang w:val="en-US" w:eastAsia="zh-CN"/>
                    </w:rPr>
                    <w:t>本项目拟建2个废石堆场，</w:t>
                  </w:r>
                  <w:r>
                    <w:rPr>
                      <w:rFonts w:hint="eastAsia"/>
                      <w:color w:val="auto"/>
                      <w:lang w:eastAsia="zh-CN"/>
                    </w:rPr>
                    <w:t>设计废石场容积约190万</w:t>
                  </w:r>
                  <w:r>
                    <w:rPr>
                      <w:rFonts w:hint="eastAsia"/>
                      <w:color w:val="auto"/>
                      <w:lang w:val="en-US" w:eastAsia="zh-CN"/>
                    </w:rPr>
                    <w:t>m</w:t>
                  </w:r>
                  <w:r>
                    <w:rPr>
                      <w:rFonts w:hint="eastAsia"/>
                      <w:color w:val="auto"/>
                      <w:vertAlign w:val="superscript"/>
                      <w:lang w:val="en-US" w:eastAsia="zh-CN"/>
                    </w:rPr>
                    <w:t>3</w:t>
                  </w:r>
                </w:p>
                <w:p>
                  <w:pPr>
                    <w:pStyle w:val="2"/>
                    <w:bidi w:val="0"/>
                    <w:rPr>
                      <w:rFonts w:hint="eastAsia"/>
                      <w:color w:val="auto"/>
                      <w:lang w:eastAsia="zh-CN"/>
                    </w:rPr>
                  </w:pPr>
                  <w:r>
                    <w:rPr>
                      <w:rFonts w:hint="eastAsia"/>
                      <w:color w:val="auto"/>
                      <w:lang w:eastAsia="zh-CN"/>
                    </w:rPr>
                    <w:t>规划1号废石堆放场位于规划V3露天采矿场北侧距离约60米的宽缓平坦处，地势较为平缓，地形坡度约3°</w:t>
                  </w:r>
                  <w:r>
                    <w:rPr>
                      <w:rFonts w:hint="eastAsia"/>
                      <w:color w:val="auto"/>
                    </w:rPr>
                    <w:t>～</w:t>
                  </w:r>
                  <w:r>
                    <w:rPr>
                      <w:rFonts w:hint="eastAsia"/>
                      <w:color w:val="auto"/>
                      <w:lang w:eastAsia="zh-CN"/>
                    </w:rPr>
                    <w:t>12°，规划1号废石堆场地面积约7.44公顷；设计最大堆放高度30米，单层堆高8米，设计3米安全平台，废石堆放边坡角30°。</w:t>
                  </w:r>
                </w:p>
                <w:p>
                  <w:pPr>
                    <w:pStyle w:val="2"/>
                    <w:bidi w:val="0"/>
                    <w:rPr>
                      <w:rFonts w:hint="eastAsia" w:ascii="Times New Roman" w:hAnsi="Times New Roman" w:cs="Times New Roman"/>
                      <w:color w:val="auto"/>
                      <w:lang w:eastAsia="zh-CN"/>
                    </w:rPr>
                  </w:pPr>
                  <w:r>
                    <w:rPr>
                      <w:rFonts w:hint="eastAsia"/>
                      <w:color w:val="auto"/>
                      <w:lang w:eastAsia="zh-CN"/>
                    </w:rPr>
                    <w:t>规划2号废石堆放场位于规划V2露天采矿场北侧的宽缓平坦处，占地2.64公顷，地势较为平缓，地形坡度约3°</w:t>
                  </w:r>
                  <w:r>
                    <w:rPr>
                      <w:rFonts w:hint="eastAsia"/>
                      <w:color w:val="auto"/>
                    </w:rPr>
                    <w:t>～</w:t>
                  </w:r>
                  <w:r>
                    <w:rPr>
                      <w:rFonts w:hint="eastAsia"/>
                      <w:color w:val="auto"/>
                      <w:lang w:eastAsia="zh-CN"/>
                    </w:rPr>
                    <w:t>12°，设计最大堆放高度30米，单层堆高8米，设计3米安全平台，废石堆放边坡角30</w:t>
                  </w:r>
                  <w:r>
                    <w:rPr>
                      <w:rFonts w:hint="eastAsia"/>
                      <w:color w:val="auto"/>
                      <w:lang w:val="en-US" w:eastAsia="zh-CN"/>
                    </w:rPr>
                    <w:t>°</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rFonts w:hint="eastAsia" w:ascii="Times New Roman" w:hAnsi="Times New Roman" w:cs="Times New Roman"/>
                      <w:color w:val="auto"/>
                      <w:lang w:eastAsia="zh-CN"/>
                    </w:rPr>
                  </w:pPr>
                  <w:r>
                    <w:rPr>
                      <w:rFonts w:hint="eastAsia" w:ascii="Times New Roman" w:hAnsi="Times New Roman" w:cs="Times New Roman"/>
                      <w:color w:val="auto"/>
                      <w:lang w:eastAsia="zh-CN"/>
                    </w:rPr>
                    <w:t>矿区道路</w:t>
                  </w:r>
                </w:p>
              </w:tc>
              <w:tc>
                <w:tcPr>
                  <w:tcW w:w="4269" w:type="pct"/>
                  <w:gridSpan w:val="2"/>
                  <w:tcBorders>
                    <w:tl2br w:val="nil"/>
                    <w:tr2bl w:val="nil"/>
                  </w:tcBorders>
                  <w:vAlign w:val="center"/>
                </w:tcPr>
                <w:p>
                  <w:pPr>
                    <w:pStyle w:val="2"/>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进矿道路为现有道路；规划矿区道路连接各个地面设施以及规划露天采矿场地。全长约</w:t>
                  </w:r>
                  <w:r>
                    <w:rPr>
                      <w:rFonts w:hint="eastAsia" w:ascii="Times New Roman" w:hAnsi="Times New Roman" w:cs="Times New Roman"/>
                      <w:color w:val="auto"/>
                      <w:lang w:val="en-US" w:eastAsia="zh-CN"/>
                    </w:rPr>
                    <w:t>2.13</w:t>
                  </w:r>
                  <w:r>
                    <w:rPr>
                      <w:rFonts w:hint="eastAsia" w:ascii="Times New Roman" w:hAnsi="Times New Roman" w:cs="Times New Roman"/>
                      <w:color w:val="auto"/>
                      <w:lang w:eastAsia="zh-CN"/>
                    </w:rPr>
                    <w:t>km，路面宽4.5米，路基宽6.0米，占地面积约</w:t>
                  </w:r>
                  <w:r>
                    <w:rPr>
                      <w:rFonts w:hint="eastAsia" w:ascii="Times New Roman" w:hAnsi="Times New Roman" w:cs="Times New Roman"/>
                      <w:color w:val="auto"/>
                      <w:lang w:val="en-US" w:eastAsia="zh-CN"/>
                    </w:rPr>
                    <w:t>1.28</w:t>
                  </w:r>
                  <w:r>
                    <w:rPr>
                      <w:rFonts w:hint="eastAsia" w:ascii="Times New Roman" w:hAnsi="Times New Roman" w:cs="Times New Roman"/>
                      <w:color w:val="auto"/>
                      <w:lang w:eastAsia="zh-CN"/>
                    </w:rPr>
                    <w:t>公顷。泥结碎石路面，最大坡度≤9%，最小转弯半径15m，设计最高限速20km/h，出入沟坡度9%，满足Ⅲ级道路标准。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ind w:firstLine="0" w:firstLineChars="0"/>
                    <w:rPr>
                      <w:rFonts w:hint="eastAsia" w:ascii="Times New Roman" w:hAnsi="Times New Roman" w:cs="Times New Roman"/>
                      <w:color w:val="auto"/>
                      <w:lang w:eastAsia="zh-CN"/>
                    </w:rPr>
                  </w:pPr>
                  <w:r>
                    <w:rPr>
                      <w:rFonts w:hint="eastAsia" w:ascii="Times New Roman" w:hAnsi="Times New Roman" w:cs="Times New Roman"/>
                      <w:color w:val="auto"/>
                      <w:lang w:eastAsia="zh-CN"/>
                    </w:rPr>
                    <w:t>荒料堆放场</w:t>
                  </w:r>
                </w:p>
              </w:tc>
              <w:tc>
                <w:tcPr>
                  <w:tcW w:w="4269" w:type="pct"/>
                  <w:gridSpan w:val="2"/>
                  <w:tcBorders>
                    <w:tl2br w:val="nil"/>
                    <w:tr2bl w:val="nil"/>
                  </w:tcBorders>
                  <w:vAlign w:val="center"/>
                </w:tcPr>
                <w:p>
                  <w:pPr>
                    <w:pStyle w:val="2"/>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位于矿区中部，距离规划V2露天采矿场东侧约300m处界内较为平缓地带，坡度为3°~5°，占地面积约0.60公顷</w:t>
                  </w:r>
                  <w:r>
                    <w:rPr>
                      <w:rFonts w:hint="eastAsia"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ind w:firstLine="0" w:firstLineChars="0"/>
                    <w:rPr>
                      <w:rFonts w:hint="eastAsia" w:ascii="Times New Roman" w:hAnsi="Times New Roman" w:cs="Times New Roman"/>
                      <w:color w:val="auto"/>
                    </w:rPr>
                  </w:pPr>
                  <w:r>
                    <w:rPr>
                      <w:rFonts w:hint="eastAsia" w:ascii="Times New Roman" w:hAnsi="Times New Roman" w:cs="Times New Roman"/>
                      <w:color w:val="auto"/>
                    </w:rPr>
                    <w:t>表土堆放场</w:t>
                  </w:r>
                </w:p>
              </w:tc>
              <w:tc>
                <w:tcPr>
                  <w:tcW w:w="4269" w:type="pct"/>
                  <w:gridSpan w:val="2"/>
                  <w:tcBorders>
                    <w:tl2br w:val="nil"/>
                    <w:tr2bl w:val="nil"/>
                  </w:tcBorders>
                  <w:vAlign w:val="center"/>
                </w:tcPr>
                <w:p>
                  <w:pPr>
                    <w:pStyle w:val="2"/>
                    <w:ind w:firstLine="0" w:firstLineChars="0"/>
                    <w:rPr>
                      <w:rFonts w:hint="eastAsia" w:ascii="Times New Roman" w:hAnsi="Times New Roman" w:cs="Times New Roman"/>
                      <w:color w:val="auto"/>
                      <w:lang w:eastAsia="zh-CN"/>
                    </w:rPr>
                  </w:pPr>
                  <w:r>
                    <w:rPr>
                      <w:rFonts w:hint="eastAsia" w:ascii="Times New Roman" w:hAnsi="Times New Roman" w:cs="Times New Roman"/>
                      <w:color w:val="auto"/>
                    </w:rPr>
                    <w:t>规划表土堆放场位于矿部生活区北侧100米地势平坦处，</w:t>
                  </w:r>
                  <w:r>
                    <w:rPr>
                      <w:rFonts w:hint="eastAsia" w:ascii="Times New Roman" w:hAnsi="Times New Roman" w:cs="Times New Roman"/>
                      <w:color w:val="auto"/>
                      <w:lang w:val="en-US" w:eastAsia="zh-CN"/>
                    </w:rPr>
                    <w:t>占地面积约1.1公顷，</w:t>
                  </w:r>
                  <w:r>
                    <w:rPr>
                      <w:rFonts w:hint="eastAsia" w:ascii="Times New Roman" w:hAnsi="Times New Roman" w:cs="Times New Roman"/>
                      <w:color w:val="auto"/>
                    </w:rPr>
                    <w:t>原始地形坡度3~5°。对3处规划露天采矿场、废石堆放场、矿部生活区和工业场地进行表土剥离，剥离后的土源集中堆放在规划表土堆放场。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2"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蓄水</w:t>
                  </w:r>
                  <w:r>
                    <w:rPr>
                      <w:rFonts w:hint="eastAsia"/>
                      <w:color w:val="auto"/>
                      <w:lang w:eastAsia="zh-CN"/>
                    </w:rPr>
                    <w:t>箱</w:t>
                  </w:r>
                </w:p>
              </w:tc>
              <w:tc>
                <w:tcPr>
                  <w:tcW w:w="4269" w:type="pct"/>
                  <w:gridSpan w:val="2"/>
                  <w:tcBorders>
                    <w:tl2br w:val="nil"/>
                    <w:tr2bl w:val="nil"/>
                  </w:tcBorders>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生活区设有</w:t>
                  </w:r>
                  <w:r>
                    <w:rPr>
                      <w:rFonts w:hint="eastAsia"/>
                      <w:color w:val="auto"/>
                    </w:rPr>
                    <w:t>蓄水</w:t>
                  </w:r>
                  <w:r>
                    <w:rPr>
                      <w:rFonts w:hint="eastAsia"/>
                      <w:color w:val="auto"/>
                      <w:lang w:eastAsia="zh-CN"/>
                    </w:rPr>
                    <w:t>箱</w:t>
                  </w:r>
                  <w:r>
                    <w:rPr>
                      <w:rFonts w:hint="eastAsia"/>
                      <w:color w:val="auto"/>
                      <w:lang w:val="en-US" w:eastAsia="zh-CN"/>
                    </w:rPr>
                    <w:t>20</w:t>
                  </w:r>
                  <w:r>
                    <w:rPr>
                      <w:rFonts w:hint="eastAsia"/>
                      <w:color w:val="auto"/>
                    </w:rPr>
                    <w:t>m</w:t>
                  </w:r>
                  <w:r>
                    <w:rPr>
                      <w:rFonts w:hint="eastAsia"/>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70" w:type="pct"/>
                  <w:tcBorders>
                    <w:tl2br w:val="nil"/>
                    <w:tr2bl w:val="nil"/>
                  </w:tcBorders>
                  <w:vAlign w:val="center"/>
                </w:tcPr>
                <w:p>
                  <w:pPr>
                    <w:pStyle w:val="2"/>
                    <w:rPr>
                      <w:color w:val="auto"/>
                    </w:rPr>
                  </w:pPr>
                  <w:r>
                    <w:rPr>
                      <w:color w:val="auto"/>
                    </w:rPr>
                    <w:t>辅助工程</w:t>
                  </w:r>
                </w:p>
              </w:tc>
              <w:tc>
                <w:tcPr>
                  <w:tcW w:w="459" w:type="pct"/>
                  <w:tcBorders>
                    <w:tl2br w:val="nil"/>
                    <w:tr2bl w:val="nil"/>
                  </w:tcBorders>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s="Times New Roman"/>
                      <w:color w:val="auto"/>
                      <w:lang w:val="en-US" w:eastAsia="zh-CN"/>
                    </w:rPr>
                    <w:t>办</w:t>
                  </w:r>
                  <w:r>
                    <w:rPr>
                      <w:rFonts w:hint="eastAsia" w:ascii="Times New Roman" w:hAnsi="Times New Roman" w:eastAsia="宋体" w:cs="Times New Roman"/>
                      <w:color w:val="auto"/>
                      <w:lang w:val="en-US" w:eastAsia="zh-CN"/>
                    </w:rPr>
                    <w:t>公生活区</w:t>
                  </w:r>
                </w:p>
              </w:tc>
              <w:tc>
                <w:tcPr>
                  <w:tcW w:w="4269" w:type="pct"/>
                  <w:gridSpan w:val="2"/>
                  <w:tcBorders>
                    <w:tl2br w:val="nil"/>
                    <w:tr2bl w:val="nil"/>
                  </w:tcBorders>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eastAsia="宋体" w:cs="Times New Roman"/>
                      <w:color w:val="auto"/>
                    </w:rPr>
                    <w:t>位于矿区中部，距离</w:t>
                  </w:r>
                  <w:r>
                    <w:rPr>
                      <w:rFonts w:hint="eastAsia" w:cs="Times New Roman"/>
                      <w:color w:val="auto"/>
                      <w:lang w:eastAsia="zh-CN"/>
                    </w:rPr>
                    <w:t>规划</w:t>
                  </w:r>
                  <w:r>
                    <w:rPr>
                      <w:rFonts w:hint="eastAsia" w:ascii="Times New Roman" w:hAnsi="Times New Roman" w:eastAsia="宋体" w:cs="Times New Roman"/>
                      <w:color w:val="auto"/>
                    </w:rPr>
                    <w:t>工业场地东北侧约15m处界内；场地平坦开阔。占地面积约0.3公顷，地形坡度1°~3°</w:t>
                  </w:r>
                  <w:r>
                    <w:rPr>
                      <w:rFonts w:hint="eastAsia" w:cs="Times New Roman"/>
                      <w:color w:val="auto"/>
                      <w:lang w:eastAsia="zh-CN"/>
                    </w:rPr>
                    <w:t>，</w:t>
                  </w:r>
                  <w:r>
                    <w:rPr>
                      <w:rFonts w:hint="eastAsia" w:ascii="Times New Roman" w:hAnsi="Times New Roman" w:eastAsia="宋体" w:cs="Times New Roman"/>
                      <w:color w:val="auto"/>
                    </w:rPr>
                    <w:t>包括办公室、职工宿舍、食堂、澡堂等建筑物，生活区地面为水泥硬化，</w:t>
                  </w:r>
                  <w:r>
                    <w:rPr>
                      <w:rFonts w:hint="eastAsia" w:cs="Times New Roman"/>
                      <w:color w:val="auto"/>
                      <w:lang w:val="en-US" w:eastAsia="zh-CN"/>
                    </w:rPr>
                    <w:t>占地</w:t>
                  </w:r>
                  <w:r>
                    <w:rPr>
                      <w:rFonts w:hint="eastAsia" w:ascii="Times New Roman" w:hAnsi="Times New Roman" w:eastAsia="宋体" w:cs="Times New Roman"/>
                      <w:color w:val="auto"/>
                    </w:rPr>
                    <w:t>面积约0.</w:t>
                  </w:r>
                  <w:r>
                    <w:rPr>
                      <w:rFonts w:hint="eastAsia" w:cs="Times New Roman"/>
                      <w:color w:val="auto"/>
                      <w:lang w:val="en-US" w:eastAsia="zh-CN"/>
                    </w:rPr>
                    <w:t>3</w:t>
                  </w:r>
                  <w:r>
                    <w:rPr>
                      <w:rFonts w:hint="eastAsia" w:ascii="Times New Roman" w:hAnsi="Times New Roman" w:eastAsia="宋体" w:cs="Times New Roman"/>
                      <w:color w:val="auto"/>
                    </w:rPr>
                    <w:t>公顷。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restart"/>
                  <w:tcBorders>
                    <w:tl2br w:val="nil"/>
                    <w:tr2bl w:val="nil"/>
                  </w:tcBorders>
                  <w:vAlign w:val="center"/>
                </w:tcPr>
                <w:p>
                  <w:pPr>
                    <w:pStyle w:val="2"/>
                    <w:rPr>
                      <w:color w:val="auto"/>
                    </w:rPr>
                  </w:pPr>
                  <w:r>
                    <w:rPr>
                      <w:color w:val="auto"/>
                    </w:rPr>
                    <w:t>公用工程</w:t>
                  </w:r>
                </w:p>
              </w:tc>
              <w:tc>
                <w:tcPr>
                  <w:tcW w:w="459" w:type="pct"/>
                  <w:tcBorders>
                    <w:tl2br w:val="nil"/>
                    <w:tr2bl w:val="nil"/>
                  </w:tcBorders>
                  <w:vAlign w:val="center"/>
                </w:tcPr>
                <w:p>
                  <w:pPr>
                    <w:pStyle w:val="2"/>
                    <w:rPr>
                      <w:color w:val="auto"/>
                    </w:rPr>
                  </w:pPr>
                  <w:r>
                    <w:rPr>
                      <w:color w:val="auto"/>
                    </w:rPr>
                    <w:t>供水</w:t>
                  </w:r>
                </w:p>
              </w:tc>
              <w:tc>
                <w:tcPr>
                  <w:tcW w:w="4269" w:type="pct"/>
                  <w:gridSpan w:val="2"/>
                  <w:tcBorders>
                    <w:tl2br w:val="nil"/>
                    <w:tr2bl w:val="nil"/>
                  </w:tcBorders>
                  <w:vAlign w:val="center"/>
                </w:tcPr>
                <w:p>
                  <w:pPr>
                    <w:pStyle w:val="2"/>
                    <w:rPr>
                      <w:rFonts w:hint="eastAsia"/>
                      <w:color w:val="auto"/>
                      <w:lang w:eastAsia="zh-CN"/>
                    </w:rPr>
                  </w:pPr>
                  <w:r>
                    <w:rPr>
                      <w:rFonts w:hint="eastAsia"/>
                      <w:color w:val="auto"/>
                      <w:lang w:eastAsia="zh-CN"/>
                    </w:rPr>
                    <w:t>工业用水：</w:t>
                  </w:r>
                  <w:r>
                    <w:rPr>
                      <w:rFonts w:hint="eastAsia"/>
                      <w:color w:val="auto"/>
                      <w:lang w:val="en-US" w:eastAsia="zh-CN"/>
                    </w:rPr>
                    <w:t>主要为雨水收集水，利用周边天然山坑进行蓄水抽取</w:t>
                  </w:r>
                  <w:r>
                    <w:rPr>
                      <w:rFonts w:hint="eastAsia"/>
                      <w:color w:val="auto"/>
                      <w:lang w:eastAsia="zh-CN"/>
                    </w:rPr>
                    <w:t>；</w:t>
                  </w:r>
                  <w:r>
                    <w:rPr>
                      <w:color w:val="auto"/>
                    </w:rPr>
                    <w:t>矿山生活用水</w:t>
                  </w:r>
                  <w:r>
                    <w:rPr>
                      <w:rFonts w:hint="eastAsia"/>
                      <w:color w:val="auto"/>
                      <w:lang w:eastAsia="zh-CN"/>
                    </w:rPr>
                    <w:t>：</w:t>
                  </w:r>
                  <w:r>
                    <w:rPr>
                      <w:color w:val="auto"/>
                    </w:rPr>
                    <w:t>从距矿区约</w:t>
                  </w:r>
                  <w:r>
                    <w:rPr>
                      <w:rFonts w:hint="eastAsia"/>
                      <w:color w:val="auto"/>
                    </w:rPr>
                    <w:t>23</w:t>
                  </w:r>
                  <w:r>
                    <w:rPr>
                      <w:color w:val="auto"/>
                    </w:rPr>
                    <w:t>km的</w:t>
                  </w:r>
                  <w:r>
                    <w:rPr>
                      <w:rFonts w:hint="eastAsia"/>
                      <w:color w:val="auto"/>
                    </w:rPr>
                    <w:t>焉耆</w:t>
                  </w:r>
                  <w:r>
                    <w:rPr>
                      <w:color w:val="auto"/>
                    </w:rPr>
                    <w:t>县</w:t>
                  </w:r>
                  <w:r>
                    <w:rPr>
                      <w:rFonts w:hint="eastAsia"/>
                      <w:color w:val="auto"/>
                    </w:rPr>
                    <w:t>七个星镇</w:t>
                  </w:r>
                  <w:r>
                    <w:rPr>
                      <w:color w:val="auto"/>
                    </w:rPr>
                    <w:t>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7"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color w:val="auto"/>
                    </w:rPr>
                  </w:pPr>
                  <w:r>
                    <w:rPr>
                      <w:color w:val="auto"/>
                    </w:rPr>
                    <w:t>供电</w:t>
                  </w:r>
                </w:p>
              </w:tc>
              <w:tc>
                <w:tcPr>
                  <w:tcW w:w="4269" w:type="pct"/>
                  <w:gridSpan w:val="2"/>
                  <w:tcBorders>
                    <w:tl2br w:val="nil"/>
                    <w:tr2bl w:val="nil"/>
                  </w:tcBorders>
                  <w:vAlign w:val="center"/>
                </w:tcPr>
                <w:p>
                  <w:pPr>
                    <w:pStyle w:val="2"/>
                    <w:rPr>
                      <w:color w:val="auto"/>
                    </w:rPr>
                  </w:pPr>
                  <w:r>
                    <w:rPr>
                      <w:rFonts w:hint="eastAsia"/>
                      <w:color w:val="auto"/>
                    </w:rPr>
                    <w:t>接国家电网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color w:val="auto"/>
                    </w:rPr>
                  </w:pPr>
                  <w:r>
                    <w:rPr>
                      <w:color w:val="auto"/>
                    </w:rPr>
                    <w:t>供热</w:t>
                  </w:r>
                </w:p>
              </w:tc>
              <w:tc>
                <w:tcPr>
                  <w:tcW w:w="4269" w:type="pct"/>
                  <w:gridSpan w:val="2"/>
                  <w:tcBorders>
                    <w:tl2br w:val="nil"/>
                    <w:tr2bl w:val="nil"/>
                  </w:tcBorders>
                  <w:vAlign w:val="center"/>
                </w:tcPr>
                <w:p>
                  <w:pPr>
                    <w:pStyle w:val="2"/>
                    <w:rPr>
                      <w:rFonts w:hint="eastAsia" w:eastAsia="宋体"/>
                      <w:color w:val="auto"/>
                      <w:lang w:eastAsia="zh-CN"/>
                    </w:rPr>
                  </w:pPr>
                  <w:r>
                    <w:rPr>
                      <w:rFonts w:hint="eastAsia"/>
                      <w:color w:val="auto"/>
                      <w:lang w:eastAsia="zh-CN"/>
                    </w:rPr>
                    <w:t>电采暖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rFonts w:hint="eastAsia" w:eastAsia="宋体"/>
                      <w:color w:val="auto"/>
                      <w:lang w:eastAsia="zh-CN"/>
                    </w:rPr>
                  </w:pPr>
                  <w:r>
                    <w:rPr>
                      <w:rFonts w:hint="eastAsia"/>
                      <w:color w:val="auto"/>
                      <w:lang w:eastAsia="zh-CN"/>
                    </w:rPr>
                    <w:t>排水</w:t>
                  </w:r>
                </w:p>
              </w:tc>
              <w:tc>
                <w:tcPr>
                  <w:tcW w:w="4269" w:type="pct"/>
                  <w:gridSpan w:val="2"/>
                  <w:tcBorders>
                    <w:tl2br w:val="nil"/>
                    <w:tr2bl w:val="nil"/>
                  </w:tcBorders>
                  <w:vAlign w:val="center"/>
                </w:tcPr>
                <w:p>
                  <w:pPr>
                    <w:pStyle w:val="2"/>
                    <w:rPr>
                      <w:rFonts w:hint="eastAsia"/>
                      <w:color w:val="auto"/>
                      <w:lang w:eastAsia="zh-CN"/>
                    </w:rPr>
                  </w:pPr>
                  <w:r>
                    <w:rPr>
                      <w:rFonts w:hint="eastAsia"/>
                      <w:color w:val="auto"/>
                      <w:lang w:eastAsia="zh-CN"/>
                    </w:rPr>
                    <w:t>工业</w:t>
                  </w:r>
                  <w:r>
                    <w:rPr>
                      <w:rFonts w:hint="eastAsia"/>
                      <w:color w:val="auto"/>
                    </w:rPr>
                    <w:t>废水经三级循环沉淀池</w:t>
                  </w:r>
                  <w:r>
                    <w:rPr>
                      <w:rFonts w:hint="eastAsia"/>
                      <w:color w:val="auto"/>
                      <w:lang w:eastAsia="zh-CN"/>
                    </w:rPr>
                    <w:t>（</w:t>
                  </w:r>
                  <w:r>
                    <w:rPr>
                      <w:rFonts w:hint="eastAsia"/>
                      <w:color w:val="auto"/>
                      <w:lang w:val="en-US" w:eastAsia="zh-CN"/>
                    </w:rPr>
                    <w:t>300m</w:t>
                  </w:r>
                  <w:r>
                    <w:rPr>
                      <w:rFonts w:hint="eastAsia"/>
                      <w:color w:val="auto"/>
                      <w:vertAlign w:val="superscript"/>
                      <w:lang w:val="en-US" w:eastAsia="zh-CN"/>
                    </w:rPr>
                    <w:t>3</w:t>
                  </w:r>
                  <w:r>
                    <w:rPr>
                      <w:rFonts w:hint="eastAsia"/>
                      <w:color w:val="auto"/>
                      <w:lang w:eastAsia="zh-CN"/>
                    </w:rPr>
                    <w:t>）</w:t>
                  </w:r>
                  <w:r>
                    <w:rPr>
                      <w:rFonts w:hint="eastAsia"/>
                      <w:color w:val="auto"/>
                    </w:rPr>
                    <w:t>处理后回用，不外排</w:t>
                  </w:r>
                  <w:r>
                    <w:rPr>
                      <w:rFonts w:hint="eastAsia"/>
                      <w:color w:val="auto"/>
                      <w:lang w:eastAsia="zh-CN"/>
                    </w:rPr>
                    <w:t>，</w:t>
                  </w:r>
                  <w:r>
                    <w:rPr>
                      <w:rFonts w:hint="eastAsia"/>
                      <w:color w:val="auto"/>
                      <w:lang w:val="en-US" w:eastAsia="zh-CN"/>
                    </w:rPr>
                    <w:t>每个采矿点设置一套循环沉淀池，共三套</w:t>
                  </w:r>
                  <w:r>
                    <w:rPr>
                      <w:rFonts w:hint="eastAsia"/>
                      <w:color w:val="auto"/>
                      <w:lang w:eastAsia="zh-CN"/>
                    </w:rPr>
                    <w:t>；</w:t>
                  </w:r>
                </w:p>
                <w:p>
                  <w:pPr>
                    <w:pStyle w:val="2"/>
                    <w:rPr>
                      <w:rFonts w:hint="eastAsia"/>
                      <w:color w:val="auto"/>
                      <w:lang w:eastAsia="zh-CN"/>
                    </w:rPr>
                  </w:pP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70" w:type="pct"/>
                  <w:vMerge w:val="restart"/>
                  <w:tcBorders>
                    <w:tl2br w:val="nil"/>
                    <w:tr2bl w:val="nil"/>
                  </w:tcBorders>
                  <w:vAlign w:val="center"/>
                </w:tcPr>
                <w:p>
                  <w:pPr>
                    <w:pStyle w:val="2"/>
                    <w:rPr>
                      <w:color w:val="auto"/>
                    </w:rPr>
                  </w:pPr>
                  <w:r>
                    <w:rPr>
                      <w:color w:val="auto"/>
                    </w:rPr>
                    <w:t>环保工程</w:t>
                  </w:r>
                </w:p>
              </w:tc>
              <w:tc>
                <w:tcPr>
                  <w:tcW w:w="459" w:type="pct"/>
                  <w:tcBorders>
                    <w:tl2br w:val="nil"/>
                    <w:tr2bl w:val="nil"/>
                  </w:tcBorders>
                  <w:vAlign w:val="center"/>
                </w:tcPr>
                <w:p>
                  <w:pPr>
                    <w:pStyle w:val="2"/>
                    <w:rPr>
                      <w:rFonts w:hint="eastAsia"/>
                      <w:color w:val="auto"/>
                    </w:rPr>
                  </w:pPr>
                  <w:r>
                    <w:rPr>
                      <w:rFonts w:hint="eastAsia"/>
                      <w:color w:val="auto"/>
                    </w:rPr>
                    <w:t>废水治理</w:t>
                  </w:r>
                </w:p>
              </w:tc>
              <w:tc>
                <w:tcPr>
                  <w:tcW w:w="4269" w:type="pct"/>
                  <w:gridSpan w:val="2"/>
                  <w:tcBorders>
                    <w:tl2br w:val="nil"/>
                    <w:tr2bl w:val="nil"/>
                  </w:tcBorders>
                  <w:vAlign w:val="center"/>
                </w:tcPr>
                <w:p>
                  <w:pPr>
                    <w:pStyle w:val="2"/>
                    <w:rPr>
                      <w:rFonts w:hint="eastAsia"/>
                      <w:color w:val="auto"/>
                      <w:lang w:eastAsia="zh-CN"/>
                    </w:rPr>
                  </w:pPr>
                  <w:r>
                    <w:rPr>
                      <w:rFonts w:hint="eastAsia"/>
                      <w:color w:val="auto"/>
                      <w:lang w:eastAsia="zh-CN"/>
                    </w:rPr>
                    <w:t>工业</w:t>
                  </w:r>
                  <w:r>
                    <w:rPr>
                      <w:rFonts w:hint="eastAsia"/>
                      <w:color w:val="auto"/>
                    </w:rPr>
                    <w:t>废水经三级循环沉淀池</w:t>
                  </w:r>
                  <w:r>
                    <w:rPr>
                      <w:rFonts w:hint="eastAsia"/>
                      <w:color w:val="auto"/>
                      <w:lang w:eastAsia="zh-CN"/>
                    </w:rPr>
                    <w:t>（</w:t>
                  </w:r>
                  <w:r>
                    <w:rPr>
                      <w:rFonts w:hint="eastAsia"/>
                      <w:color w:val="auto"/>
                      <w:lang w:val="en-US" w:eastAsia="zh-CN"/>
                    </w:rPr>
                    <w:t>300m</w:t>
                  </w:r>
                  <w:r>
                    <w:rPr>
                      <w:rFonts w:hint="eastAsia"/>
                      <w:color w:val="auto"/>
                      <w:vertAlign w:val="superscript"/>
                      <w:lang w:val="en-US" w:eastAsia="zh-CN"/>
                    </w:rPr>
                    <w:t>3</w:t>
                  </w:r>
                  <w:r>
                    <w:rPr>
                      <w:rFonts w:hint="eastAsia"/>
                      <w:color w:val="auto"/>
                      <w:lang w:eastAsia="zh-CN"/>
                    </w:rPr>
                    <w:t>）</w:t>
                  </w:r>
                  <w:r>
                    <w:rPr>
                      <w:rFonts w:hint="eastAsia"/>
                      <w:color w:val="auto"/>
                    </w:rPr>
                    <w:t>处理后回用，不外排</w:t>
                  </w:r>
                  <w:r>
                    <w:rPr>
                      <w:rFonts w:hint="eastAsia"/>
                      <w:color w:val="auto"/>
                      <w:lang w:eastAsia="zh-CN"/>
                    </w:rPr>
                    <w:t>；</w:t>
                  </w:r>
                </w:p>
                <w:p>
                  <w:pPr>
                    <w:pStyle w:val="2"/>
                    <w:rPr>
                      <w:rFonts w:hint="eastAsia" w:eastAsia="宋体"/>
                      <w:color w:val="auto"/>
                      <w:lang w:val="en-US" w:eastAsia="zh-CN"/>
                    </w:rPr>
                  </w:pP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color w:val="auto"/>
                    </w:rPr>
                  </w:pPr>
                  <w:r>
                    <w:rPr>
                      <w:color w:val="auto"/>
                    </w:rPr>
                    <w:t>废气治理</w:t>
                  </w:r>
                </w:p>
              </w:tc>
              <w:tc>
                <w:tcPr>
                  <w:tcW w:w="4269" w:type="pct"/>
                  <w:gridSpan w:val="2"/>
                  <w:tcBorders>
                    <w:tl2br w:val="nil"/>
                    <w:tr2bl w:val="nil"/>
                  </w:tcBorders>
                  <w:vAlign w:val="center"/>
                </w:tcPr>
                <w:p>
                  <w:pPr>
                    <w:pStyle w:val="2"/>
                    <w:rPr>
                      <w:rFonts w:hint="eastAsia" w:eastAsia="宋体"/>
                      <w:color w:val="auto"/>
                      <w:lang w:val="en-US" w:eastAsia="zh-CN"/>
                    </w:rPr>
                  </w:pPr>
                  <w:r>
                    <w:rPr>
                      <w:rFonts w:hint="eastAsia"/>
                      <w:color w:val="auto"/>
                      <w:lang w:val="en-US" w:eastAsia="zh-CN"/>
                    </w:rPr>
                    <w:t>表土覆盖剥离采用洒水降尘，</w:t>
                  </w:r>
                  <w:r>
                    <w:rPr>
                      <w:rFonts w:hint="eastAsia"/>
                      <w:color w:val="auto"/>
                    </w:rPr>
                    <w:t>运输车辆加盖篷布，</w:t>
                  </w:r>
                  <w:r>
                    <w:rPr>
                      <w:color w:val="auto"/>
                    </w:rPr>
                    <w:t>道路采用</w:t>
                  </w:r>
                  <w:r>
                    <w:rPr>
                      <w:rFonts w:hint="eastAsia"/>
                      <w:color w:val="auto"/>
                      <w:lang w:eastAsia="zh-CN"/>
                    </w:rPr>
                    <w:t>泥结</w:t>
                  </w:r>
                  <w:r>
                    <w:rPr>
                      <w:color w:val="auto"/>
                    </w:rPr>
                    <w:t>碎石</w:t>
                  </w:r>
                  <w:r>
                    <w:rPr>
                      <w:rFonts w:hint="eastAsia"/>
                      <w:color w:val="auto"/>
                      <w:lang w:eastAsia="zh-CN"/>
                    </w:rPr>
                    <w:t>路面，定期</w:t>
                  </w:r>
                  <w:r>
                    <w:rPr>
                      <w:color w:val="auto"/>
                    </w:rPr>
                    <w:t>洒水抑尘</w:t>
                  </w:r>
                  <w:r>
                    <w:rPr>
                      <w:rFonts w:hint="eastAsia"/>
                      <w:color w:val="auto"/>
                      <w:lang w:eastAsia="zh-CN"/>
                    </w:rPr>
                    <w:t>；堆场、道路定期洒水；锯切、钻孔采用湿法作业；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70" w:type="pct"/>
                  <w:vMerge w:val="continue"/>
                  <w:tcBorders>
                    <w:tl2br w:val="nil"/>
                    <w:tr2bl w:val="nil"/>
                  </w:tcBorders>
                  <w:vAlign w:val="center"/>
                </w:tcPr>
                <w:p>
                  <w:pPr>
                    <w:pStyle w:val="2"/>
                    <w:rPr>
                      <w:color w:val="auto"/>
                    </w:rPr>
                  </w:pPr>
                </w:p>
              </w:tc>
              <w:tc>
                <w:tcPr>
                  <w:tcW w:w="459" w:type="pct"/>
                  <w:vMerge w:val="restart"/>
                  <w:tcBorders>
                    <w:tl2br w:val="nil"/>
                    <w:tr2bl w:val="nil"/>
                  </w:tcBorders>
                  <w:vAlign w:val="center"/>
                </w:tcPr>
                <w:p>
                  <w:pPr>
                    <w:pStyle w:val="2"/>
                    <w:rPr>
                      <w:color w:val="auto"/>
                    </w:rPr>
                  </w:pPr>
                  <w:r>
                    <w:rPr>
                      <w:color w:val="auto"/>
                    </w:rPr>
                    <w:t>固废治理</w:t>
                  </w:r>
                </w:p>
              </w:tc>
              <w:tc>
                <w:tcPr>
                  <w:tcW w:w="525" w:type="pct"/>
                  <w:tcBorders>
                    <w:tl2br w:val="nil"/>
                    <w:tr2bl w:val="nil"/>
                  </w:tcBorders>
                  <w:vAlign w:val="center"/>
                </w:tcPr>
                <w:p>
                  <w:pPr>
                    <w:pStyle w:val="2"/>
                    <w:rPr>
                      <w:color w:val="auto"/>
                    </w:rPr>
                  </w:pPr>
                  <w:r>
                    <w:rPr>
                      <w:color w:val="auto"/>
                    </w:rPr>
                    <w:t>生活垃圾</w:t>
                  </w:r>
                </w:p>
              </w:tc>
              <w:tc>
                <w:tcPr>
                  <w:tcW w:w="3743" w:type="pct"/>
                  <w:tcBorders>
                    <w:tl2br w:val="nil"/>
                    <w:tr2bl w:val="nil"/>
                  </w:tcBorders>
                  <w:vAlign w:val="center"/>
                </w:tcPr>
                <w:p>
                  <w:pPr>
                    <w:pStyle w:val="2"/>
                    <w:rPr>
                      <w:rFonts w:hint="eastAsia" w:eastAsia="宋体"/>
                      <w:color w:val="auto"/>
                      <w:lang w:eastAsia="zh-CN"/>
                    </w:rPr>
                  </w:pPr>
                  <w:r>
                    <w:rPr>
                      <w:rFonts w:hint="eastAsia"/>
                      <w:color w:val="auto"/>
                    </w:rPr>
                    <w:t>集中收集后</w:t>
                  </w:r>
                  <w:r>
                    <w:rPr>
                      <w:rFonts w:hint="eastAsia"/>
                      <w:color w:val="auto"/>
                      <w:lang w:eastAsia="zh-CN"/>
                    </w:rPr>
                    <w:t>，定期清运至就近生活垃圾填埋场处理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2"/>
                    <w:rPr>
                      <w:color w:val="auto"/>
                    </w:rPr>
                  </w:pPr>
                </w:p>
              </w:tc>
              <w:tc>
                <w:tcPr>
                  <w:tcW w:w="459" w:type="pct"/>
                  <w:vMerge w:val="continue"/>
                  <w:tcBorders>
                    <w:tl2br w:val="nil"/>
                    <w:tr2bl w:val="nil"/>
                  </w:tcBorders>
                  <w:vAlign w:val="center"/>
                </w:tcPr>
                <w:p>
                  <w:pPr>
                    <w:pStyle w:val="2"/>
                    <w:rPr>
                      <w:color w:val="auto"/>
                    </w:rPr>
                  </w:pPr>
                </w:p>
              </w:tc>
              <w:tc>
                <w:tcPr>
                  <w:tcW w:w="525" w:type="pct"/>
                  <w:tcBorders>
                    <w:tl2br w:val="nil"/>
                    <w:tr2bl w:val="nil"/>
                  </w:tcBorders>
                  <w:vAlign w:val="center"/>
                </w:tcPr>
                <w:p>
                  <w:pPr>
                    <w:pStyle w:val="2"/>
                    <w:rPr>
                      <w:rFonts w:hint="default" w:eastAsia="宋体"/>
                      <w:color w:val="auto"/>
                      <w:lang w:val="en-US" w:eastAsia="zh-CN"/>
                    </w:rPr>
                  </w:pPr>
                  <w:r>
                    <w:rPr>
                      <w:rFonts w:hint="eastAsia"/>
                      <w:color w:val="auto"/>
                      <w:lang w:val="en-US" w:eastAsia="zh-CN"/>
                    </w:rPr>
                    <w:t>一般工业固废</w:t>
                  </w:r>
                </w:p>
              </w:tc>
              <w:tc>
                <w:tcPr>
                  <w:tcW w:w="3743" w:type="pct"/>
                  <w:tcBorders>
                    <w:tl2br w:val="nil"/>
                    <w:tr2bl w:val="nil"/>
                  </w:tcBorders>
                  <w:vAlign w:val="center"/>
                </w:tcPr>
                <w:p>
                  <w:pPr>
                    <w:pStyle w:val="2"/>
                    <w:rPr>
                      <w:rFonts w:hint="eastAsia" w:eastAsia="宋体"/>
                      <w:color w:val="auto"/>
                      <w:lang w:eastAsia="zh-CN"/>
                    </w:rPr>
                  </w:pPr>
                  <w:r>
                    <w:rPr>
                      <w:rFonts w:hint="eastAsia"/>
                      <w:color w:val="auto"/>
                    </w:rPr>
                    <w:t>生产过程中产生的沉淀泥</w:t>
                  </w:r>
                  <w:r>
                    <w:rPr>
                      <w:rFonts w:hint="eastAsia"/>
                      <w:color w:val="auto"/>
                      <w:lang w:eastAsia="zh-CN"/>
                    </w:rPr>
                    <w:t>沙</w:t>
                  </w:r>
                  <w:r>
                    <w:rPr>
                      <w:rFonts w:hint="eastAsia"/>
                      <w:color w:val="auto"/>
                    </w:rPr>
                    <w:t>和</w:t>
                  </w:r>
                  <w:r>
                    <w:rPr>
                      <w:rFonts w:hint="eastAsia"/>
                      <w:color w:val="auto"/>
                      <w:lang w:eastAsia="zh-CN"/>
                    </w:rPr>
                    <w:t>废石</w:t>
                  </w:r>
                  <w:r>
                    <w:rPr>
                      <w:rFonts w:hint="eastAsia"/>
                      <w:color w:val="auto"/>
                    </w:rPr>
                    <w:t>，定期清运</w:t>
                  </w:r>
                  <w:r>
                    <w:rPr>
                      <w:rFonts w:hint="eastAsia"/>
                      <w:color w:val="auto"/>
                      <w:lang w:eastAsia="zh-CN"/>
                    </w:rPr>
                    <w:t>至</w:t>
                  </w:r>
                  <w:r>
                    <w:rPr>
                      <w:rFonts w:hint="eastAsia"/>
                      <w:color w:val="auto"/>
                    </w:rPr>
                    <w:t>废石场堆存</w:t>
                  </w:r>
                  <w:r>
                    <w:rPr>
                      <w:rFonts w:hint="eastAsia"/>
                      <w:color w:val="auto"/>
                      <w:lang w:eastAsia="zh-CN"/>
                    </w:rPr>
                    <w:t>暂存</w:t>
                  </w:r>
                  <w:r>
                    <w:rPr>
                      <w:rFonts w:hint="eastAsia"/>
                      <w:color w:val="auto"/>
                    </w:rPr>
                    <w:t>，</w:t>
                  </w:r>
                  <w:r>
                    <w:rPr>
                      <w:rFonts w:hint="eastAsia"/>
                      <w:color w:val="auto"/>
                      <w:lang w:eastAsia="zh-CN"/>
                    </w:rPr>
                    <w:t>闭矿后</w:t>
                  </w:r>
                  <w:r>
                    <w:rPr>
                      <w:rFonts w:hint="eastAsia"/>
                      <w:color w:val="auto"/>
                      <w:szCs w:val="21"/>
                    </w:rPr>
                    <w:t>全部</w:t>
                  </w:r>
                  <w:r>
                    <w:rPr>
                      <w:color w:val="auto"/>
                      <w:szCs w:val="21"/>
                    </w:rPr>
                    <w:t>回填采坑</w:t>
                  </w:r>
                  <w:r>
                    <w:rPr>
                      <w:rFonts w:hint="eastAsia"/>
                      <w:color w:val="auto"/>
                      <w:szCs w:val="21"/>
                      <w:lang w:eastAsia="zh-CN"/>
                    </w:rPr>
                    <w:t>；</w:t>
                  </w:r>
                  <w:r>
                    <w:rPr>
                      <w:rFonts w:hint="eastAsia"/>
                      <w:color w:val="auto"/>
                      <w:lang w:val="en-US" w:eastAsia="zh-CN"/>
                    </w:rPr>
                    <w:t>报废机械设备零部件直接外售。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 w:type="pct"/>
                  <w:vMerge w:val="continue"/>
                  <w:tcBorders>
                    <w:tl2br w:val="nil"/>
                    <w:tr2bl w:val="nil"/>
                  </w:tcBorders>
                  <w:vAlign w:val="center"/>
                </w:tcPr>
                <w:p>
                  <w:pPr>
                    <w:pStyle w:val="2"/>
                    <w:rPr>
                      <w:color w:val="auto"/>
                    </w:rPr>
                  </w:pPr>
                </w:p>
              </w:tc>
              <w:tc>
                <w:tcPr>
                  <w:tcW w:w="459" w:type="pct"/>
                  <w:vMerge w:val="continue"/>
                  <w:tcBorders>
                    <w:tl2br w:val="nil"/>
                    <w:tr2bl w:val="nil"/>
                  </w:tcBorders>
                  <w:vAlign w:val="center"/>
                </w:tcPr>
                <w:p>
                  <w:pPr>
                    <w:pStyle w:val="2"/>
                    <w:rPr>
                      <w:color w:val="auto"/>
                    </w:rPr>
                  </w:pPr>
                </w:p>
              </w:tc>
              <w:tc>
                <w:tcPr>
                  <w:tcW w:w="525" w:type="pct"/>
                  <w:tcBorders>
                    <w:tl2br w:val="nil"/>
                    <w:tr2bl w:val="nil"/>
                  </w:tcBorders>
                  <w:vAlign w:val="center"/>
                </w:tcPr>
                <w:p>
                  <w:pPr>
                    <w:pStyle w:val="2"/>
                    <w:rPr>
                      <w:color w:val="auto"/>
                    </w:rPr>
                  </w:pPr>
                  <w:r>
                    <w:rPr>
                      <w:rFonts w:hint="eastAsia"/>
                      <w:color w:val="auto"/>
                    </w:rPr>
                    <w:t>危险废物</w:t>
                  </w:r>
                </w:p>
              </w:tc>
              <w:tc>
                <w:tcPr>
                  <w:tcW w:w="3743" w:type="pct"/>
                  <w:tcBorders>
                    <w:tl2br w:val="nil"/>
                    <w:tr2bl w:val="nil"/>
                  </w:tcBorders>
                  <w:vAlign w:val="center"/>
                </w:tcPr>
                <w:p>
                  <w:pPr>
                    <w:pStyle w:val="2"/>
                    <w:rPr>
                      <w:rFonts w:hint="eastAsia" w:eastAsia="宋体"/>
                      <w:color w:val="auto"/>
                      <w:lang w:eastAsia="zh-CN"/>
                    </w:rPr>
                  </w:pPr>
                  <w:r>
                    <w:rPr>
                      <w:rFonts w:hint="eastAsia"/>
                      <w:color w:val="auto"/>
                      <w:lang w:eastAsia="zh-CN"/>
                    </w:rPr>
                    <w:t>废润滑油、废油桶、含油抹布、劳动用品</w:t>
                  </w:r>
                  <w:r>
                    <w:rPr>
                      <w:color w:val="auto"/>
                    </w:rPr>
                    <w:t>集中收集暂存在</w:t>
                  </w:r>
                  <w:r>
                    <w:rPr>
                      <w:rFonts w:hint="eastAsia"/>
                      <w:color w:val="auto"/>
                      <w:lang w:eastAsia="zh-CN"/>
                    </w:rPr>
                    <w:t>危险废物贮存库</w:t>
                  </w:r>
                  <w:r>
                    <w:rPr>
                      <w:color w:val="auto"/>
                    </w:rPr>
                    <w:t>（1</w:t>
                  </w:r>
                  <w:r>
                    <w:rPr>
                      <w:rFonts w:hint="eastAsia"/>
                      <w:color w:val="auto"/>
                      <w:lang w:val="en-US" w:eastAsia="zh-CN"/>
                    </w:rPr>
                    <w:t>5</w:t>
                  </w:r>
                  <w:r>
                    <w:rPr>
                      <w:color w:val="auto"/>
                    </w:rPr>
                    <w:t>m</w:t>
                  </w:r>
                  <w:r>
                    <w:rPr>
                      <w:color w:val="auto"/>
                      <w:vertAlign w:val="superscript"/>
                    </w:rPr>
                    <w:t>2</w:t>
                  </w:r>
                  <w:r>
                    <w:rPr>
                      <w:color w:val="auto"/>
                    </w:rPr>
                    <w:t>，设置在机修间内），委托有资质的单位处理</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rFonts w:hint="eastAsia" w:eastAsia="宋体"/>
                      <w:color w:val="auto"/>
                      <w:lang w:eastAsia="zh-CN"/>
                    </w:rPr>
                  </w:pPr>
                  <w:r>
                    <w:rPr>
                      <w:rFonts w:hint="eastAsia"/>
                      <w:color w:val="auto"/>
                      <w:lang w:eastAsia="zh-CN"/>
                    </w:rPr>
                    <w:t>噪声治理</w:t>
                  </w:r>
                </w:p>
              </w:tc>
              <w:tc>
                <w:tcPr>
                  <w:tcW w:w="4269" w:type="pct"/>
                  <w:gridSpan w:val="2"/>
                  <w:tcBorders>
                    <w:tl2br w:val="nil"/>
                    <w:tr2bl w:val="nil"/>
                  </w:tcBorders>
                  <w:vAlign w:val="center"/>
                </w:tcPr>
                <w:p>
                  <w:pPr>
                    <w:pStyle w:val="2"/>
                    <w:rPr>
                      <w:rFonts w:hint="eastAsia"/>
                      <w:color w:val="auto"/>
                      <w:lang w:eastAsia="zh-CN"/>
                    </w:rPr>
                  </w:pPr>
                  <w:r>
                    <w:rPr>
                      <w:rFonts w:hint="eastAsia"/>
                      <w:color w:val="auto"/>
                      <w:lang w:eastAsia="zh-CN"/>
                    </w:rPr>
                    <w:t>选用低噪声设备，高噪声设备基础设置减振垫，定期养护，工人发放耳塞。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rFonts w:hint="eastAsia"/>
                      <w:color w:val="auto"/>
                      <w:lang w:eastAsia="zh-CN"/>
                    </w:rPr>
                  </w:pPr>
                  <w:r>
                    <w:rPr>
                      <w:rFonts w:hint="eastAsia"/>
                      <w:color w:val="auto"/>
                      <w:lang w:eastAsia="zh-CN"/>
                    </w:rPr>
                    <w:t>风险防治</w:t>
                  </w:r>
                </w:p>
              </w:tc>
              <w:tc>
                <w:tcPr>
                  <w:tcW w:w="4269" w:type="pct"/>
                  <w:gridSpan w:val="2"/>
                  <w:tcBorders>
                    <w:tl2br w:val="nil"/>
                    <w:tr2bl w:val="nil"/>
                  </w:tcBorders>
                  <w:vAlign w:val="center"/>
                </w:tcPr>
                <w:p>
                  <w:pPr>
                    <w:pStyle w:val="2"/>
                    <w:rPr>
                      <w:rFonts w:hint="eastAsia"/>
                      <w:color w:val="auto"/>
                      <w:lang w:eastAsia="zh-CN"/>
                    </w:rPr>
                  </w:pPr>
                  <w:r>
                    <w:rPr>
                      <w:rFonts w:hint="eastAsia"/>
                      <w:color w:val="auto"/>
                      <w:lang w:val="en-US" w:eastAsia="zh-CN"/>
                    </w:rPr>
                    <w:t>设置监控系统，专人检查，储备应急物资，编制应急预案；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rFonts w:hint="default"/>
                      <w:color w:val="auto"/>
                      <w:lang w:val="en-US" w:eastAsia="zh-CN"/>
                    </w:rPr>
                  </w:pPr>
                  <w:r>
                    <w:rPr>
                      <w:rFonts w:hint="eastAsia"/>
                      <w:color w:val="auto"/>
                      <w:lang w:val="en-US" w:eastAsia="zh-CN"/>
                    </w:rPr>
                    <w:t>土壤、地下水</w:t>
                  </w:r>
                </w:p>
              </w:tc>
              <w:tc>
                <w:tcPr>
                  <w:tcW w:w="4269" w:type="pct"/>
                  <w:gridSpan w:val="2"/>
                  <w:tcBorders>
                    <w:tl2br w:val="nil"/>
                    <w:tr2bl w:val="nil"/>
                  </w:tcBorders>
                  <w:vAlign w:val="center"/>
                </w:tcPr>
                <w:p>
                  <w:pPr>
                    <w:pStyle w:val="2"/>
                    <w:rPr>
                      <w:rFonts w:hint="eastAsia"/>
                      <w:color w:val="auto"/>
                      <w:lang w:val="en-US" w:eastAsia="zh-CN"/>
                    </w:rPr>
                  </w:pPr>
                  <w:r>
                    <w:rPr>
                      <w:rFonts w:hint="eastAsia"/>
                      <w:color w:val="auto"/>
                      <w:lang w:val="en-US" w:eastAsia="zh-CN"/>
                    </w:rPr>
                    <w:t>采取分区防渗：</w:t>
                  </w:r>
                  <w:r>
                    <w:rPr>
                      <w:rFonts w:hint="eastAsia"/>
                      <w:color w:val="auto"/>
                      <w:lang w:eastAsia="zh-CN"/>
                    </w:rPr>
                    <w:t>重点防渗区包括危险废物贮存库；一般防渗区包括工业循环水池、生活污水</w:t>
                  </w:r>
                  <w:r>
                    <w:rPr>
                      <w:rFonts w:hint="eastAsia"/>
                      <w:color w:val="auto"/>
                      <w:lang w:val="en-US" w:eastAsia="zh-CN"/>
                    </w:rPr>
                    <w:t>防渗</w:t>
                  </w:r>
                  <w:r>
                    <w:rPr>
                      <w:rFonts w:hint="eastAsia"/>
                      <w:color w:val="auto"/>
                      <w:lang w:eastAsia="zh-CN"/>
                    </w:rPr>
                    <w:t>化粪池；简单防渗区包括道路、生活区，仅做一般地面硬化。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2"/>
                    <w:rPr>
                      <w:color w:val="auto"/>
                    </w:rPr>
                  </w:pPr>
                </w:p>
              </w:tc>
              <w:tc>
                <w:tcPr>
                  <w:tcW w:w="459" w:type="pct"/>
                  <w:tcBorders>
                    <w:tl2br w:val="nil"/>
                    <w:tr2bl w:val="nil"/>
                  </w:tcBorders>
                  <w:vAlign w:val="center"/>
                </w:tcPr>
                <w:p>
                  <w:pPr>
                    <w:pStyle w:val="2"/>
                    <w:rPr>
                      <w:color w:val="auto"/>
                    </w:rPr>
                  </w:pPr>
                  <w:r>
                    <w:rPr>
                      <w:color w:val="auto"/>
                    </w:rPr>
                    <w:t>生态治理</w:t>
                  </w:r>
                </w:p>
              </w:tc>
              <w:tc>
                <w:tcPr>
                  <w:tcW w:w="4269" w:type="pct"/>
                  <w:gridSpan w:val="2"/>
                  <w:tcBorders>
                    <w:tl2br w:val="nil"/>
                    <w:tr2bl w:val="nil"/>
                  </w:tcBorders>
                  <w:vAlign w:val="center"/>
                </w:tcPr>
                <w:p>
                  <w:pPr>
                    <w:pStyle w:val="2"/>
                    <w:rPr>
                      <w:color w:val="auto"/>
                    </w:rPr>
                  </w:pPr>
                  <w:r>
                    <w:rPr>
                      <w:rFonts w:hint="eastAsia"/>
                      <w:color w:val="auto"/>
                      <w:lang w:eastAsia="zh-CN"/>
                    </w:rPr>
                    <w:t>项目区内可利用的表土进场剥离，单独堆存，分层堆放，加强防护及管理，确保有效回用；</w:t>
                  </w:r>
                  <w:r>
                    <w:rPr>
                      <w:rFonts w:hint="eastAsia"/>
                      <w:color w:val="auto"/>
                      <w:lang w:val="en-US" w:eastAsia="zh-CN"/>
                    </w:rPr>
                    <w:t>设置截排水沟，减少水土流失；</w:t>
                  </w:r>
                  <w:r>
                    <w:rPr>
                      <w:color w:val="auto"/>
                    </w:rPr>
                    <w:t>减少临时占地，禁止越界开采；开采结束后对矿</w:t>
                  </w:r>
                  <w:r>
                    <w:rPr>
                      <w:rFonts w:hint="eastAsia"/>
                      <w:color w:val="auto"/>
                    </w:rPr>
                    <w:t>区</w:t>
                  </w:r>
                  <w:r>
                    <w:rPr>
                      <w:color w:val="auto"/>
                    </w:rPr>
                    <w:t>临时建构筑物进行拆除</w:t>
                  </w:r>
                  <w:r>
                    <w:rPr>
                      <w:rFonts w:hint="eastAsia"/>
                      <w:color w:val="auto"/>
                    </w:rPr>
                    <w:t>，废弃物拉运至采坑进行回填，同时进行</w:t>
                  </w:r>
                  <w:r>
                    <w:rPr>
                      <w:color w:val="auto"/>
                    </w:rPr>
                    <w:t>地貌恢复，</w:t>
                  </w:r>
                  <w:r>
                    <w:rPr>
                      <w:rFonts w:hint="eastAsia"/>
                      <w:color w:val="auto"/>
                      <w:lang w:eastAsia="zh-CN"/>
                    </w:rPr>
                    <w:t>植被恢复，</w:t>
                  </w:r>
                  <w:r>
                    <w:rPr>
                      <w:color w:val="auto"/>
                    </w:rPr>
                    <w:t>土地复垦</w:t>
                  </w:r>
                  <w:r>
                    <w:rPr>
                      <w:rFonts w:hint="eastAsia"/>
                      <w:color w:val="auto"/>
                      <w:lang w:eastAsia="zh-CN"/>
                    </w:rPr>
                    <w:t>；为防止外来物种入侵，植被恢复优先使用原生表土和选用乡土物种</w:t>
                  </w:r>
                  <w:r>
                    <w:rPr>
                      <w:color w:val="auto"/>
                    </w:rPr>
                    <w:t>。</w:t>
                  </w:r>
                </w:p>
              </w:tc>
            </w:tr>
          </w:tbl>
          <w:p>
            <w:pPr>
              <w:spacing w:line="240" w:lineRule="auto"/>
              <w:ind w:firstLine="422"/>
              <w:rPr>
                <w:rFonts w:ascii="仿宋_GB2312" w:hAnsi="宋体" w:eastAsia="仿宋_GB2312"/>
                <w:bCs/>
                <w:color w:val="auto"/>
                <w:kern w:val="0"/>
                <w:sz w:val="28"/>
                <w:szCs w:val="28"/>
              </w:rPr>
            </w:pPr>
            <w:r>
              <w:rPr>
                <w:rFonts w:hint="eastAsia"/>
                <w:b/>
                <w:color w:val="auto"/>
                <w:sz w:val="21"/>
                <w:szCs w:val="20"/>
              </w:rPr>
              <w:t>表</w:t>
            </w:r>
            <w:r>
              <w:rPr>
                <w:rFonts w:hint="eastAsia"/>
                <w:b/>
                <w:color w:val="auto"/>
                <w:sz w:val="21"/>
                <w:szCs w:val="20"/>
                <w:lang w:val="en-US" w:eastAsia="zh-CN"/>
              </w:rPr>
              <w:t>2-3</w:t>
            </w:r>
            <w:r>
              <w:rPr>
                <w:rFonts w:hint="eastAsia"/>
                <w:b/>
                <w:color w:val="auto"/>
                <w:sz w:val="21"/>
                <w:szCs w:val="20"/>
              </w:rPr>
              <w:t xml:space="preserve">  </w:t>
            </w:r>
            <w:r>
              <w:rPr>
                <w:b/>
                <w:color w:val="auto"/>
                <w:sz w:val="21"/>
                <w:szCs w:val="20"/>
              </w:rPr>
              <w:t xml:space="preserve">               </w:t>
            </w:r>
            <w:r>
              <w:rPr>
                <w:rFonts w:hint="eastAsia"/>
                <w:b/>
                <w:color w:val="auto"/>
                <w:sz w:val="21"/>
                <w:szCs w:val="20"/>
              </w:rPr>
              <w:t xml:space="preserve">   </w:t>
            </w:r>
            <w:r>
              <w:rPr>
                <w:b/>
                <w:color w:val="auto"/>
                <w:sz w:val="21"/>
                <w:szCs w:val="20"/>
              </w:rPr>
              <w:t xml:space="preserve"> </w:t>
            </w:r>
            <w:r>
              <w:rPr>
                <w:rFonts w:hint="eastAsia"/>
                <w:b/>
                <w:color w:val="auto"/>
                <w:sz w:val="21"/>
                <w:szCs w:val="20"/>
              </w:rPr>
              <w:t xml:space="preserve">主要构筑物一览表     </w:t>
            </w:r>
            <w:r>
              <w:rPr>
                <w:rFonts w:hint="eastAsia" w:ascii="仿宋_GB2312" w:hAnsi="宋体" w:eastAsia="仿宋_GB2312"/>
                <w:color w:val="auto"/>
                <w:sz w:val="28"/>
                <w:szCs w:val="28"/>
              </w:rPr>
              <w:t xml:space="preserve">  </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812"/>
              <w:gridCol w:w="1884"/>
              <w:gridCol w:w="1527"/>
              <w:gridCol w:w="1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0" w:type="pct"/>
                  <w:vAlign w:val="center"/>
                </w:tcPr>
                <w:p>
                  <w:pPr>
                    <w:pStyle w:val="2"/>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序号</w:t>
                  </w:r>
                </w:p>
              </w:tc>
              <w:tc>
                <w:tcPr>
                  <w:tcW w:w="1154" w:type="pct"/>
                  <w:vAlign w:val="center"/>
                </w:tcPr>
                <w:p>
                  <w:pPr>
                    <w:pStyle w:val="2"/>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名称</w:t>
                  </w:r>
                </w:p>
              </w:tc>
              <w:tc>
                <w:tcPr>
                  <w:tcW w:w="1199" w:type="pct"/>
                  <w:vAlign w:val="center"/>
                </w:tcPr>
                <w:p>
                  <w:pPr>
                    <w:pStyle w:val="2"/>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面积</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2</w:t>
                  </w:r>
                  <w:r>
                    <w:rPr>
                      <w:rFonts w:hint="eastAsia" w:cs="Times New Roman"/>
                      <w:color w:val="auto"/>
                      <w:kern w:val="0"/>
                      <w:sz w:val="21"/>
                      <w:szCs w:val="21"/>
                      <w:vertAlign w:val="superscript"/>
                      <w:lang w:eastAsia="zh-CN" w:bidi="ar"/>
                    </w:rPr>
                    <w:t>）</w:t>
                  </w:r>
                </w:p>
              </w:tc>
              <w:tc>
                <w:tcPr>
                  <w:tcW w:w="973" w:type="pct"/>
                  <w:vAlign w:val="center"/>
                </w:tcPr>
                <w:p>
                  <w:pPr>
                    <w:pStyle w:val="2"/>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eastAsia="zh-CN" w:bidi="ar"/>
                    </w:rPr>
                    <w:t>结构</w:t>
                  </w:r>
                </w:p>
              </w:tc>
              <w:tc>
                <w:tcPr>
                  <w:tcW w:w="972" w:type="pct"/>
                  <w:vAlign w:val="center"/>
                </w:tcPr>
                <w:p>
                  <w:pPr>
                    <w:pStyle w:val="2"/>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1154"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办公室</w:t>
                  </w:r>
                </w:p>
              </w:tc>
              <w:tc>
                <w:tcPr>
                  <w:tcW w:w="1199"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200</w:t>
                  </w:r>
                </w:p>
              </w:tc>
              <w:tc>
                <w:tcPr>
                  <w:tcW w:w="973"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2</w:t>
                  </w:r>
                </w:p>
              </w:tc>
              <w:tc>
                <w:tcPr>
                  <w:tcW w:w="1154"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会议室</w:t>
                  </w:r>
                </w:p>
              </w:tc>
              <w:tc>
                <w:tcPr>
                  <w:tcW w:w="1199"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100</w:t>
                  </w:r>
                </w:p>
              </w:tc>
              <w:tc>
                <w:tcPr>
                  <w:tcW w:w="973"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1154"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保健室</w:t>
                  </w:r>
                </w:p>
              </w:tc>
              <w:tc>
                <w:tcPr>
                  <w:tcW w:w="1199"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100</w:t>
                  </w:r>
                </w:p>
              </w:tc>
              <w:tc>
                <w:tcPr>
                  <w:tcW w:w="973"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1154"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浴室</w:t>
                  </w:r>
                </w:p>
              </w:tc>
              <w:tc>
                <w:tcPr>
                  <w:tcW w:w="1199"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120</w:t>
                  </w:r>
                </w:p>
              </w:tc>
              <w:tc>
                <w:tcPr>
                  <w:tcW w:w="973"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1154"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职工宿舍</w:t>
                  </w:r>
                </w:p>
              </w:tc>
              <w:tc>
                <w:tcPr>
                  <w:tcW w:w="1199"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480</w:t>
                  </w:r>
                </w:p>
              </w:tc>
              <w:tc>
                <w:tcPr>
                  <w:tcW w:w="973"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1154"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食堂</w:t>
                  </w:r>
                </w:p>
              </w:tc>
              <w:tc>
                <w:tcPr>
                  <w:tcW w:w="1199"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190</w:t>
                  </w:r>
                </w:p>
              </w:tc>
              <w:tc>
                <w:tcPr>
                  <w:tcW w:w="973"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w:t>
                  </w:r>
                </w:p>
              </w:tc>
              <w:tc>
                <w:tcPr>
                  <w:tcW w:w="1154"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库房</w:t>
                  </w:r>
                </w:p>
              </w:tc>
              <w:tc>
                <w:tcPr>
                  <w:tcW w:w="1199"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100</w:t>
                  </w:r>
                </w:p>
              </w:tc>
              <w:tc>
                <w:tcPr>
                  <w:tcW w:w="973"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vAlign w:val="center"/>
                </w:tcPr>
                <w:p>
                  <w:pPr>
                    <w:pStyle w:val="2"/>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00"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w:t>
                  </w:r>
                </w:p>
              </w:tc>
              <w:tc>
                <w:tcPr>
                  <w:tcW w:w="1154"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配电室</w:t>
                  </w:r>
                </w:p>
              </w:tc>
              <w:tc>
                <w:tcPr>
                  <w:tcW w:w="1199"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70</w:t>
                  </w:r>
                </w:p>
              </w:tc>
              <w:tc>
                <w:tcPr>
                  <w:tcW w:w="973"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钢筋</w:t>
                  </w:r>
                  <w:r>
                    <w:rPr>
                      <w:rFonts w:hint="eastAsia" w:cs="Times New Roman"/>
                      <w:color w:val="auto"/>
                      <w:kern w:val="0"/>
                      <w:sz w:val="21"/>
                      <w:szCs w:val="21"/>
                      <w:lang w:eastAsia="zh-CN" w:bidi="ar"/>
                    </w:rPr>
                    <w:t>混凝土</w:t>
                  </w:r>
                </w:p>
              </w:tc>
              <w:tc>
                <w:tcPr>
                  <w:tcW w:w="972"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00" w:type="pct"/>
                  <w:vAlign w:val="center"/>
                </w:tcPr>
                <w:p>
                  <w:pPr>
                    <w:pStyle w:val="2"/>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w:t>
                  </w:r>
                </w:p>
              </w:tc>
              <w:tc>
                <w:tcPr>
                  <w:tcW w:w="1154"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危险废物贮存库</w:t>
                  </w:r>
                </w:p>
              </w:tc>
              <w:tc>
                <w:tcPr>
                  <w:tcW w:w="1199"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15</w:t>
                  </w:r>
                </w:p>
              </w:tc>
              <w:tc>
                <w:tcPr>
                  <w:tcW w:w="973"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活动板房</w:t>
                  </w:r>
                </w:p>
              </w:tc>
              <w:tc>
                <w:tcPr>
                  <w:tcW w:w="972"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54" w:type="pct"/>
                  <w:gridSpan w:val="3"/>
                  <w:vAlign w:val="center"/>
                </w:tcPr>
                <w:p>
                  <w:pPr>
                    <w:pStyle w:val="2"/>
                    <w:rPr>
                      <w:color w:val="auto"/>
                    </w:rPr>
                  </w:pPr>
                  <w:r>
                    <w:rPr>
                      <w:color w:val="auto"/>
                    </w:rPr>
                    <w:t>合计</w:t>
                  </w:r>
                </w:p>
              </w:tc>
              <w:tc>
                <w:tcPr>
                  <w:tcW w:w="1945" w:type="pct"/>
                  <w:gridSpan w:val="2"/>
                  <w:vAlign w:val="center"/>
                </w:tcPr>
                <w:p>
                  <w:pPr>
                    <w:pStyle w:val="2"/>
                    <w:rPr>
                      <w:rFonts w:hint="default" w:eastAsia="宋体"/>
                      <w:color w:val="auto"/>
                      <w:lang w:val="en-US" w:eastAsia="zh-CN"/>
                    </w:rPr>
                  </w:pPr>
                  <w:r>
                    <w:rPr>
                      <w:rFonts w:hint="eastAsia" w:cs="Times New Roman"/>
                      <w:color w:val="auto"/>
                      <w:kern w:val="0"/>
                      <w:sz w:val="21"/>
                      <w:szCs w:val="21"/>
                      <w:lang w:val="en-US" w:eastAsia="zh-CN" w:bidi="ar"/>
                    </w:rPr>
                    <w:t>1375</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2</w:t>
                  </w:r>
                </w:p>
              </w:tc>
            </w:tr>
          </w:tbl>
          <w:p>
            <w:pPr>
              <w:spacing w:line="240" w:lineRule="auto"/>
              <w:ind w:firstLine="422"/>
              <w:rPr>
                <w:b/>
                <w:color w:val="auto"/>
                <w:sz w:val="21"/>
                <w:szCs w:val="20"/>
              </w:rPr>
            </w:pPr>
            <w:r>
              <w:rPr>
                <w:rFonts w:hint="eastAsia"/>
                <w:b/>
                <w:color w:val="auto"/>
                <w:sz w:val="21"/>
                <w:szCs w:val="20"/>
              </w:rPr>
              <w:t>表</w:t>
            </w:r>
            <w:r>
              <w:rPr>
                <w:rFonts w:hint="eastAsia"/>
                <w:b/>
                <w:color w:val="auto"/>
                <w:sz w:val="21"/>
                <w:szCs w:val="20"/>
                <w:lang w:val="en-US" w:eastAsia="zh-CN"/>
              </w:rPr>
              <w:t>2-4</w:t>
            </w:r>
            <w:r>
              <w:rPr>
                <w:rFonts w:hint="eastAsia"/>
                <w:b/>
                <w:color w:val="auto"/>
                <w:sz w:val="21"/>
                <w:szCs w:val="20"/>
              </w:rPr>
              <w:t xml:space="preserve">                         设备清单</w:t>
            </w:r>
          </w:p>
          <w:tbl>
            <w:tblPr>
              <w:tblStyle w:val="30"/>
              <w:tblW w:w="498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2"/>
              <w:gridCol w:w="1788"/>
              <w:gridCol w:w="3065"/>
              <w:gridCol w:w="1553"/>
              <w:gridCol w:w="7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序号</w:t>
                  </w:r>
                </w:p>
              </w:tc>
              <w:tc>
                <w:tcPr>
                  <w:tcW w:w="1141"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设备名称</w:t>
                  </w:r>
                </w:p>
              </w:tc>
              <w:tc>
                <w:tcPr>
                  <w:tcW w:w="1956"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型号规格</w:t>
                  </w:r>
                </w:p>
              </w:tc>
              <w:tc>
                <w:tcPr>
                  <w:tcW w:w="991"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单位</w:t>
                  </w:r>
                </w:p>
              </w:tc>
              <w:tc>
                <w:tcPr>
                  <w:tcW w:w="462"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1</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圆盘锯石机</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YZK-1360/1960</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2</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金刚石绳锯机</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ZY-75G-C8P</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3</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手持式凿岩机</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Y18</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4</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固定式螺杆电动空压机</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LG-13/8G</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5</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储气罐</w:t>
                  </w:r>
                </w:p>
              </w:tc>
              <w:tc>
                <w:tcPr>
                  <w:tcW w:w="1956"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1.0/0.84</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6</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叉装车</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LFT18F</w:t>
                  </w:r>
                </w:p>
              </w:tc>
              <w:tc>
                <w:tcPr>
                  <w:tcW w:w="991"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7</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装载机</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LW500KV-T18</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8</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挖掘机</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SY245H</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台</w:t>
                  </w:r>
                </w:p>
              </w:tc>
              <w:tc>
                <w:tcPr>
                  <w:tcW w:w="462"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矿用自卸汽车</w:t>
                  </w:r>
                </w:p>
              </w:tc>
              <w:tc>
                <w:tcPr>
                  <w:tcW w:w="1956"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载重：20t</w:t>
                  </w:r>
                </w:p>
              </w:tc>
              <w:tc>
                <w:tcPr>
                  <w:tcW w:w="99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辆</w:t>
                  </w:r>
                </w:p>
              </w:tc>
              <w:tc>
                <w:tcPr>
                  <w:tcW w:w="462"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1141"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拉水车</w:t>
                  </w:r>
                </w:p>
              </w:tc>
              <w:tc>
                <w:tcPr>
                  <w:tcW w:w="1956"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20m</w:t>
                  </w:r>
                  <w:r>
                    <w:rPr>
                      <w:rFonts w:hint="eastAsia" w:ascii="Times New Roman" w:hAnsi="Times New Roman" w:eastAsia="宋体" w:cs="Times New Roman"/>
                      <w:color w:val="auto"/>
                      <w:kern w:val="0"/>
                      <w:sz w:val="21"/>
                      <w:szCs w:val="21"/>
                      <w:vertAlign w:val="superscript"/>
                      <w:lang w:bidi="ar"/>
                    </w:rPr>
                    <w:t>3</w:t>
                  </w:r>
                </w:p>
              </w:tc>
              <w:tc>
                <w:tcPr>
                  <w:tcW w:w="991"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辆</w:t>
                  </w:r>
                </w:p>
              </w:tc>
              <w:tc>
                <w:tcPr>
                  <w:tcW w:w="462" w:type="pct"/>
                  <w:tcBorders>
                    <w:tl2br w:val="nil"/>
                    <w:tr2bl w:val="nil"/>
                  </w:tcBorders>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11</w:t>
                  </w:r>
                </w:p>
              </w:tc>
              <w:tc>
                <w:tcPr>
                  <w:tcW w:w="1141"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zh-CN" w:eastAsia="zh-CN" w:bidi="ar"/>
                    </w:rPr>
                  </w:pPr>
                  <w:r>
                    <w:rPr>
                      <w:rFonts w:hint="eastAsia" w:ascii="Times New Roman" w:hAnsi="Times New Roman" w:eastAsia="宋体" w:cs="Times New Roman"/>
                      <w:color w:val="auto"/>
                      <w:kern w:val="0"/>
                      <w:sz w:val="21"/>
                      <w:szCs w:val="21"/>
                      <w:lang w:bidi="ar"/>
                    </w:rPr>
                    <w:t>水箱</w:t>
                  </w:r>
                </w:p>
              </w:tc>
              <w:tc>
                <w:tcPr>
                  <w:tcW w:w="1956"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10m</w:t>
                  </w:r>
                  <w:r>
                    <w:rPr>
                      <w:rFonts w:hint="eastAsia" w:ascii="Times New Roman" w:hAnsi="Times New Roman" w:eastAsia="宋体" w:cs="Times New Roman"/>
                      <w:color w:val="auto"/>
                      <w:kern w:val="0"/>
                      <w:sz w:val="21"/>
                      <w:szCs w:val="21"/>
                      <w:vertAlign w:val="superscript"/>
                      <w:lang w:bidi="ar"/>
                    </w:rPr>
                    <w:t>3</w:t>
                  </w:r>
                </w:p>
              </w:tc>
              <w:tc>
                <w:tcPr>
                  <w:tcW w:w="991"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个</w:t>
                  </w:r>
                </w:p>
              </w:tc>
              <w:tc>
                <w:tcPr>
                  <w:tcW w:w="462"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w:t>
                  </w:r>
                </w:p>
              </w:tc>
              <w:tc>
                <w:tcPr>
                  <w:tcW w:w="1141" w:type="pct"/>
                  <w:shd w:val="clear" w:color="auto" w:fill="auto"/>
                  <w:vAlign w:val="top"/>
                </w:tcPr>
                <w:p>
                  <w:pPr>
                    <w:pStyle w:val="2"/>
                    <w:ind w:firstLine="0" w:firstLineChars="0"/>
                    <w:rPr>
                      <w:rFonts w:hint="eastAsia" w:ascii="Times New Roman" w:hAnsi="Times New Roman" w:eastAsia="宋体" w:cs="Times New Roman"/>
                      <w:color w:val="auto"/>
                      <w:kern w:val="0"/>
                      <w:sz w:val="21"/>
                      <w:szCs w:val="21"/>
                      <w:lang w:val="en-US" w:eastAsia="en-US" w:bidi="ar"/>
                    </w:rPr>
                  </w:pPr>
                  <w:r>
                    <w:rPr>
                      <w:rFonts w:hint="eastAsia" w:ascii="Times New Roman" w:hAnsi="Times New Roman" w:eastAsia="宋体" w:cs="Times New Roman"/>
                      <w:color w:val="auto"/>
                      <w:kern w:val="0"/>
                      <w:sz w:val="21"/>
                      <w:szCs w:val="21"/>
                      <w:lang w:bidi="ar"/>
                    </w:rPr>
                    <w:t>重型半挂牵引车</w:t>
                  </w:r>
                </w:p>
              </w:tc>
              <w:tc>
                <w:tcPr>
                  <w:tcW w:w="1956" w:type="pct"/>
                  <w:shd w:val="clear" w:color="auto" w:fill="auto"/>
                  <w:vAlign w:val="top"/>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32t</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外委</w:t>
                  </w:r>
                  <w:r>
                    <w:rPr>
                      <w:rFonts w:hint="eastAsia" w:ascii="Times New Roman" w:hAnsi="Times New Roman" w:eastAsia="宋体" w:cs="Times New Roman"/>
                      <w:color w:val="auto"/>
                      <w:kern w:val="0"/>
                      <w:sz w:val="21"/>
                      <w:szCs w:val="21"/>
                      <w:lang w:eastAsia="zh-CN" w:bidi="ar"/>
                    </w:rPr>
                    <w:t>）</w:t>
                  </w:r>
                </w:p>
              </w:tc>
              <w:tc>
                <w:tcPr>
                  <w:tcW w:w="991"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辆</w:t>
                  </w:r>
                </w:p>
              </w:tc>
              <w:tc>
                <w:tcPr>
                  <w:tcW w:w="462"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48" w:type="pct"/>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13</w:t>
                  </w:r>
                </w:p>
              </w:tc>
              <w:tc>
                <w:tcPr>
                  <w:tcW w:w="1141" w:type="pct"/>
                  <w:shd w:val="clear" w:color="auto" w:fill="auto"/>
                  <w:vAlign w:val="top"/>
                </w:tcPr>
                <w:p>
                  <w:pPr>
                    <w:pStyle w:val="2"/>
                    <w:ind w:firstLine="0" w:firstLineChars="0"/>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洒水车</w:t>
                  </w:r>
                </w:p>
              </w:tc>
              <w:tc>
                <w:tcPr>
                  <w:tcW w:w="1956" w:type="pct"/>
                  <w:shd w:val="clear" w:color="auto" w:fill="auto"/>
                  <w:vAlign w:val="top"/>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20m</w:t>
                  </w:r>
                  <w:r>
                    <w:rPr>
                      <w:rFonts w:hint="eastAsia" w:ascii="Times New Roman" w:hAnsi="Times New Roman" w:eastAsia="宋体" w:cs="Times New Roman"/>
                      <w:color w:val="auto"/>
                      <w:kern w:val="0"/>
                      <w:sz w:val="21"/>
                      <w:szCs w:val="21"/>
                      <w:vertAlign w:val="superscript"/>
                      <w:lang w:bidi="ar"/>
                    </w:rPr>
                    <w:t>3</w:t>
                  </w:r>
                </w:p>
              </w:tc>
              <w:tc>
                <w:tcPr>
                  <w:tcW w:w="991"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辆</w:t>
                  </w:r>
                </w:p>
              </w:tc>
              <w:tc>
                <w:tcPr>
                  <w:tcW w:w="462"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r>
          </w:tbl>
          <w:p>
            <w:pPr>
              <w:spacing w:line="240" w:lineRule="auto"/>
              <w:ind w:firstLine="422"/>
              <w:rPr>
                <w:b/>
                <w:color w:val="auto"/>
                <w:sz w:val="21"/>
                <w:szCs w:val="20"/>
              </w:rPr>
            </w:pPr>
            <w:r>
              <w:rPr>
                <w:rFonts w:hint="eastAsia"/>
                <w:b/>
                <w:color w:val="auto"/>
                <w:sz w:val="21"/>
                <w:szCs w:val="20"/>
              </w:rPr>
              <w:t>表</w:t>
            </w:r>
            <w:r>
              <w:rPr>
                <w:rFonts w:hint="eastAsia"/>
                <w:b/>
                <w:color w:val="auto"/>
                <w:sz w:val="21"/>
                <w:szCs w:val="20"/>
                <w:lang w:val="en-US" w:eastAsia="zh-CN"/>
              </w:rPr>
              <w:t>2-5</w:t>
            </w:r>
            <w:r>
              <w:rPr>
                <w:rFonts w:hint="eastAsia"/>
                <w:b/>
                <w:color w:val="auto"/>
                <w:sz w:val="21"/>
                <w:szCs w:val="20"/>
              </w:rPr>
              <w:t xml:space="preserve">                     主要原辅材料及用量一览表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567"/>
              <w:gridCol w:w="889"/>
              <w:gridCol w:w="1076"/>
              <w:gridCol w:w="1773"/>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7" w:type="pct"/>
                  <w:vAlign w:val="center"/>
                </w:tcPr>
                <w:p>
                  <w:pPr>
                    <w:pStyle w:val="2"/>
                    <w:rPr>
                      <w:color w:val="auto"/>
                    </w:rPr>
                  </w:pPr>
                  <w:r>
                    <w:rPr>
                      <w:color w:val="auto"/>
                    </w:rPr>
                    <w:t>序</w:t>
                  </w:r>
                  <w:r>
                    <w:rPr>
                      <w:rFonts w:hint="eastAsia"/>
                      <w:color w:val="auto"/>
                    </w:rPr>
                    <w:t>号</w:t>
                  </w:r>
                </w:p>
              </w:tc>
              <w:tc>
                <w:tcPr>
                  <w:tcW w:w="998" w:type="pct"/>
                  <w:vAlign w:val="center"/>
                </w:tcPr>
                <w:p>
                  <w:pPr>
                    <w:pStyle w:val="2"/>
                    <w:rPr>
                      <w:color w:val="auto"/>
                    </w:rPr>
                  </w:pPr>
                  <w:r>
                    <w:rPr>
                      <w:rFonts w:hint="eastAsia"/>
                      <w:color w:val="auto"/>
                    </w:rPr>
                    <w:t>名称</w:t>
                  </w:r>
                </w:p>
              </w:tc>
              <w:tc>
                <w:tcPr>
                  <w:tcW w:w="566" w:type="pct"/>
                  <w:vAlign w:val="center"/>
                </w:tcPr>
                <w:p>
                  <w:pPr>
                    <w:pStyle w:val="2"/>
                    <w:rPr>
                      <w:color w:val="auto"/>
                    </w:rPr>
                  </w:pPr>
                  <w:r>
                    <w:rPr>
                      <w:color w:val="auto"/>
                    </w:rPr>
                    <w:t>单位</w:t>
                  </w:r>
                </w:p>
              </w:tc>
              <w:tc>
                <w:tcPr>
                  <w:tcW w:w="685" w:type="pct"/>
                  <w:vAlign w:val="center"/>
                </w:tcPr>
                <w:p>
                  <w:pPr>
                    <w:pStyle w:val="2"/>
                    <w:rPr>
                      <w:color w:val="auto"/>
                    </w:rPr>
                  </w:pPr>
                  <w:r>
                    <w:rPr>
                      <w:color w:val="auto"/>
                    </w:rPr>
                    <w:t>年</w:t>
                  </w:r>
                  <w:r>
                    <w:rPr>
                      <w:rFonts w:hint="eastAsia"/>
                      <w:color w:val="auto"/>
                    </w:rPr>
                    <w:t>用量</w:t>
                  </w:r>
                </w:p>
              </w:tc>
              <w:tc>
                <w:tcPr>
                  <w:tcW w:w="1129" w:type="pct"/>
                  <w:vAlign w:val="center"/>
                </w:tcPr>
                <w:p>
                  <w:pPr>
                    <w:pStyle w:val="2"/>
                    <w:rPr>
                      <w:color w:val="auto"/>
                    </w:rPr>
                  </w:pPr>
                  <w:r>
                    <w:rPr>
                      <w:rFonts w:hint="eastAsia"/>
                      <w:color w:val="auto"/>
                    </w:rPr>
                    <w:t>来源</w:t>
                  </w:r>
                </w:p>
              </w:tc>
              <w:tc>
                <w:tcPr>
                  <w:tcW w:w="1111" w:type="pct"/>
                  <w:vAlign w:val="center"/>
                </w:tcPr>
                <w:p>
                  <w:pPr>
                    <w:pStyle w:val="2"/>
                    <w:rPr>
                      <w:color w:val="auto"/>
                    </w:rPr>
                  </w:pPr>
                  <w:r>
                    <w:rPr>
                      <w:rFonts w:hint="eastAsia"/>
                      <w:color w:val="auto"/>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7" w:type="pct"/>
                  <w:vAlign w:val="center"/>
                </w:tcPr>
                <w:p>
                  <w:pPr>
                    <w:pStyle w:val="2"/>
                    <w:rPr>
                      <w:rFonts w:hint="eastAsia"/>
                      <w:color w:val="auto"/>
                    </w:rPr>
                  </w:pPr>
                  <w:r>
                    <w:rPr>
                      <w:rFonts w:hint="eastAsia"/>
                      <w:color w:val="auto"/>
                    </w:rPr>
                    <w:t>1</w:t>
                  </w:r>
                </w:p>
              </w:tc>
              <w:tc>
                <w:tcPr>
                  <w:tcW w:w="998"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柴油（机械用）</w:t>
                  </w:r>
                </w:p>
              </w:tc>
              <w:tc>
                <w:tcPr>
                  <w:tcW w:w="566"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t/a</w:t>
                  </w:r>
                </w:p>
              </w:tc>
              <w:tc>
                <w:tcPr>
                  <w:tcW w:w="685"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192</w:t>
                  </w:r>
                </w:p>
              </w:tc>
              <w:tc>
                <w:tcPr>
                  <w:tcW w:w="1129"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由公司运送</w:t>
                  </w:r>
                </w:p>
              </w:tc>
              <w:tc>
                <w:tcPr>
                  <w:tcW w:w="1111"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7" w:type="pct"/>
                  <w:vAlign w:val="center"/>
                </w:tcPr>
                <w:p>
                  <w:pPr>
                    <w:pStyle w:val="2"/>
                    <w:rPr>
                      <w:rFonts w:hint="eastAsia"/>
                      <w:color w:val="auto"/>
                    </w:rPr>
                  </w:pPr>
                  <w:r>
                    <w:rPr>
                      <w:rFonts w:hint="eastAsia"/>
                      <w:color w:val="auto"/>
                    </w:rPr>
                    <w:t>2</w:t>
                  </w:r>
                </w:p>
              </w:tc>
              <w:tc>
                <w:tcPr>
                  <w:tcW w:w="998"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润滑油</w:t>
                  </w:r>
                </w:p>
              </w:tc>
              <w:tc>
                <w:tcPr>
                  <w:tcW w:w="566"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t/a</w:t>
                  </w:r>
                </w:p>
              </w:tc>
              <w:tc>
                <w:tcPr>
                  <w:tcW w:w="685"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1</w:t>
                  </w:r>
                </w:p>
              </w:tc>
              <w:tc>
                <w:tcPr>
                  <w:tcW w:w="1129"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外购</w:t>
                  </w:r>
                </w:p>
              </w:tc>
              <w:tc>
                <w:tcPr>
                  <w:tcW w:w="1111"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507" w:type="pct"/>
                  <w:vAlign w:val="center"/>
                </w:tcPr>
                <w:p>
                  <w:pPr>
                    <w:pStyle w:val="2"/>
                    <w:rPr>
                      <w:color w:val="auto"/>
                    </w:rPr>
                  </w:pPr>
                  <w:r>
                    <w:rPr>
                      <w:rFonts w:hint="eastAsia"/>
                      <w:color w:val="auto"/>
                    </w:rPr>
                    <w:t>3</w:t>
                  </w:r>
                </w:p>
              </w:tc>
              <w:tc>
                <w:tcPr>
                  <w:tcW w:w="998"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电</w:t>
                  </w:r>
                </w:p>
              </w:tc>
              <w:tc>
                <w:tcPr>
                  <w:tcW w:w="566"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eastAsia="zh-CN"/>
                    </w:rPr>
                    <w:t>万</w:t>
                  </w:r>
                  <w:r>
                    <w:rPr>
                      <w:rFonts w:hint="eastAsia"/>
                      <w:color w:val="auto"/>
                    </w:rPr>
                    <w:t>Kw</w:t>
                  </w:r>
                  <w:r>
                    <w:rPr>
                      <w:rFonts w:hint="eastAsia"/>
                      <w:color w:val="auto"/>
                      <w:lang w:val="en-US" w:eastAsia="zh-CN"/>
                    </w:rPr>
                    <w:t>h</w:t>
                  </w:r>
                </w:p>
              </w:tc>
              <w:tc>
                <w:tcPr>
                  <w:tcW w:w="685"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40</w:t>
                  </w:r>
                </w:p>
              </w:tc>
              <w:tc>
                <w:tcPr>
                  <w:tcW w:w="1129"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lang w:eastAsia="zh-CN"/>
                    </w:rPr>
                    <w:t>接国家电网</w:t>
                  </w:r>
                </w:p>
              </w:tc>
              <w:tc>
                <w:tcPr>
                  <w:tcW w:w="1111"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07" w:type="pct"/>
                  <w:vAlign w:val="center"/>
                </w:tcPr>
                <w:p>
                  <w:pPr>
                    <w:pStyle w:val="2"/>
                    <w:rPr>
                      <w:color w:val="auto"/>
                    </w:rPr>
                  </w:pPr>
                  <w:r>
                    <w:rPr>
                      <w:rFonts w:hint="eastAsia"/>
                      <w:color w:val="auto"/>
                    </w:rPr>
                    <w:t>4</w:t>
                  </w:r>
                </w:p>
              </w:tc>
              <w:tc>
                <w:tcPr>
                  <w:tcW w:w="998" w:type="pct"/>
                  <w:shd w:val="clear" w:color="auto" w:fill="auto"/>
                  <w:vAlign w:val="center"/>
                </w:tcPr>
                <w:p>
                  <w:pPr>
                    <w:pStyle w:val="2"/>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水</w:t>
                  </w:r>
                </w:p>
              </w:tc>
              <w:tc>
                <w:tcPr>
                  <w:tcW w:w="566"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rPr>
                    <w:t>m</w:t>
                  </w:r>
                  <w:r>
                    <w:rPr>
                      <w:rFonts w:hint="eastAsia"/>
                      <w:color w:val="auto"/>
                      <w:vertAlign w:val="superscript"/>
                    </w:rPr>
                    <w:t>3</w:t>
                  </w:r>
                  <w:r>
                    <w:rPr>
                      <w:rFonts w:hint="eastAsia"/>
                      <w:color w:val="auto"/>
                    </w:rPr>
                    <w:t>/a</w:t>
                  </w:r>
                </w:p>
              </w:tc>
              <w:tc>
                <w:tcPr>
                  <w:tcW w:w="685" w:type="pct"/>
                  <w:shd w:val="clear" w:color="auto" w:fill="auto"/>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s="Times New Roman"/>
                      <w:color w:val="auto"/>
                      <w:kern w:val="0"/>
                      <w:sz w:val="21"/>
                      <w:szCs w:val="18"/>
                      <w:lang w:val="en-US" w:eastAsia="zh-CN" w:bidi="ar-SA"/>
                    </w:rPr>
                    <w:t>10785.6</w:t>
                  </w:r>
                </w:p>
              </w:tc>
              <w:tc>
                <w:tcPr>
                  <w:tcW w:w="1129"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拉运</w:t>
                  </w:r>
                </w:p>
              </w:tc>
              <w:tc>
                <w:tcPr>
                  <w:tcW w:w="1111" w:type="pct"/>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eastAsia="宋体" w:cs="Times New Roman"/>
                      <w:color w:val="auto"/>
                      <w:kern w:val="0"/>
                      <w:sz w:val="21"/>
                      <w:szCs w:val="21"/>
                      <w:lang w:bidi="ar"/>
                    </w:rPr>
                    <w:t>水箱</w:t>
                  </w:r>
                </w:p>
              </w:tc>
            </w:tr>
          </w:tbl>
          <w:p>
            <w:pPr>
              <w:pStyle w:val="5"/>
              <w:rPr>
                <w:color w:val="auto"/>
              </w:rPr>
            </w:pPr>
            <w:r>
              <w:rPr>
                <w:rFonts w:hint="eastAsia"/>
                <w:color w:val="auto"/>
                <w:lang w:val="en-US" w:eastAsia="zh-CN"/>
              </w:rPr>
              <w:t>2</w:t>
            </w:r>
            <w:r>
              <w:rPr>
                <w:color w:val="auto"/>
              </w:rPr>
              <w:t>、矿区开采范围</w:t>
            </w:r>
            <w:r>
              <w:rPr>
                <w:rFonts w:hint="eastAsia"/>
                <w:color w:val="auto"/>
              </w:rPr>
              <w:t>及</w:t>
            </w:r>
            <w:r>
              <w:rPr>
                <w:color w:val="auto"/>
              </w:rPr>
              <w:t>资源储量</w:t>
            </w:r>
          </w:p>
          <w:p>
            <w:pPr>
              <w:pStyle w:val="5"/>
              <w:rPr>
                <w:color w:val="auto"/>
              </w:rPr>
            </w:pPr>
            <w:r>
              <w:rPr>
                <w:rFonts w:hint="eastAsia"/>
                <w:color w:val="auto"/>
                <w:lang w:val="en-US" w:eastAsia="zh-CN"/>
              </w:rPr>
              <w:t>2</w:t>
            </w:r>
            <w:r>
              <w:rPr>
                <w:color w:val="auto"/>
              </w:rPr>
              <w:t>.1开采范围</w:t>
            </w:r>
          </w:p>
          <w:p>
            <w:pPr>
              <w:tabs>
                <w:tab w:val="left" w:pos="0"/>
              </w:tabs>
              <w:ind w:firstLine="456" w:firstLineChars="190"/>
              <w:jc w:val="left"/>
              <w:rPr>
                <w:color w:val="auto"/>
              </w:rPr>
            </w:pPr>
            <w:r>
              <w:rPr>
                <w:rFonts w:hint="eastAsia"/>
                <w:bCs/>
                <w:color w:val="auto"/>
                <w:lang w:val="en-US" w:eastAsia="zh-CN"/>
              </w:rPr>
              <w:t>本项目</w:t>
            </w:r>
            <w:r>
              <w:rPr>
                <w:rFonts w:hint="eastAsia"/>
                <w:bCs/>
                <w:color w:val="auto"/>
              </w:rPr>
              <w:t>共圈定</w:t>
            </w:r>
            <w:r>
              <w:rPr>
                <w:rFonts w:hint="eastAsia"/>
                <w:bCs/>
                <w:color w:val="auto"/>
                <w:lang w:val="en-US" w:eastAsia="zh-CN"/>
              </w:rPr>
              <w:t>3</w:t>
            </w:r>
            <w:r>
              <w:rPr>
                <w:rFonts w:hint="eastAsia"/>
                <w:bCs/>
                <w:color w:val="auto"/>
              </w:rPr>
              <w:t>个露天采场，露天采场占地面积总计</w:t>
            </w:r>
            <w:r>
              <w:rPr>
                <w:rFonts w:hint="eastAsia"/>
                <w:bCs/>
                <w:color w:val="auto"/>
                <w:lang w:val="en-US" w:eastAsia="zh-CN"/>
              </w:rPr>
              <w:t>11.31公顷</w:t>
            </w:r>
            <w:r>
              <w:rPr>
                <w:rFonts w:hint="eastAsia"/>
                <w:bCs/>
                <w:color w:val="auto"/>
              </w:rPr>
              <w:t>，开采标高</w:t>
            </w:r>
            <w:r>
              <w:rPr>
                <w:rFonts w:hint="eastAsia"/>
                <w:bCs/>
                <w:color w:val="auto"/>
                <w:lang w:val="en-US" w:eastAsia="zh-CN"/>
              </w:rPr>
              <w:t>2321～2409m</w:t>
            </w:r>
            <w:r>
              <w:rPr>
                <w:rFonts w:hint="eastAsia" w:ascii="Times New Roman" w:hAnsi="Times New Roman" w:eastAsia="宋体" w:cs="Times New Roman"/>
                <w:color w:val="auto"/>
              </w:rPr>
              <w:t>。矿区</w:t>
            </w:r>
            <w:r>
              <w:rPr>
                <w:rFonts w:hint="eastAsia" w:cs="Times New Roman"/>
                <w:color w:val="auto"/>
                <w:lang w:val="en-US" w:eastAsia="zh-CN"/>
              </w:rPr>
              <w:t>平面布置</w:t>
            </w:r>
            <w:r>
              <w:rPr>
                <w:rFonts w:hint="eastAsia" w:ascii="Times New Roman" w:hAnsi="Times New Roman" w:eastAsia="宋体" w:cs="Times New Roman"/>
                <w:color w:val="auto"/>
              </w:rPr>
              <w:t>见附图</w:t>
            </w:r>
            <w:r>
              <w:rPr>
                <w:rFonts w:hint="eastAsia" w:cs="Times New Roman"/>
                <w:color w:val="auto"/>
                <w:lang w:val="en-US" w:eastAsia="zh-CN"/>
              </w:rPr>
              <w:t>3</w:t>
            </w:r>
            <w:r>
              <w:rPr>
                <w:rFonts w:hint="eastAsia" w:ascii="Times New Roman" w:hAnsi="Times New Roman" w:eastAsia="宋体" w:cs="Times New Roman"/>
                <w:color w:val="auto"/>
              </w:rPr>
              <w:t>。</w:t>
            </w:r>
          </w:p>
          <w:p>
            <w:pPr>
              <w:pStyle w:val="5"/>
              <w:bidi w:val="0"/>
              <w:rPr>
                <w:rFonts w:hint="default"/>
                <w:color w:val="auto"/>
                <w:lang w:val="en-US" w:eastAsia="zh-CN"/>
              </w:rPr>
            </w:pPr>
            <w:r>
              <w:rPr>
                <w:rFonts w:hint="eastAsia"/>
                <w:color w:val="auto"/>
                <w:lang w:val="en-US" w:eastAsia="zh-CN"/>
              </w:rPr>
              <w:t>2</w:t>
            </w:r>
            <w:r>
              <w:rPr>
                <w:rFonts w:hint="eastAsia"/>
                <w:color w:val="auto"/>
              </w:rPr>
              <w:t>.2开采方式</w:t>
            </w:r>
            <w:r>
              <w:rPr>
                <w:rFonts w:hint="eastAsia"/>
                <w:color w:val="auto"/>
                <w:lang w:val="en-US" w:eastAsia="zh-CN"/>
              </w:rPr>
              <w:t>及</w:t>
            </w:r>
            <w:r>
              <w:rPr>
                <w:color w:val="auto"/>
              </w:rPr>
              <w:t>采矿量</w:t>
            </w:r>
          </w:p>
          <w:p>
            <w:pPr>
              <w:bidi w:val="0"/>
              <w:rPr>
                <w:rFonts w:hint="eastAsia"/>
                <w:color w:val="auto"/>
              </w:rPr>
            </w:pPr>
            <w:r>
              <w:rPr>
                <w:color w:val="auto"/>
              </w:rPr>
              <w:t>根据矿体赋存条件及地形特点，设计采用山坡—凹陷露天开采方式</w:t>
            </w:r>
            <w:r>
              <w:rPr>
                <w:rFonts w:hint="eastAsia"/>
                <w:color w:val="auto"/>
              </w:rPr>
              <w:t>。</w:t>
            </w:r>
          </w:p>
          <w:p>
            <w:pPr>
              <w:bidi w:val="0"/>
              <w:rPr>
                <w:color w:val="auto"/>
              </w:rPr>
            </w:pPr>
            <w:r>
              <w:rPr>
                <w:color w:val="auto"/>
              </w:rPr>
              <w:t>年采矿</w:t>
            </w:r>
            <w:r>
              <w:rPr>
                <w:rFonts w:hint="eastAsia"/>
                <w:color w:val="auto"/>
                <w:lang w:val="en-US" w:eastAsia="zh-CN"/>
              </w:rPr>
              <w:t>石</w:t>
            </w:r>
            <w:r>
              <w:rPr>
                <w:color w:val="auto"/>
              </w:rPr>
              <w:t>量6.99万</w:t>
            </w:r>
            <w:r>
              <w:rPr>
                <w:rFonts w:hint="eastAsia"/>
                <w:color w:val="auto"/>
                <w:lang w:val="en-US" w:eastAsia="zh-CN"/>
              </w:rPr>
              <w:t>m</w:t>
            </w:r>
            <w:r>
              <w:rPr>
                <w:rFonts w:hint="eastAsia"/>
                <w:color w:val="auto"/>
                <w:vertAlign w:val="superscript"/>
                <w:lang w:val="en-US" w:eastAsia="zh-CN"/>
              </w:rPr>
              <w:t>3</w:t>
            </w:r>
            <w:r>
              <w:rPr>
                <w:color w:val="auto"/>
              </w:rPr>
              <w:t>（荒料量1.50万</w:t>
            </w:r>
            <w:r>
              <w:rPr>
                <w:rFonts w:hint="eastAsia"/>
                <w:color w:val="auto"/>
                <w:lang w:val="en-US" w:eastAsia="zh-CN"/>
              </w:rPr>
              <w:t>m</w:t>
            </w:r>
            <w:r>
              <w:rPr>
                <w:rFonts w:hint="eastAsia"/>
                <w:color w:val="auto"/>
                <w:vertAlign w:val="superscript"/>
                <w:lang w:val="en-US" w:eastAsia="zh-CN"/>
              </w:rPr>
              <w:t>3</w:t>
            </w:r>
            <w:r>
              <w:rPr>
                <w:color w:val="auto"/>
              </w:rPr>
              <w:t>），剥离岩石量1.95万</w:t>
            </w:r>
            <w:r>
              <w:rPr>
                <w:rFonts w:hint="eastAsia"/>
                <w:color w:val="auto"/>
                <w:lang w:val="en-US" w:eastAsia="zh-CN"/>
              </w:rPr>
              <w:t>m</w:t>
            </w:r>
            <w:r>
              <w:rPr>
                <w:rFonts w:hint="eastAsia"/>
                <w:color w:val="auto"/>
                <w:vertAlign w:val="superscript"/>
                <w:lang w:val="en-US" w:eastAsia="zh-CN"/>
              </w:rPr>
              <w:t>3</w:t>
            </w:r>
            <w:r>
              <w:rPr>
                <w:color w:val="auto"/>
              </w:rPr>
              <w:t>；年、日、班采剥量详见表</w:t>
            </w:r>
            <w:r>
              <w:rPr>
                <w:rFonts w:hint="eastAsia"/>
                <w:color w:val="auto"/>
                <w:lang w:val="en-US" w:eastAsia="zh-CN"/>
              </w:rPr>
              <w:t>2-6</w:t>
            </w:r>
            <w:r>
              <w:rPr>
                <w:color w:val="auto"/>
              </w:rPr>
              <w:t>。</w:t>
            </w:r>
          </w:p>
          <w:p>
            <w:pPr>
              <w:pStyle w:val="6"/>
              <w:bidi w:val="0"/>
              <w:rPr>
                <w:color w:val="auto"/>
              </w:rPr>
            </w:pPr>
            <w:r>
              <w:rPr>
                <w:color w:val="auto"/>
              </w:rPr>
              <w:t>表</w:t>
            </w:r>
            <w:r>
              <w:rPr>
                <w:rFonts w:hint="eastAsia"/>
                <w:color w:val="auto"/>
                <w:lang w:val="en-US" w:eastAsia="zh-CN"/>
              </w:rPr>
              <w:t xml:space="preserve">2-6                     </w:t>
            </w:r>
            <w:r>
              <w:rPr>
                <w:color w:val="auto"/>
              </w:rPr>
              <w:t>年、日、班开采矿岩量表</w:t>
            </w:r>
          </w:p>
          <w:tbl>
            <w:tblPr>
              <w:tblStyle w:val="83"/>
              <w:tblW w:w="4998" w:type="pct"/>
              <w:tblInd w:w="1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97"/>
              <w:gridCol w:w="1575"/>
              <w:gridCol w:w="1936"/>
              <w:gridCol w:w="19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27" w:type="pct"/>
                  <w:tcBorders>
                    <w:tl2br w:val="nil"/>
                    <w:tr2bl w:val="nil"/>
                  </w:tcBorders>
                  <w:vAlign w:val="center"/>
                </w:tcPr>
                <w:p>
                  <w:pPr>
                    <w:pStyle w:val="2"/>
                    <w:bidi w:val="0"/>
                    <w:jc w:val="center"/>
                    <w:rPr>
                      <w:color w:val="auto"/>
                    </w:rPr>
                  </w:pPr>
                  <w:r>
                    <w:rPr>
                      <w:color w:val="auto"/>
                    </w:rPr>
                    <w:t>时间</w:t>
                  </w:r>
                </w:p>
              </w:tc>
              <w:tc>
                <w:tcPr>
                  <w:tcW w:w="1003" w:type="pct"/>
                  <w:tcBorders>
                    <w:tl2br w:val="nil"/>
                    <w:tr2bl w:val="nil"/>
                  </w:tcBorders>
                  <w:vAlign w:val="center"/>
                </w:tcPr>
                <w:p>
                  <w:pPr>
                    <w:pStyle w:val="2"/>
                    <w:bidi w:val="0"/>
                    <w:jc w:val="center"/>
                    <w:rPr>
                      <w:color w:val="auto"/>
                    </w:rPr>
                  </w:pPr>
                  <w:r>
                    <w:rPr>
                      <w:color w:val="auto"/>
                    </w:rPr>
                    <w:t>年</w:t>
                  </w:r>
                </w:p>
              </w:tc>
              <w:tc>
                <w:tcPr>
                  <w:tcW w:w="1233" w:type="pct"/>
                  <w:tcBorders>
                    <w:tl2br w:val="nil"/>
                    <w:tr2bl w:val="nil"/>
                  </w:tcBorders>
                  <w:vAlign w:val="center"/>
                </w:tcPr>
                <w:p>
                  <w:pPr>
                    <w:pStyle w:val="2"/>
                    <w:bidi w:val="0"/>
                    <w:jc w:val="center"/>
                    <w:rPr>
                      <w:color w:val="auto"/>
                    </w:rPr>
                  </w:pPr>
                  <w:r>
                    <w:rPr>
                      <w:color w:val="auto"/>
                    </w:rPr>
                    <w:t>日</w:t>
                  </w:r>
                </w:p>
              </w:tc>
              <w:tc>
                <w:tcPr>
                  <w:tcW w:w="1235" w:type="pct"/>
                  <w:tcBorders>
                    <w:tl2br w:val="nil"/>
                    <w:tr2bl w:val="nil"/>
                  </w:tcBorders>
                  <w:vAlign w:val="center"/>
                </w:tcPr>
                <w:p>
                  <w:pPr>
                    <w:pStyle w:val="2"/>
                    <w:bidi w:val="0"/>
                    <w:jc w:val="center"/>
                    <w:rPr>
                      <w:color w:val="auto"/>
                    </w:rPr>
                  </w:pPr>
                  <w:r>
                    <w:rPr>
                      <w:color w:val="auto"/>
                    </w:rPr>
                    <w:t>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27" w:type="pct"/>
                  <w:tcBorders>
                    <w:tl2br w:val="nil"/>
                    <w:tr2bl w:val="nil"/>
                  </w:tcBorders>
                  <w:vAlign w:val="center"/>
                </w:tcPr>
                <w:p>
                  <w:pPr>
                    <w:pStyle w:val="2"/>
                    <w:bidi w:val="0"/>
                    <w:jc w:val="center"/>
                    <w:rPr>
                      <w:color w:val="auto"/>
                    </w:rPr>
                  </w:pPr>
                  <w:r>
                    <w:rPr>
                      <w:color w:val="auto"/>
                    </w:rPr>
                    <w:t>矿石（</w:t>
                  </w:r>
                  <w:r>
                    <w:rPr>
                      <w:rFonts w:hint="eastAsia"/>
                      <w:color w:val="auto"/>
                      <w:lang w:val="en-US" w:eastAsia="zh-CN"/>
                    </w:rPr>
                    <w:t>m</w:t>
                  </w:r>
                  <w:r>
                    <w:rPr>
                      <w:rFonts w:hint="eastAsia"/>
                      <w:color w:val="auto"/>
                      <w:vertAlign w:val="superscript"/>
                      <w:lang w:val="en-US" w:eastAsia="zh-CN"/>
                    </w:rPr>
                    <w:t>3</w:t>
                  </w:r>
                  <w:r>
                    <w:rPr>
                      <w:color w:val="auto"/>
                    </w:rPr>
                    <w:t>）</w:t>
                  </w:r>
                </w:p>
              </w:tc>
              <w:tc>
                <w:tcPr>
                  <w:tcW w:w="1003" w:type="pct"/>
                  <w:tcBorders>
                    <w:tl2br w:val="nil"/>
                    <w:tr2bl w:val="nil"/>
                  </w:tcBorders>
                  <w:vAlign w:val="center"/>
                </w:tcPr>
                <w:p>
                  <w:pPr>
                    <w:pStyle w:val="2"/>
                    <w:bidi w:val="0"/>
                    <w:jc w:val="center"/>
                    <w:rPr>
                      <w:color w:val="auto"/>
                    </w:rPr>
                  </w:pPr>
                  <w:r>
                    <w:rPr>
                      <w:color w:val="auto"/>
                    </w:rPr>
                    <w:t>69900</w:t>
                  </w:r>
                </w:p>
              </w:tc>
              <w:tc>
                <w:tcPr>
                  <w:tcW w:w="1233" w:type="pct"/>
                  <w:tcBorders>
                    <w:tl2br w:val="nil"/>
                    <w:tr2bl w:val="nil"/>
                  </w:tcBorders>
                  <w:vAlign w:val="center"/>
                </w:tcPr>
                <w:p>
                  <w:pPr>
                    <w:pStyle w:val="2"/>
                    <w:bidi w:val="0"/>
                    <w:jc w:val="center"/>
                    <w:rPr>
                      <w:color w:val="auto"/>
                    </w:rPr>
                  </w:pPr>
                  <w:r>
                    <w:rPr>
                      <w:color w:val="auto"/>
                    </w:rPr>
                    <w:t>291.25</w:t>
                  </w:r>
                </w:p>
              </w:tc>
              <w:tc>
                <w:tcPr>
                  <w:tcW w:w="1235" w:type="pct"/>
                  <w:tcBorders>
                    <w:tl2br w:val="nil"/>
                    <w:tr2bl w:val="nil"/>
                  </w:tcBorders>
                  <w:vAlign w:val="center"/>
                </w:tcPr>
                <w:p>
                  <w:pPr>
                    <w:pStyle w:val="2"/>
                    <w:bidi w:val="0"/>
                    <w:jc w:val="center"/>
                    <w:rPr>
                      <w:color w:val="auto"/>
                    </w:rPr>
                  </w:pPr>
                  <w:r>
                    <w:rPr>
                      <w:color w:val="auto"/>
                    </w:rPr>
                    <w:t>291.25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27" w:type="pct"/>
                  <w:tcBorders>
                    <w:tl2br w:val="nil"/>
                    <w:tr2bl w:val="nil"/>
                  </w:tcBorders>
                  <w:vAlign w:val="center"/>
                </w:tcPr>
                <w:p>
                  <w:pPr>
                    <w:pStyle w:val="2"/>
                    <w:bidi w:val="0"/>
                    <w:jc w:val="center"/>
                    <w:rPr>
                      <w:color w:val="auto"/>
                    </w:rPr>
                  </w:pPr>
                  <w:r>
                    <w:rPr>
                      <w:color w:val="auto"/>
                    </w:rPr>
                    <w:t>岩石量（</w:t>
                  </w:r>
                  <w:r>
                    <w:rPr>
                      <w:rFonts w:hint="eastAsia"/>
                      <w:color w:val="auto"/>
                      <w:lang w:val="en-US" w:eastAsia="zh-CN"/>
                    </w:rPr>
                    <w:t>m</w:t>
                  </w:r>
                  <w:r>
                    <w:rPr>
                      <w:rFonts w:hint="eastAsia"/>
                      <w:color w:val="auto"/>
                      <w:vertAlign w:val="superscript"/>
                      <w:lang w:val="en-US" w:eastAsia="zh-CN"/>
                    </w:rPr>
                    <w:t>3</w:t>
                  </w:r>
                  <w:r>
                    <w:rPr>
                      <w:color w:val="auto"/>
                    </w:rPr>
                    <w:t>）</w:t>
                  </w:r>
                </w:p>
              </w:tc>
              <w:tc>
                <w:tcPr>
                  <w:tcW w:w="1003" w:type="pct"/>
                  <w:tcBorders>
                    <w:tl2br w:val="nil"/>
                    <w:tr2bl w:val="nil"/>
                  </w:tcBorders>
                  <w:vAlign w:val="center"/>
                </w:tcPr>
                <w:p>
                  <w:pPr>
                    <w:pStyle w:val="2"/>
                    <w:bidi w:val="0"/>
                    <w:jc w:val="center"/>
                    <w:rPr>
                      <w:color w:val="auto"/>
                    </w:rPr>
                  </w:pPr>
                  <w:r>
                    <w:rPr>
                      <w:color w:val="auto"/>
                    </w:rPr>
                    <w:t>19500</w:t>
                  </w:r>
                </w:p>
              </w:tc>
              <w:tc>
                <w:tcPr>
                  <w:tcW w:w="1233" w:type="pct"/>
                  <w:tcBorders>
                    <w:tl2br w:val="nil"/>
                    <w:tr2bl w:val="nil"/>
                  </w:tcBorders>
                  <w:vAlign w:val="center"/>
                </w:tcPr>
                <w:p>
                  <w:pPr>
                    <w:pStyle w:val="2"/>
                    <w:bidi w:val="0"/>
                    <w:jc w:val="center"/>
                    <w:rPr>
                      <w:color w:val="auto"/>
                    </w:rPr>
                  </w:pPr>
                  <w:r>
                    <w:rPr>
                      <w:color w:val="auto"/>
                    </w:rPr>
                    <w:t>81.25</w:t>
                  </w:r>
                </w:p>
              </w:tc>
              <w:tc>
                <w:tcPr>
                  <w:tcW w:w="1235" w:type="pct"/>
                  <w:tcBorders>
                    <w:tl2br w:val="nil"/>
                    <w:tr2bl w:val="nil"/>
                  </w:tcBorders>
                  <w:vAlign w:val="center"/>
                </w:tcPr>
                <w:p>
                  <w:pPr>
                    <w:pStyle w:val="2"/>
                    <w:bidi w:val="0"/>
                    <w:jc w:val="center"/>
                    <w:rPr>
                      <w:color w:val="auto"/>
                    </w:rPr>
                  </w:pPr>
                  <w:r>
                    <w:rPr>
                      <w:color w:val="auto"/>
                    </w:rPr>
                    <w:t>81.25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27" w:type="pct"/>
                  <w:tcBorders>
                    <w:tl2br w:val="nil"/>
                    <w:tr2bl w:val="nil"/>
                  </w:tcBorders>
                  <w:vAlign w:val="center"/>
                </w:tcPr>
                <w:p>
                  <w:pPr>
                    <w:pStyle w:val="2"/>
                    <w:bidi w:val="0"/>
                    <w:jc w:val="center"/>
                    <w:rPr>
                      <w:color w:val="auto"/>
                    </w:rPr>
                  </w:pPr>
                  <w:r>
                    <w:rPr>
                      <w:color w:val="auto"/>
                    </w:rPr>
                    <w:t>合计（</w:t>
                  </w:r>
                  <w:r>
                    <w:rPr>
                      <w:rFonts w:hint="eastAsia"/>
                      <w:color w:val="auto"/>
                      <w:lang w:val="en-US" w:eastAsia="zh-CN"/>
                    </w:rPr>
                    <w:t>m</w:t>
                  </w:r>
                  <w:r>
                    <w:rPr>
                      <w:rFonts w:hint="eastAsia"/>
                      <w:color w:val="auto"/>
                      <w:vertAlign w:val="superscript"/>
                      <w:lang w:val="en-US" w:eastAsia="zh-CN"/>
                    </w:rPr>
                    <w:t>3</w:t>
                  </w:r>
                  <w:r>
                    <w:rPr>
                      <w:color w:val="auto"/>
                    </w:rPr>
                    <w:t>）</w:t>
                  </w:r>
                </w:p>
              </w:tc>
              <w:tc>
                <w:tcPr>
                  <w:tcW w:w="1003" w:type="pct"/>
                  <w:tcBorders>
                    <w:tl2br w:val="nil"/>
                    <w:tr2bl w:val="nil"/>
                  </w:tcBorders>
                  <w:vAlign w:val="center"/>
                </w:tcPr>
                <w:p>
                  <w:pPr>
                    <w:pStyle w:val="2"/>
                    <w:bidi w:val="0"/>
                    <w:jc w:val="center"/>
                    <w:rPr>
                      <w:color w:val="auto"/>
                    </w:rPr>
                  </w:pPr>
                  <w:r>
                    <w:rPr>
                      <w:color w:val="auto"/>
                    </w:rPr>
                    <w:t>89400</w:t>
                  </w:r>
                </w:p>
              </w:tc>
              <w:tc>
                <w:tcPr>
                  <w:tcW w:w="1233" w:type="pct"/>
                  <w:tcBorders>
                    <w:tl2br w:val="nil"/>
                    <w:tr2bl w:val="nil"/>
                  </w:tcBorders>
                  <w:vAlign w:val="center"/>
                </w:tcPr>
                <w:p>
                  <w:pPr>
                    <w:pStyle w:val="2"/>
                    <w:bidi w:val="0"/>
                    <w:jc w:val="center"/>
                    <w:rPr>
                      <w:color w:val="auto"/>
                    </w:rPr>
                  </w:pPr>
                  <w:r>
                    <w:rPr>
                      <w:color w:val="auto"/>
                    </w:rPr>
                    <w:t>3</w:t>
                  </w:r>
                  <w:r>
                    <w:rPr>
                      <w:rFonts w:hint="eastAsia"/>
                      <w:color w:val="auto"/>
                      <w:lang w:val="en-US" w:eastAsia="zh-CN"/>
                    </w:rPr>
                    <w:t>7</w:t>
                  </w:r>
                  <w:r>
                    <w:rPr>
                      <w:color w:val="auto"/>
                    </w:rPr>
                    <w:t>2.50</w:t>
                  </w:r>
                </w:p>
              </w:tc>
              <w:tc>
                <w:tcPr>
                  <w:tcW w:w="1235" w:type="pct"/>
                  <w:tcBorders>
                    <w:tl2br w:val="nil"/>
                    <w:tr2bl w:val="nil"/>
                  </w:tcBorders>
                  <w:vAlign w:val="center"/>
                </w:tcPr>
                <w:p>
                  <w:pPr>
                    <w:pStyle w:val="2"/>
                    <w:bidi w:val="0"/>
                    <w:jc w:val="center"/>
                    <w:rPr>
                      <w:color w:val="auto"/>
                    </w:rPr>
                  </w:pPr>
                  <w:r>
                    <w:rPr>
                      <w:color w:val="auto"/>
                    </w:rPr>
                    <w:t>3</w:t>
                  </w:r>
                  <w:r>
                    <w:rPr>
                      <w:rFonts w:hint="eastAsia"/>
                      <w:color w:val="auto"/>
                      <w:lang w:val="en-US" w:eastAsia="zh-CN"/>
                    </w:rPr>
                    <w:t>7</w:t>
                  </w:r>
                  <w:r>
                    <w:rPr>
                      <w:color w:val="auto"/>
                    </w:rPr>
                    <w:t>2.50</w:t>
                  </w:r>
                </w:p>
              </w:tc>
            </w:tr>
          </w:tbl>
          <w:p>
            <w:pPr>
              <w:pStyle w:val="5"/>
              <w:rPr>
                <w:color w:val="auto"/>
              </w:rPr>
            </w:pPr>
            <w:r>
              <w:rPr>
                <w:rFonts w:hint="eastAsia"/>
                <w:color w:val="auto"/>
                <w:lang w:val="en-US" w:eastAsia="zh-CN"/>
              </w:rPr>
              <w:t>2</w:t>
            </w:r>
            <w:r>
              <w:rPr>
                <w:rFonts w:hint="eastAsia"/>
                <w:color w:val="auto"/>
              </w:rPr>
              <w:t>.3</w:t>
            </w:r>
            <w:r>
              <w:rPr>
                <w:color w:val="auto"/>
              </w:rPr>
              <w:t>资源储量</w:t>
            </w:r>
          </w:p>
          <w:p>
            <w:pPr>
              <w:bidi w:val="0"/>
              <w:rPr>
                <w:rFonts w:hint="eastAsia"/>
                <w:color w:val="auto"/>
                <w:lang w:eastAsia="zh-CN"/>
              </w:rPr>
            </w:pPr>
            <w:r>
              <w:rPr>
                <w:rFonts w:hint="eastAsia"/>
                <w:color w:val="auto"/>
              </w:rPr>
              <w:t>根据《</w:t>
            </w:r>
            <w:r>
              <w:rPr>
                <w:rFonts w:hint="eastAsia"/>
                <w:color w:val="auto"/>
                <w:lang w:eastAsia="zh-CN"/>
              </w:rPr>
              <w:t>新疆焉耆县霍拉山14号花岗岩矿</w:t>
            </w:r>
            <w:r>
              <w:rPr>
                <w:rFonts w:hint="eastAsia"/>
                <w:color w:val="auto"/>
                <w:lang w:val="en-US" w:eastAsia="zh-CN"/>
              </w:rPr>
              <w:t>详查报告</w:t>
            </w:r>
            <w:r>
              <w:rPr>
                <w:rFonts w:hint="eastAsia"/>
                <w:color w:val="auto"/>
              </w:rPr>
              <w:t>》，</w:t>
            </w:r>
            <w:r>
              <w:rPr>
                <w:rFonts w:hint="eastAsia"/>
                <w:color w:val="auto"/>
                <w:lang w:eastAsia="zh-CN"/>
              </w:rPr>
              <w:t>本次资源储量估算截至2022年</w:t>
            </w:r>
            <w:r>
              <w:rPr>
                <w:color w:val="auto"/>
              </w:rPr>
              <w:t>6月30日止，详查区内共求得饰面石材用花岗岩矿控制+推断资源量为：矿石量127.52</w:t>
            </w:r>
            <w:r>
              <w:rPr>
                <w:rFonts w:hint="eastAsia"/>
                <w:color w:val="auto"/>
                <w:lang w:eastAsia="zh-CN"/>
              </w:rPr>
              <w:t>万m</w:t>
            </w:r>
            <w:r>
              <w:rPr>
                <w:rFonts w:hint="eastAsia"/>
                <w:color w:val="auto"/>
                <w:vertAlign w:val="superscript"/>
                <w:lang w:eastAsia="zh-CN"/>
              </w:rPr>
              <w:t>3</w:t>
            </w:r>
            <w:r>
              <w:rPr>
                <w:color w:val="auto"/>
              </w:rPr>
              <w:t>，荒料量27.16</w:t>
            </w:r>
            <w:r>
              <w:rPr>
                <w:rFonts w:hint="eastAsia"/>
                <w:color w:val="auto"/>
                <w:lang w:eastAsia="zh-CN"/>
              </w:rPr>
              <w:t>万m</w:t>
            </w:r>
            <w:r>
              <w:rPr>
                <w:rFonts w:hint="eastAsia"/>
                <w:color w:val="auto"/>
                <w:vertAlign w:val="superscript"/>
                <w:lang w:eastAsia="zh-CN"/>
              </w:rPr>
              <w:t>3</w:t>
            </w:r>
            <w:r>
              <w:rPr>
                <w:color w:val="auto"/>
              </w:rPr>
              <w:t>。其中，控制资源量：矿石量87.26</w:t>
            </w:r>
            <w:r>
              <w:rPr>
                <w:rFonts w:hint="eastAsia"/>
                <w:color w:val="auto"/>
                <w:lang w:eastAsia="zh-CN"/>
              </w:rPr>
              <w:t>万m</w:t>
            </w:r>
            <w:r>
              <w:rPr>
                <w:rFonts w:hint="eastAsia"/>
                <w:color w:val="auto"/>
                <w:vertAlign w:val="superscript"/>
                <w:lang w:eastAsia="zh-CN"/>
              </w:rPr>
              <w:t>3</w:t>
            </w:r>
            <w:r>
              <w:rPr>
                <w:color w:val="auto"/>
              </w:rPr>
              <w:t>，荒料量18.61</w:t>
            </w:r>
            <w:r>
              <w:rPr>
                <w:rFonts w:hint="eastAsia"/>
                <w:color w:val="auto"/>
                <w:lang w:eastAsia="zh-CN"/>
              </w:rPr>
              <w:t>万m</w:t>
            </w:r>
            <w:r>
              <w:rPr>
                <w:rFonts w:hint="eastAsia"/>
                <w:color w:val="auto"/>
                <w:vertAlign w:val="superscript"/>
                <w:lang w:eastAsia="zh-CN"/>
              </w:rPr>
              <w:t>3</w:t>
            </w:r>
            <w:r>
              <w:rPr>
                <w:color w:val="auto"/>
              </w:rPr>
              <w:t>，约占总量68.43%；推断资源量为：矿石量40.26</w:t>
            </w:r>
            <w:r>
              <w:rPr>
                <w:rFonts w:hint="eastAsia"/>
                <w:color w:val="auto"/>
                <w:lang w:eastAsia="zh-CN"/>
              </w:rPr>
              <w:t>万m</w:t>
            </w:r>
            <w:r>
              <w:rPr>
                <w:rFonts w:hint="eastAsia"/>
                <w:color w:val="auto"/>
                <w:vertAlign w:val="superscript"/>
                <w:lang w:eastAsia="zh-CN"/>
              </w:rPr>
              <w:t>3</w:t>
            </w:r>
            <w:r>
              <w:rPr>
                <w:color w:val="auto"/>
              </w:rPr>
              <w:t>，荒料量8.55</w:t>
            </w:r>
            <w:r>
              <w:rPr>
                <w:rFonts w:hint="eastAsia"/>
                <w:color w:val="auto"/>
                <w:lang w:eastAsia="zh-CN"/>
              </w:rPr>
              <w:t>万m</w:t>
            </w:r>
            <w:r>
              <w:rPr>
                <w:rFonts w:hint="eastAsia"/>
                <w:color w:val="auto"/>
                <w:vertAlign w:val="superscript"/>
                <w:lang w:eastAsia="zh-CN"/>
              </w:rPr>
              <w:t>3</w:t>
            </w:r>
            <w:r>
              <w:rPr>
                <w:rFonts w:hint="eastAsia"/>
                <w:color w:val="auto"/>
                <w:lang w:eastAsia="zh-CN"/>
              </w:rPr>
              <w:t>。</w:t>
            </w:r>
          </w:p>
          <w:p>
            <w:pPr>
              <w:bidi w:val="0"/>
              <w:rPr>
                <w:rFonts w:hint="eastAsia"/>
                <w:color w:val="auto"/>
                <w:lang w:eastAsia="zh-CN"/>
              </w:rPr>
            </w:pPr>
            <w:r>
              <w:rPr>
                <w:color w:val="auto"/>
              </w:rPr>
              <w:t>矿区范围内查明矿石资源量总计127.52</w:t>
            </w:r>
            <w:r>
              <w:rPr>
                <w:rFonts w:hint="eastAsia"/>
                <w:color w:val="auto"/>
                <w:lang w:eastAsia="zh-CN"/>
              </w:rPr>
              <w:t>万m</w:t>
            </w:r>
            <w:r>
              <w:rPr>
                <w:rFonts w:hint="eastAsia"/>
                <w:color w:val="auto"/>
                <w:vertAlign w:val="superscript"/>
                <w:lang w:eastAsia="zh-CN"/>
              </w:rPr>
              <w:t>3</w:t>
            </w:r>
            <w:r>
              <w:rPr>
                <w:color w:val="auto"/>
              </w:rPr>
              <w:t>；荒料量27.16</w:t>
            </w:r>
            <w:r>
              <w:rPr>
                <w:rFonts w:hint="eastAsia"/>
                <w:color w:val="auto"/>
                <w:lang w:eastAsia="zh-CN"/>
              </w:rPr>
              <w:t>万m</w:t>
            </w:r>
            <w:r>
              <w:rPr>
                <w:rFonts w:hint="eastAsia"/>
                <w:color w:val="auto"/>
                <w:vertAlign w:val="superscript"/>
                <w:lang w:eastAsia="zh-CN"/>
              </w:rPr>
              <w:t>3</w:t>
            </w:r>
            <w:r>
              <w:rPr>
                <w:color w:val="auto"/>
              </w:rPr>
              <w:t>；开采境界内圈定矿石资源量124.36</w:t>
            </w:r>
            <w:r>
              <w:rPr>
                <w:rFonts w:hint="eastAsia"/>
                <w:color w:val="auto"/>
                <w:lang w:eastAsia="zh-CN"/>
              </w:rPr>
              <w:t>万m</w:t>
            </w:r>
            <w:r>
              <w:rPr>
                <w:rFonts w:hint="eastAsia"/>
                <w:color w:val="auto"/>
                <w:vertAlign w:val="superscript"/>
                <w:lang w:eastAsia="zh-CN"/>
              </w:rPr>
              <w:t>3</w:t>
            </w:r>
            <w:r>
              <w:rPr>
                <w:color w:val="auto"/>
              </w:rPr>
              <w:t>，荒料量26.49</w:t>
            </w:r>
            <w:r>
              <w:rPr>
                <w:rFonts w:hint="eastAsia"/>
                <w:color w:val="auto"/>
                <w:lang w:eastAsia="zh-CN"/>
              </w:rPr>
              <w:t>万m</w:t>
            </w:r>
            <w:r>
              <w:rPr>
                <w:rFonts w:hint="eastAsia"/>
                <w:color w:val="auto"/>
                <w:vertAlign w:val="superscript"/>
                <w:lang w:eastAsia="zh-CN"/>
              </w:rPr>
              <w:t>3</w:t>
            </w:r>
            <w:r>
              <w:rPr>
                <w:color w:val="auto"/>
              </w:rPr>
              <w:t>，剥离岩石量33.51</w:t>
            </w:r>
            <w:r>
              <w:rPr>
                <w:rFonts w:hint="eastAsia"/>
                <w:color w:val="auto"/>
                <w:lang w:eastAsia="zh-CN"/>
              </w:rPr>
              <w:t>万m</w:t>
            </w:r>
            <w:r>
              <w:rPr>
                <w:rFonts w:hint="eastAsia"/>
                <w:color w:val="auto"/>
                <w:vertAlign w:val="superscript"/>
                <w:lang w:eastAsia="zh-CN"/>
              </w:rPr>
              <w:t>3</w:t>
            </w:r>
            <w:r>
              <w:rPr>
                <w:color w:val="auto"/>
              </w:rPr>
              <w:t>，平均剥采比0.27</w:t>
            </w:r>
            <w:r>
              <w:rPr>
                <w:rFonts w:hint="eastAsia"/>
                <w:color w:val="auto"/>
                <w:lang w:eastAsia="zh-CN"/>
              </w:rPr>
              <w:t>:</w:t>
            </w:r>
            <w:r>
              <w:rPr>
                <w:color w:val="auto"/>
              </w:rPr>
              <w:t xml:space="preserve">1 </w:t>
            </w:r>
            <w:r>
              <w:rPr>
                <w:rFonts w:hint="eastAsia"/>
                <w:color w:val="auto"/>
                <w:lang w:eastAsia="zh-CN"/>
              </w:rPr>
              <w:t>m</w:t>
            </w:r>
            <w:r>
              <w:rPr>
                <w:rFonts w:hint="eastAsia"/>
                <w:color w:val="auto"/>
                <w:vertAlign w:val="superscript"/>
                <w:lang w:eastAsia="zh-CN"/>
              </w:rPr>
              <w:t>3</w:t>
            </w:r>
            <w:r>
              <w:rPr>
                <w:color w:val="auto"/>
              </w:rPr>
              <w:t>/</w:t>
            </w:r>
            <w:r>
              <w:rPr>
                <w:rFonts w:hint="eastAsia"/>
                <w:color w:val="auto"/>
                <w:lang w:eastAsia="zh-CN"/>
              </w:rPr>
              <w:t>m</w:t>
            </w:r>
            <w:r>
              <w:rPr>
                <w:rFonts w:hint="eastAsia"/>
                <w:color w:val="auto"/>
                <w:vertAlign w:val="superscript"/>
                <w:lang w:eastAsia="zh-CN"/>
              </w:rPr>
              <w:t>3</w:t>
            </w:r>
            <w:r>
              <w:rPr>
                <w:color w:val="auto"/>
              </w:rPr>
              <w:t>。</w:t>
            </w:r>
          </w:p>
          <w:p>
            <w:pPr>
              <w:pStyle w:val="5"/>
              <w:rPr>
                <w:color w:val="auto"/>
              </w:rPr>
            </w:pPr>
            <w:r>
              <w:rPr>
                <w:rFonts w:hint="eastAsia"/>
                <w:color w:val="auto"/>
                <w:lang w:val="en-US" w:eastAsia="zh-CN"/>
              </w:rPr>
              <w:t>2</w:t>
            </w:r>
            <w:r>
              <w:rPr>
                <w:color w:val="auto"/>
              </w:rPr>
              <w:t>.</w:t>
            </w:r>
            <w:r>
              <w:rPr>
                <w:rFonts w:hint="eastAsia"/>
                <w:color w:val="auto"/>
              </w:rPr>
              <w:t>4运输方案</w:t>
            </w:r>
          </w:p>
          <w:p>
            <w:pPr>
              <w:ind w:firstLine="480"/>
              <w:rPr>
                <w:rFonts w:ascii="宋体" w:hAnsi="宋体"/>
                <w:color w:val="auto"/>
                <w:szCs w:val="28"/>
              </w:rPr>
            </w:pPr>
            <w:r>
              <w:rPr>
                <w:rFonts w:ascii="宋体" w:hAnsi="宋体"/>
                <w:color w:val="auto"/>
                <w:sz w:val="24"/>
              </w:rPr>
              <w:t>设计矿山采用山坡</w:t>
            </w:r>
            <w:r>
              <w:rPr>
                <w:rFonts w:hint="eastAsia" w:ascii="宋体" w:hAnsi="宋体"/>
                <w:color w:val="auto"/>
                <w:sz w:val="24"/>
                <w:lang w:eastAsia="zh-CN"/>
              </w:rPr>
              <w:t>－</w:t>
            </w:r>
            <w:r>
              <w:rPr>
                <w:rFonts w:ascii="宋体" w:hAnsi="宋体"/>
                <w:color w:val="auto"/>
                <w:sz w:val="24"/>
              </w:rPr>
              <w:t>凹陷露天开采方式，结合矿山的地质地形条件及矿体赋存状况，采用公路开拓、汽车运输方案将矿石</w:t>
            </w:r>
            <w:r>
              <w:rPr>
                <w:rFonts w:hint="eastAsia" w:ascii="宋体" w:hAnsi="宋体"/>
                <w:color w:val="auto"/>
                <w:sz w:val="24"/>
              </w:rPr>
              <w:t>、废石分别</w:t>
            </w:r>
            <w:r>
              <w:rPr>
                <w:rFonts w:ascii="宋体" w:hAnsi="宋体"/>
                <w:color w:val="auto"/>
                <w:sz w:val="24"/>
              </w:rPr>
              <w:t>转运至</w:t>
            </w:r>
            <w:r>
              <w:rPr>
                <w:rFonts w:hint="eastAsia" w:ascii="宋体" w:hAnsi="宋体"/>
                <w:color w:val="auto"/>
                <w:sz w:val="24"/>
              </w:rPr>
              <w:t>规划的荒料堆放场和废石堆放场内</w:t>
            </w:r>
            <w:r>
              <w:rPr>
                <w:rFonts w:hint="eastAsia" w:ascii="宋体" w:hAnsi="宋体"/>
                <w:color w:val="auto"/>
                <w:szCs w:val="28"/>
              </w:rPr>
              <w:t>。</w:t>
            </w:r>
          </w:p>
          <w:p>
            <w:pPr>
              <w:pStyle w:val="5"/>
              <w:rPr>
                <w:color w:val="auto"/>
              </w:rPr>
            </w:pPr>
            <w:r>
              <w:rPr>
                <w:rFonts w:hint="eastAsia"/>
                <w:color w:val="auto"/>
                <w:lang w:val="en-US" w:eastAsia="zh-CN"/>
              </w:rPr>
              <w:t>2</w:t>
            </w:r>
            <w:r>
              <w:rPr>
                <w:rFonts w:hint="eastAsia"/>
                <w:color w:val="auto"/>
              </w:rPr>
              <w:t>.5</w:t>
            </w:r>
            <w:r>
              <w:rPr>
                <w:color w:val="auto"/>
              </w:rPr>
              <w:t>开采顺序</w:t>
            </w:r>
          </w:p>
          <w:p>
            <w:pPr>
              <w:bidi w:val="0"/>
              <w:rPr>
                <w:color w:val="auto"/>
              </w:rPr>
            </w:pPr>
            <w:r>
              <w:rPr>
                <w:rFonts w:hint="eastAsia"/>
                <w:color w:val="auto"/>
              </w:rPr>
              <w:t>根据各矿体的产状及地形地质条件，设计矿山采用自上而下的开采顺序，首先同时开采V2号矿体和开采V3号矿体，最后开采V1号矿体。</w:t>
            </w:r>
          </w:p>
          <w:p>
            <w:pPr>
              <w:pStyle w:val="5"/>
              <w:rPr>
                <w:color w:val="auto"/>
              </w:rPr>
            </w:pPr>
            <w:r>
              <w:rPr>
                <w:rFonts w:hint="eastAsia"/>
                <w:color w:val="auto"/>
                <w:lang w:val="en-US" w:eastAsia="zh-CN"/>
              </w:rPr>
              <w:t>2</w:t>
            </w:r>
            <w:r>
              <w:rPr>
                <w:rFonts w:hint="eastAsia"/>
                <w:color w:val="auto"/>
              </w:rPr>
              <w:t>.</w:t>
            </w:r>
            <w:r>
              <w:rPr>
                <w:rFonts w:hint="eastAsia"/>
                <w:color w:val="auto"/>
                <w:lang w:val="en-US" w:eastAsia="zh-CN"/>
              </w:rPr>
              <w:t>6</w:t>
            </w:r>
            <w:r>
              <w:rPr>
                <w:rFonts w:hint="eastAsia"/>
                <w:color w:val="auto"/>
              </w:rPr>
              <w:t>露天开采境界要素</w:t>
            </w:r>
          </w:p>
          <w:p>
            <w:pPr>
              <w:ind w:firstLine="480"/>
              <w:rPr>
                <w:bCs/>
                <w:color w:val="auto"/>
              </w:rPr>
            </w:pPr>
            <w:r>
              <w:rPr>
                <w:bCs/>
                <w:color w:val="auto"/>
              </w:rPr>
              <w:t>开采境界构成要素，详见表</w:t>
            </w:r>
            <w:r>
              <w:rPr>
                <w:rFonts w:hint="eastAsia"/>
                <w:bCs/>
                <w:color w:val="auto"/>
                <w:lang w:val="en-US" w:eastAsia="zh-CN"/>
              </w:rPr>
              <w:t>2-7</w:t>
            </w:r>
            <w:r>
              <w:rPr>
                <w:bCs/>
                <w:color w:val="auto"/>
              </w:rPr>
              <w:t>。</w:t>
            </w:r>
          </w:p>
          <w:p>
            <w:pPr>
              <w:spacing w:line="240" w:lineRule="auto"/>
              <w:ind w:firstLine="422"/>
              <w:rPr>
                <w:b/>
                <w:color w:val="auto"/>
                <w:sz w:val="21"/>
                <w:szCs w:val="20"/>
              </w:rPr>
            </w:pPr>
            <w:r>
              <w:rPr>
                <w:rFonts w:hint="eastAsia"/>
                <w:b/>
                <w:color w:val="auto"/>
                <w:sz w:val="21"/>
                <w:szCs w:val="20"/>
              </w:rPr>
              <w:t>表</w:t>
            </w:r>
            <w:r>
              <w:rPr>
                <w:rFonts w:hint="eastAsia"/>
                <w:b/>
                <w:color w:val="auto"/>
                <w:sz w:val="21"/>
                <w:szCs w:val="20"/>
                <w:lang w:val="en-US" w:eastAsia="zh-CN"/>
              </w:rPr>
              <w:t>2-7</w:t>
            </w:r>
            <w:r>
              <w:rPr>
                <w:rFonts w:hint="eastAsia"/>
                <w:b/>
                <w:color w:val="auto"/>
                <w:sz w:val="21"/>
                <w:szCs w:val="20"/>
              </w:rPr>
              <w:t xml:space="preserve">                         开采境界构成要素表</w:t>
            </w:r>
          </w:p>
          <w:tbl>
            <w:tblPr>
              <w:tblStyle w:val="83"/>
              <w:tblW w:w="498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293"/>
              <w:gridCol w:w="298"/>
              <w:gridCol w:w="1202"/>
              <w:gridCol w:w="2131"/>
              <w:gridCol w:w="1987"/>
              <w:gridCol w:w="19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0"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构成要素</w:t>
                  </w:r>
                </w:p>
              </w:tc>
              <w:tc>
                <w:tcPr>
                  <w:tcW w:w="1361" w:type="pct"/>
                  <w:tcBorders>
                    <w:tl2br w:val="nil"/>
                    <w:tr2bl w:val="nil"/>
                  </w:tcBorders>
                  <w:shd w:val="clear" w:color="auto" w:fill="auto"/>
                  <w:vAlign w:val="center"/>
                </w:tcPr>
                <w:p>
                  <w:pPr>
                    <w:pStyle w:val="2"/>
                    <w:bidi w:val="0"/>
                    <w:jc w:val="center"/>
                    <w:rPr>
                      <w:color w:val="auto"/>
                    </w:rPr>
                  </w:pPr>
                  <w:r>
                    <w:rPr>
                      <w:color w:val="auto"/>
                    </w:rPr>
                    <w:t>V1 号矿体</w:t>
                  </w:r>
                </w:p>
              </w:tc>
              <w:tc>
                <w:tcPr>
                  <w:tcW w:w="1269" w:type="pct"/>
                  <w:tcBorders>
                    <w:tl2br w:val="nil"/>
                    <w:tr2bl w:val="nil"/>
                  </w:tcBorders>
                  <w:shd w:val="clear" w:color="auto" w:fill="auto"/>
                  <w:vAlign w:val="center"/>
                </w:tcPr>
                <w:p>
                  <w:pPr>
                    <w:pStyle w:val="2"/>
                    <w:bidi w:val="0"/>
                    <w:jc w:val="center"/>
                    <w:rPr>
                      <w:color w:val="auto"/>
                    </w:rPr>
                  </w:pPr>
                  <w:r>
                    <w:rPr>
                      <w:color w:val="auto"/>
                    </w:rPr>
                    <w:t>V2 号矿体</w:t>
                  </w:r>
                </w:p>
              </w:tc>
              <w:tc>
                <w:tcPr>
                  <w:tcW w:w="1226" w:type="pct"/>
                  <w:tcBorders>
                    <w:tl2br w:val="nil"/>
                    <w:tr2bl w:val="nil"/>
                  </w:tcBorders>
                  <w:shd w:val="clear" w:color="auto" w:fill="auto"/>
                  <w:vAlign w:val="center"/>
                </w:tcPr>
                <w:p>
                  <w:pPr>
                    <w:pStyle w:val="2"/>
                    <w:bidi w:val="0"/>
                    <w:jc w:val="center"/>
                    <w:rPr>
                      <w:color w:val="auto"/>
                    </w:rPr>
                  </w:pPr>
                  <w:r>
                    <w:rPr>
                      <w:color w:val="auto"/>
                    </w:rPr>
                    <w:t>V3 号矿体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最高开采标高（米）</w:t>
                  </w:r>
                </w:p>
              </w:tc>
              <w:tc>
                <w:tcPr>
                  <w:tcW w:w="1361" w:type="pct"/>
                  <w:tcBorders>
                    <w:tl2br w:val="nil"/>
                    <w:tr2bl w:val="nil"/>
                  </w:tcBorders>
                  <w:shd w:val="clear" w:color="auto" w:fill="auto"/>
                  <w:vAlign w:val="center"/>
                </w:tcPr>
                <w:p>
                  <w:pPr>
                    <w:pStyle w:val="2"/>
                    <w:bidi w:val="0"/>
                    <w:jc w:val="center"/>
                    <w:rPr>
                      <w:color w:val="auto"/>
                    </w:rPr>
                  </w:pPr>
                  <w:r>
                    <w:rPr>
                      <w:color w:val="auto"/>
                    </w:rPr>
                    <w:t>2409</w:t>
                  </w:r>
                </w:p>
              </w:tc>
              <w:tc>
                <w:tcPr>
                  <w:tcW w:w="1269" w:type="pct"/>
                  <w:tcBorders>
                    <w:tl2br w:val="nil"/>
                    <w:tr2bl w:val="nil"/>
                  </w:tcBorders>
                  <w:shd w:val="clear" w:color="auto" w:fill="auto"/>
                  <w:vAlign w:val="center"/>
                </w:tcPr>
                <w:p>
                  <w:pPr>
                    <w:pStyle w:val="2"/>
                    <w:bidi w:val="0"/>
                    <w:jc w:val="center"/>
                    <w:rPr>
                      <w:color w:val="auto"/>
                    </w:rPr>
                  </w:pPr>
                  <w:r>
                    <w:rPr>
                      <w:color w:val="auto"/>
                    </w:rPr>
                    <w:t>2406</w:t>
                  </w:r>
                </w:p>
              </w:tc>
              <w:tc>
                <w:tcPr>
                  <w:tcW w:w="1226" w:type="pct"/>
                  <w:tcBorders>
                    <w:tl2br w:val="nil"/>
                    <w:tr2bl w:val="nil"/>
                  </w:tcBorders>
                  <w:shd w:val="clear" w:color="auto" w:fill="auto"/>
                  <w:vAlign w:val="center"/>
                </w:tcPr>
                <w:p>
                  <w:pPr>
                    <w:pStyle w:val="2"/>
                    <w:bidi w:val="0"/>
                    <w:jc w:val="center"/>
                    <w:rPr>
                      <w:color w:val="auto"/>
                    </w:rPr>
                  </w:pPr>
                  <w:r>
                    <w:rPr>
                      <w:color w:val="auto"/>
                    </w:rPr>
                    <w:t>2355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最低开采标高（米）</w:t>
                  </w:r>
                </w:p>
              </w:tc>
              <w:tc>
                <w:tcPr>
                  <w:tcW w:w="1361" w:type="pct"/>
                  <w:tcBorders>
                    <w:tl2br w:val="nil"/>
                    <w:tr2bl w:val="nil"/>
                  </w:tcBorders>
                  <w:shd w:val="clear" w:color="auto" w:fill="auto"/>
                  <w:vAlign w:val="center"/>
                </w:tcPr>
                <w:p>
                  <w:pPr>
                    <w:pStyle w:val="2"/>
                    <w:bidi w:val="0"/>
                    <w:jc w:val="center"/>
                    <w:rPr>
                      <w:color w:val="auto"/>
                    </w:rPr>
                  </w:pPr>
                  <w:r>
                    <w:rPr>
                      <w:color w:val="auto"/>
                    </w:rPr>
                    <w:t>2378</w:t>
                  </w:r>
                </w:p>
              </w:tc>
              <w:tc>
                <w:tcPr>
                  <w:tcW w:w="1269" w:type="pct"/>
                  <w:tcBorders>
                    <w:tl2br w:val="nil"/>
                    <w:tr2bl w:val="nil"/>
                  </w:tcBorders>
                  <w:shd w:val="clear" w:color="auto" w:fill="auto"/>
                  <w:vAlign w:val="center"/>
                </w:tcPr>
                <w:p>
                  <w:pPr>
                    <w:pStyle w:val="2"/>
                    <w:bidi w:val="0"/>
                    <w:jc w:val="center"/>
                    <w:rPr>
                      <w:color w:val="auto"/>
                    </w:rPr>
                  </w:pPr>
                  <w:r>
                    <w:rPr>
                      <w:color w:val="auto"/>
                    </w:rPr>
                    <w:t>2373</w:t>
                  </w:r>
                </w:p>
              </w:tc>
              <w:tc>
                <w:tcPr>
                  <w:tcW w:w="1226" w:type="pct"/>
                  <w:tcBorders>
                    <w:tl2br w:val="nil"/>
                    <w:tr2bl w:val="nil"/>
                  </w:tcBorders>
                  <w:shd w:val="clear" w:color="auto" w:fill="auto"/>
                  <w:vAlign w:val="center"/>
                </w:tcPr>
                <w:p>
                  <w:pPr>
                    <w:pStyle w:val="2"/>
                    <w:bidi w:val="0"/>
                    <w:jc w:val="center"/>
                    <w:rPr>
                      <w:color w:val="auto"/>
                    </w:rPr>
                  </w:pPr>
                  <w:r>
                    <w:rPr>
                      <w:color w:val="auto"/>
                    </w:rPr>
                    <w:t>2321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最终台阶标高（米）</w:t>
                  </w:r>
                </w:p>
              </w:tc>
              <w:tc>
                <w:tcPr>
                  <w:tcW w:w="1361" w:type="pct"/>
                  <w:tcBorders>
                    <w:tl2br w:val="nil"/>
                    <w:tr2bl w:val="nil"/>
                  </w:tcBorders>
                  <w:shd w:val="clear" w:color="auto" w:fill="auto"/>
                  <w:vAlign w:val="center"/>
                </w:tcPr>
                <w:p>
                  <w:pPr>
                    <w:pStyle w:val="2"/>
                    <w:bidi w:val="0"/>
                    <w:jc w:val="center"/>
                    <w:rPr>
                      <w:color w:val="auto"/>
                    </w:rPr>
                  </w:pPr>
                  <w:r>
                    <w:rPr>
                      <w:color w:val="auto"/>
                    </w:rPr>
                    <w:t>2378 、2388 、2398 、2408</w:t>
                  </w:r>
                </w:p>
              </w:tc>
              <w:tc>
                <w:tcPr>
                  <w:tcW w:w="1269" w:type="pct"/>
                  <w:tcBorders>
                    <w:tl2br w:val="nil"/>
                    <w:tr2bl w:val="nil"/>
                  </w:tcBorders>
                  <w:shd w:val="clear" w:color="auto" w:fill="auto"/>
                  <w:vAlign w:val="center"/>
                </w:tcPr>
                <w:p>
                  <w:pPr>
                    <w:pStyle w:val="2"/>
                    <w:bidi w:val="0"/>
                    <w:jc w:val="center"/>
                    <w:rPr>
                      <w:color w:val="auto"/>
                    </w:rPr>
                  </w:pPr>
                  <w:r>
                    <w:rPr>
                      <w:color w:val="auto"/>
                    </w:rPr>
                    <w:t>2373、2383、2393、2403</w:t>
                  </w:r>
                </w:p>
              </w:tc>
              <w:tc>
                <w:tcPr>
                  <w:tcW w:w="1226" w:type="pct"/>
                  <w:tcBorders>
                    <w:tl2br w:val="nil"/>
                    <w:tr2bl w:val="nil"/>
                  </w:tcBorders>
                  <w:shd w:val="clear" w:color="auto" w:fill="auto"/>
                  <w:vAlign w:val="center"/>
                </w:tcPr>
                <w:p>
                  <w:pPr>
                    <w:pStyle w:val="2"/>
                    <w:bidi w:val="0"/>
                    <w:jc w:val="center"/>
                    <w:rPr>
                      <w:color w:val="auto"/>
                    </w:rPr>
                  </w:pPr>
                  <w:r>
                    <w:rPr>
                      <w:color w:val="auto"/>
                    </w:rPr>
                    <w:t>2321、2331、2341、2351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工作台阶高度（米）</w:t>
                  </w:r>
                </w:p>
              </w:tc>
              <w:tc>
                <w:tcPr>
                  <w:tcW w:w="1361" w:type="pct"/>
                  <w:tcBorders>
                    <w:tl2br w:val="nil"/>
                    <w:tr2bl w:val="nil"/>
                  </w:tcBorders>
                  <w:shd w:val="clear" w:color="auto" w:fill="auto"/>
                  <w:vAlign w:val="center"/>
                </w:tcPr>
                <w:p>
                  <w:pPr>
                    <w:pStyle w:val="2"/>
                    <w:bidi w:val="0"/>
                    <w:jc w:val="center"/>
                    <w:rPr>
                      <w:color w:val="auto"/>
                    </w:rPr>
                  </w:pPr>
                  <w:r>
                    <w:rPr>
                      <w:color w:val="auto"/>
                    </w:rPr>
                    <w:t>1.25</w:t>
                  </w:r>
                </w:p>
              </w:tc>
              <w:tc>
                <w:tcPr>
                  <w:tcW w:w="1269" w:type="pct"/>
                  <w:tcBorders>
                    <w:tl2br w:val="nil"/>
                    <w:tr2bl w:val="nil"/>
                  </w:tcBorders>
                  <w:shd w:val="clear" w:color="auto" w:fill="auto"/>
                  <w:vAlign w:val="center"/>
                </w:tcPr>
                <w:p>
                  <w:pPr>
                    <w:pStyle w:val="2"/>
                    <w:bidi w:val="0"/>
                    <w:jc w:val="center"/>
                    <w:rPr>
                      <w:color w:val="auto"/>
                    </w:rPr>
                  </w:pPr>
                  <w:r>
                    <w:rPr>
                      <w:color w:val="auto"/>
                    </w:rPr>
                    <w:t>1.25</w:t>
                  </w:r>
                </w:p>
              </w:tc>
              <w:tc>
                <w:tcPr>
                  <w:tcW w:w="1226" w:type="pct"/>
                  <w:tcBorders>
                    <w:tl2br w:val="nil"/>
                    <w:tr2bl w:val="nil"/>
                  </w:tcBorders>
                  <w:shd w:val="clear" w:color="auto" w:fill="auto"/>
                  <w:vAlign w:val="center"/>
                </w:tcPr>
                <w:p>
                  <w:pPr>
                    <w:pStyle w:val="2"/>
                    <w:bidi w:val="0"/>
                    <w:jc w:val="center"/>
                    <w:rPr>
                      <w:color w:val="auto"/>
                    </w:rPr>
                  </w:pPr>
                  <w:r>
                    <w:rPr>
                      <w:color w:val="auto"/>
                    </w:rPr>
                    <w:t>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最终台阶高度（米）</w:t>
                  </w:r>
                </w:p>
              </w:tc>
              <w:tc>
                <w:tcPr>
                  <w:tcW w:w="1361" w:type="pct"/>
                  <w:tcBorders>
                    <w:tl2br w:val="nil"/>
                    <w:tr2bl w:val="nil"/>
                  </w:tcBorders>
                  <w:shd w:val="clear" w:color="auto" w:fill="auto"/>
                  <w:vAlign w:val="center"/>
                </w:tcPr>
                <w:p>
                  <w:pPr>
                    <w:pStyle w:val="2"/>
                    <w:bidi w:val="0"/>
                    <w:jc w:val="center"/>
                    <w:rPr>
                      <w:color w:val="auto"/>
                    </w:rPr>
                  </w:pPr>
                  <w:r>
                    <w:rPr>
                      <w:color w:val="auto"/>
                    </w:rPr>
                    <w:t>10</w:t>
                  </w:r>
                </w:p>
              </w:tc>
              <w:tc>
                <w:tcPr>
                  <w:tcW w:w="1269" w:type="pct"/>
                  <w:tcBorders>
                    <w:tl2br w:val="nil"/>
                    <w:tr2bl w:val="nil"/>
                  </w:tcBorders>
                  <w:shd w:val="clear" w:color="auto" w:fill="auto"/>
                  <w:vAlign w:val="center"/>
                </w:tcPr>
                <w:p>
                  <w:pPr>
                    <w:pStyle w:val="2"/>
                    <w:bidi w:val="0"/>
                    <w:jc w:val="center"/>
                    <w:rPr>
                      <w:color w:val="auto"/>
                    </w:rPr>
                  </w:pPr>
                  <w:r>
                    <w:rPr>
                      <w:color w:val="auto"/>
                    </w:rPr>
                    <w:t>10</w:t>
                  </w:r>
                </w:p>
              </w:tc>
              <w:tc>
                <w:tcPr>
                  <w:tcW w:w="1226" w:type="pct"/>
                  <w:tcBorders>
                    <w:tl2br w:val="nil"/>
                    <w:tr2bl w:val="nil"/>
                  </w:tcBorders>
                  <w:shd w:val="clear" w:color="auto" w:fill="auto"/>
                  <w:vAlign w:val="center"/>
                </w:tcPr>
                <w:p>
                  <w:pPr>
                    <w:pStyle w:val="2"/>
                    <w:bidi w:val="0"/>
                    <w:jc w:val="center"/>
                    <w:rPr>
                      <w:color w:val="auto"/>
                    </w:rPr>
                  </w:pPr>
                  <w:r>
                    <w:rPr>
                      <w:color w:val="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安全平台宽度（米）</w:t>
                  </w:r>
                </w:p>
              </w:tc>
              <w:tc>
                <w:tcPr>
                  <w:tcW w:w="1361" w:type="pct"/>
                  <w:tcBorders>
                    <w:tl2br w:val="nil"/>
                    <w:tr2bl w:val="nil"/>
                  </w:tcBorders>
                  <w:shd w:val="clear" w:color="auto" w:fill="auto"/>
                  <w:vAlign w:val="center"/>
                </w:tcPr>
                <w:p>
                  <w:pPr>
                    <w:pStyle w:val="2"/>
                    <w:bidi w:val="0"/>
                    <w:jc w:val="center"/>
                    <w:rPr>
                      <w:color w:val="auto"/>
                    </w:rPr>
                  </w:pPr>
                  <w:r>
                    <w:rPr>
                      <w:color w:val="auto"/>
                    </w:rPr>
                    <w:t>4</w:t>
                  </w:r>
                </w:p>
              </w:tc>
              <w:tc>
                <w:tcPr>
                  <w:tcW w:w="1269" w:type="pct"/>
                  <w:tcBorders>
                    <w:tl2br w:val="nil"/>
                    <w:tr2bl w:val="nil"/>
                  </w:tcBorders>
                  <w:shd w:val="clear" w:color="auto" w:fill="auto"/>
                  <w:vAlign w:val="center"/>
                </w:tcPr>
                <w:p>
                  <w:pPr>
                    <w:pStyle w:val="2"/>
                    <w:bidi w:val="0"/>
                    <w:jc w:val="center"/>
                    <w:rPr>
                      <w:color w:val="auto"/>
                    </w:rPr>
                  </w:pPr>
                  <w:r>
                    <w:rPr>
                      <w:color w:val="auto"/>
                    </w:rPr>
                    <w:t>4</w:t>
                  </w:r>
                </w:p>
              </w:tc>
              <w:tc>
                <w:tcPr>
                  <w:tcW w:w="1226" w:type="pct"/>
                  <w:tcBorders>
                    <w:tl2br w:val="nil"/>
                    <w:tr2bl w:val="nil"/>
                  </w:tcBorders>
                  <w:shd w:val="clear" w:color="auto" w:fill="auto"/>
                  <w:vAlign w:val="center"/>
                </w:tcPr>
                <w:p>
                  <w:pPr>
                    <w:pStyle w:val="2"/>
                    <w:bidi w:val="0"/>
                    <w:jc w:val="center"/>
                    <w:rPr>
                      <w:color w:val="auto"/>
                    </w:rPr>
                  </w:pPr>
                  <w:r>
                    <w:rPr>
                      <w:color w:val="auto"/>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清扫平台宽度（米）</w:t>
                  </w:r>
                </w:p>
              </w:tc>
              <w:tc>
                <w:tcPr>
                  <w:tcW w:w="1361" w:type="pct"/>
                  <w:tcBorders>
                    <w:tl2br w:val="nil"/>
                    <w:tr2bl w:val="nil"/>
                  </w:tcBorders>
                  <w:shd w:val="clear" w:color="auto" w:fill="auto"/>
                  <w:vAlign w:val="center"/>
                </w:tcPr>
                <w:p>
                  <w:pPr>
                    <w:pStyle w:val="2"/>
                    <w:bidi w:val="0"/>
                    <w:jc w:val="center"/>
                    <w:rPr>
                      <w:color w:val="auto"/>
                    </w:rPr>
                  </w:pPr>
                  <w:r>
                    <w:rPr>
                      <w:color w:val="auto"/>
                    </w:rPr>
                    <w:t>/</w:t>
                  </w:r>
                </w:p>
              </w:tc>
              <w:tc>
                <w:tcPr>
                  <w:tcW w:w="1269" w:type="pct"/>
                  <w:tcBorders>
                    <w:tl2br w:val="nil"/>
                    <w:tr2bl w:val="nil"/>
                  </w:tcBorders>
                  <w:shd w:val="clear" w:color="auto" w:fill="auto"/>
                  <w:vAlign w:val="center"/>
                </w:tcPr>
                <w:p>
                  <w:pPr>
                    <w:pStyle w:val="2"/>
                    <w:bidi w:val="0"/>
                    <w:jc w:val="center"/>
                    <w:rPr>
                      <w:color w:val="auto"/>
                    </w:rPr>
                  </w:pPr>
                  <w:r>
                    <w:rPr>
                      <w:color w:val="auto"/>
                    </w:rPr>
                    <w:t>/</w:t>
                  </w:r>
                </w:p>
              </w:tc>
              <w:tc>
                <w:tcPr>
                  <w:tcW w:w="1226" w:type="pct"/>
                  <w:tcBorders>
                    <w:tl2br w:val="nil"/>
                    <w:tr2bl w:val="nil"/>
                  </w:tcBorders>
                  <w:shd w:val="clear" w:color="auto" w:fill="auto"/>
                  <w:vAlign w:val="center"/>
                </w:tcPr>
                <w:p>
                  <w:pPr>
                    <w:pStyle w:val="2"/>
                    <w:bidi w:val="0"/>
                    <w:jc w:val="center"/>
                    <w:rPr>
                      <w:color w:val="auto"/>
                    </w:rPr>
                  </w:pPr>
                  <w:r>
                    <w:rPr>
                      <w:color w:val="auto"/>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最终台阶坡面角（度）</w:t>
                  </w:r>
                </w:p>
              </w:tc>
              <w:tc>
                <w:tcPr>
                  <w:tcW w:w="1361" w:type="pct"/>
                  <w:tcBorders>
                    <w:tl2br w:val="nil"/>
                    <w:tr2bl w:val="nil"/>
                  </w:tcBorders>
                  <w:shd w:val="clear" w:color="auto" w:fill="auto"/>
                  <w:vAlign w:val="center"/>
                </w:tcPr>
                <w:p>
                  <w:pPr>
                    <w:pStyle w:val="2"/>
                    <w:bidi w:val="0"/>
                    <w:jc w:val="center"/>
                    <w:rPr>
                      <w:color w:val="auto"/>
                    </w:rPr>
                  </w:pPr>
                  <w:r>
                    <w:rPr>
                      <w:color w:val="auto"/>
                    </w:rPr>
                    <w:t>70</w:t>
                  </w:r>
                </w:p>
              </w:tc>
              <w:tc>
                <w:tcPr>
                  <w:tcW w:w="1269" w:type="pct"/>
                  <w:tcBorders>
                    <w:tl2br w:val="nil"/>
                    <w:tr2bl w:val="nil"/>
                  </w:tcBorders>
                  <w:shd w:val="clear" w:color="auto" w:fill="auto"/>
                  <w:vAlign w:val="center"/>
                </w:tcPr>
                <w:p>
                  <w:pPr>
                    <w:pStyle w:val="2"/>
                    <w:bidi w:val="0"/>
                    <w:jc w:val="center"/>
                    <w:rPr>
                      <w:color w:val="auto"/>
                    </w:rPr>
                  </w:pPr>
                  <w:r>
                    <w:rPr>
                      <w:color w:val="auto"/>
                    </w:rPr>
                    <w:t>70</w:t>
                  </w:r>
                </w:p>
              </w:tc>
              <w:tc>
                <w:tcPr>
                  <w:tcW w:w="1226" w:type="pct"/>
                  <w:tcBorders>
                    <w:tl2br w:val="nil"/>
                    <w:tr2bl w:val="nil"/>
                  </w:tcBorders>
                  <w:shd w:val="clear" w:color="auto" w:fill="auto"/>
                  <w:vAlign w:val="center"/>
                </w:tcPr>
                <w:p>
                  <w:pPr>
                    <w:pStyle w:val="2"/>
                    <w:bidi w:val="0"/>
                    <w:jc w:val="center"/>
                    <w:rPr>
                      <w:color w:val="auto"/>
                    </w:rPr>
                  </w:pPr>
                  <w:r>
                    <w:rPr>
                      <w:color w:val="auto"/>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6" w:hRule="atLeast"/>
              </w:trPr>
              <w:tc>
                <w:tcPr>
                  <w:tcW w:w="186" w:type="pct"/>
                  <w:vMerge w:val="restart"/>
                  <w:tcBorders>
                    <w:tl2br w:val="nil"/>
                    <w:tr2bl w:val="nil"/>
                  </w:tcBorders>
                  <w:shd w:val="clear" w:color="auto" w:fill="auto"/>
                  <w:textDirection w:val="tbRlV"/>
                  <w:vAlign w:val="center"/>
                </w:tcPr>
                <w:p>
                  <w:pPr>
                    <w:pStyle w:val="2"/>
                    <w:bidi w:val="0"/>
                    <w:jc w:val="center"/>
                    <w:rPr>
                      <w:color w:val="auto"/>
                    </w:rPr>
                  </w:pPr>
                  <w:r>
                    <w:rPr>
                      <w:color w:val="auto"/>
                    </w:rPr>
                    <w:t>境界尺寸</w:t>
                  </w:r>
                </w:p>
              </w:tc>
              <w:tc>
                <w:tcPr>
                  <w:tcW w:w="189" w:type="pct"/>
                  <w:vMerge w:val="restart"/>
                  <w:tcBorders>
                    <w:tl2br w:val="nil"/>
                    <w:tr2bl w:val="nil"/>
                  </w:tcBorders>
                  <w:shd w:val="clear" w:color="auto" w:fill="auto"/>
                  <w:textDirection w:val="tbRlV"/>
                  <w:vAlign w:val="center"/>
                </w:tcPr>
                <w:p>
                  <w:pPr>
                    <w:pStyle w:val="2"/>
                    <w:bidi w:val="0"/>
                    <w:jc w:val="center"/>
                    <w:rPr>
                      <w:color w:val="auto"/>
                    </w:rPr>
                  </w:pPr>
                  <w:r>
                    <w:rPr>
                      <w:color w:val="auto"/>
                    </w:rPr>
                    <w:t>地表</w:t>
                  </w:r>
                </w:p>
              </w:tc>
              <w:tc>
                <w:tcPr>
                  <w:tcW w:w="766" w:type="pct"/>
                  <w:tcBorders>
                    <w:tl2br w:val="nil"/>
                    <w:tr2bl w:val="nil"/>
                  </w:tcBorders>
                  <w:shd w:val="clear" w:color="auto" w:fill="auto"/>
                  <w:vAlign w:val="center"/>
                </w:tcPr>
                <w:p>
                  <w:pPr>
                    <w:pStyle w:val="2"/>
                    <w:bidi w:val="0"/>
                    <w:jc w:val="center"/>
                    <w:rPr>
                      <w:color w:val="auto"/>
                    </w:rPr>
                  </w:pPr>
                  <w:r>
                    <w:rPr>
                      <w:color w:val="auto"/>
                    </w:rPr>
                    <w:t>长（米）</w:t>
                  </w:r>
                </w:p>
              </w:tc>
              <w:tc>
                <w:tcPr>
                  <w:tcW w:w="1361" w:type="pct"/>
                  <w:tcBorders>
                    <w:tl2br w:val="nil"/>
                    <w:tr2bl w:val="nil"/>
                  </w:tcBorders>
                  <w:shd w:val="clear" w:color="auto" w:fill="auto"/>
                  <w:vAlign w:val="center"/>
                </w:tcPr>
                <w:p>
                  <w:pPr>
                    <w:pStyle w:val="2"/>
                    <w:bidi w:val="0"/>
                    <w:jc w:val="center"/>
                    <w:rPr>
                      <w:color w:val="auto"/>
                    </w:rPr>
                  </w:pPr>
                  <w:r>
                    <w:rPr>
                      <w:color w:val="auto"/>
                    </w:rPr>
                    <w:t>230</w:t>
                  </w:r>
                </w:p>
              </w:tc>
              <w:tc>
                <w:tcPr>
                  <w:tcW w:w="1269" w:type="pct"/>
                  <w:tcBorders>
                    <w:tl2br w:val="nil"/>
                    <w:tr2bl w:val="nil"/>
                  </w:tcBorders>
                  <w:shd w:val="clear" w:color="auto" w:fill="auto"/>
                  <w:vAlign w:val="center"/>
                </w:tcPr>
                <w:p>
                  <w:pPr>
                    <w:pStyle w:val="2"/>
                    <w:bidi w:val="0"/>
                    <w:jc w:val="center"/>
                    <w:rPr>
                      <w:color w:val="auto"/>
                    </w:rPr>
                  </w:pPr>
                  <w:r>
                    <w:rPr>
                      <w:color w:val="auto"/>
                    </w:rPr>
                    <w:t>292</w:t>
                  </w:r>
                </w:p>
              </w:tc>
              <w:tc>
                <w:tcPr>
                  <w:tcW w:w="1226" w:type="pct"/>
                  <w:tcBorders>
                    <w:tl2br w:val="nil"/>
                    <w:tr2bl w:val="nil"/>
                  </w:tcBorders>
                  <w:shd w:val="clear" w:color="auto" w:fill="auto"/>
                  <w:vAlign w:val="center"/>
                </w:tcPr>
                <w:p>
                  <w:pPr>
                    <w:pStyle w:val="2"/>
                    <w:bidi w:val="0"/>
                    <w:jc w:val="center"/>
                    <w:rPr>
                      <w:color w:val="auto"/>
                    </w:rPr>
                  </w:pPr>
                  <w:r>
                    <w:rPr>
                      <w:color w:val="auto"/>
                    </w:rPr>
                    <w:t>270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86" w:type="pct"/>
                  <w:vMerge w:val="continue"/>
                  <w:tcBorders>
                    <w:tl2br w:val="nil"/>
                    <w:tr2bl w:val="nil"/>
                  </w:tcBorders>
                  <w:shd w:val="clear" w:color="auto" w:fill="auto"/>
                  <w:textDirection w:val="tbRlV"/>
                  <w:vAlign w:val="center"/>
                </w:tcPr>
                <w:p>
                  <w:pPr>
                    <w:pStyle w:val="2"/>
                    <w:bidi w:val="0"/>
                    <w:jc w:val="center"/>
                    <w:rPr>
                      <w:color w:val="auto"/>
                    </w:rPr>
                  </w:pPr>
                </w:p>
              </w:tc>
              <w:tc>
                <w:tcPr>
                  <w:tcW w:w="189" w:type="pct"/>
                  <w:vMerge w:val="continue"/>
                  <w:tcBorders>
                    <w:tl2br w:val="nil"/>
                    <w:tr2bl w:val="nil"/>
                  </w:tcBorders>
                  <w:shd w:val="clear" w:color="auto" w:fill="auto"/>
                  <w:textDirection w:val="tbRlV"/>
                  <w:vAlign w:val="center"/>
                </w:tcPr>
                <w:p>
                  <w:pPr>
                    <w:pStyle w:val="2"/>
                    <w:bidi w:val="0"/>
                    <w:jc w:val="center"/>
                    <w:rPr>
                      <w:color w:val="auto"/>
                    </w:rPr>
                  </w:pPr>
                </w:p>
              </w:tc>
              <w:tc>
                <w:tcPr>
                  <w:tcW w:w="766" w:type="pct"/>
                  <w:tcBorders>
                    <w:tl2br w:val="nil"/>
                    <w:tr2bl w:val="nil"/>
                  </w:tcBorders>
                  <w:shd w:val="clear" w:color="auto" w:fill="auto"/>
                  <w:vAlign w:val="center"/>
                </w:tcPr>
                <w:p>
                  <w:pPr>
                    <w:pStyle w:val="2"/>
                    <w:bidi w:val="0"/>
                    <w:jc w:val="center"/>
                    <w:rPr>
                      <w:color w:val="auto"/>
                    </w:rPr>
                  </w:pPr>
                  <w:r>
                    <w:rPr>
                      <w:color w:val="auto"/>
                    </w:rPr>
                    <w:t>宽（米）</w:t>
                  </w:r>
                </w:p>
              </w:tc>
              <w:tc>
                <w:tcPr>
                  <w:tcW w:w="1361" w:type="pct"/>
                  <w:tcBorders>
                    <w:tl2br w:val="nil"/>
                    <w:tr2bl w:val="nil"/>
                  </w:tcBorders>
                  <w:shd w:val="clear" w:color="auto" w:fill="auto"/>
                  <w:vAlign w:val="center"/>
                </w:tcPr>
                <w:p>
                  <w:pPr>
                    <w:pStyle w:val="2"/>
                    <w:bidi w:val="0"/>
                    <w:jc w:val="center"/>
                    <w:rPr>
                      <w:color w:val="auto"/>
                    </w:rPr>
                  </w:pPr>
                  <w:r>
                    <w:rPr>
                      <w:color w:val="auto"/>
                    </w:rPr>
                    <w:t>140</w:t>
                  </w:r>
                </w:p>
              </w:tc>
              <w:tc>
                <w:tcPr>
                  <w:tcW w:w="1269" w:type="pct"/>
                  <w:tcBorders>
                    <w:tl2br w:val="nil"/>
                    <w:tr2bl w:val="nil"/>
                  </w:tcBorders>
                  <w:shd w:val="clear" w:color="auto" w:fill="auto"/>
                  <w:vAlign w:val="center"/>
                </w:tcPr>
                <w:p>
                  <w:pPr>
                    <w:pStyle w:val="2"/>
                    <w:bidi w:val="0"/>
                    <w:jc w:val="center"/>
                    <w:rPr>
                      <w:color w:val="auto"/>
                    </w:rPr>
                  </w:pPr>
                  <w:r>
                    <w:rPr>
                      <w:color w:val="auto"/>
                    </w:rPr>
                    <w:t>173</w:t>
                  </w:r>
                </w:p>
              </w:tc>
              <w:tc>
                <w:tcPr>
                  <w:tcW w:w="1226" w:type="pct"/>
                  <w:tcBorders>
                    <w:tl2br w:val="nil"/>
                    <w:tr2bl w:val="nil"/>
                  </w:tcBorders>
                  <w:shd w:val="clear" w:color="auto" w:fill="auto"/>
                  <w:vAlign w:val="center"/>
                </w:tcPr>
                <w:p>
                  <w:pPr>
                    <w:pStyle w:val="2"/>
                    <w:bidi w:val="0"/>
                    <w:jc w:val="center"/>
                    <w:rPr>
                      <w:color w:val="auto"/>
                    </w:rPr>
                  </w:pPr>
                  <w:r>
                    <w:rPr>
                      <w:color w:val="auto"/>
                    </w:rPr>
                    <w:t>140</w:t>
                  </w:r>
                  <w:r>
                    <w:rPr>
                      <w:rFonts w:hint="eastAsia"/>
                      <w:color w:val="auto"/>
                      <w:lang w:eastAsia="zh-CN"/>
                    </w:rPr>
                    <w:t>~</w:t>
                  </w:r>
                  <w:r>
                    <w:rPr>
                      <w:color w:val="auto"/>
                    </w:rPr>
                    <w:t>191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86" w:type="pct"/>
                  <w:vMerge w:val="continue"/>
                  <w:tcBorders>
                    <w:tl2br w:val="nil"/>
                    <w:tr2bl w:val="nil"/>
                  </w:tcBorders>
                  <w:shd w:val="clear" w:color="auto" w:fill="auto"/>
                  <w:textDirection w:val="tbRlV"/>
                  <w:vAlign w:val="center"/>
                </w:tcPr>
                <w:p>
                  <w:pPr>
                    <w:pStyle w:val="2"/>
                    <w:bidi w:val="0"/>
                    <w:jc w:val="center"/>
                    <w:rPr>
                      <w:color w:val="auto"/>
                    </w:rPr>
                  </w:pPr>
                </w:p>
              </w:tc>
              <w:tc>
                <w:tcPr>
                  <w:tcW w:w="189" w:type="pct"/>
                  <w:vMerge w:val="restart"/>
                  <w:tcBorders>
                    <w:tl2br w:val="nil"/>
                    <w:tr2bl w:val="nil"/>
                  </w:tcBorders>
                  <w:shd w:val="clear" w:color="auto" w:fill="auto"/>
                  <w:textDirection w:val="tbRlV"/>
                  <w:vAlign w:val="center"/>
                </w:tcPr>
                <w:p>
                  <w:pPr>
                    <w:pStyle w:val="2"/>
                    <w:bidi w:val="0"/>
                    <w:jc w:val="center"/>
                    <w:rPr>
                      <w:color w:val="auto"/>
                    </w:rPr>
                  </w:pPr>
                  <w:r>
                    <w:rPr>
                      <w:color w:val="auto"/>
                    </w:rPr>
                    <w:t>底部</w:t>
                  </w:r>
                </w:p>
              </w:tc>
              <w:tc>
                <w:tcPr>
                  <w:tcW w:w="766" w:type="pct"/>
                  <w:tcBorders>
                    <w:tl2br w:val="nil"/>
                    <w:tr2bl w:val="nil"/>
                  </w:tcBorders>
                  <w:shd w:val="clear" w:color="auto" w:fill="auto"/>
                  <w:vAlign w:val="center"/>
                </w:tcPr>
                <w:p>
                  <w:pPr>
                    <w:pStyle w:val="2"/>
                    <w:bidi w:val="0"/>
                    <w:jc w:val="center"/>
                    <w:rPr>
                      <w:color w:val="auto"/>
                    </w:rPr>
                  </w:pPr>
                  <w:r>
                    <w:rPr>
                      <w:color w:val="auto"/>
                    </w:rPr>
                    <w:t>长（米）</w:t>
                  </w:r>
                </w:p>
              </w:tc>
              <w:tc>
                <w:tcPr>
                  <w:tcW w:w="1361" w:type="pct"/>
                  <w:tcBorders>
                    <w:tl2br w:val="nil"/>
                    <w:tr2bl w:val="nil"/>
                  </w:tcBorders>
                  <w:shd w:val="clear" w:color="auto" w:fill="auto"/>
                  <w:vAlign w:val="center"/>
                </w:tcPr>
                <w:p>
                  <w:pPr>
                    <w:pStyle w:val="2"/>
                    <w:bidi w:val="0"/>
                    <w:jc w:val="center"/>
                    <w:rPr>
                      <w:color w:val="auto"/>
                    </w:rPr>
                  </w:pPr>
                  <w:r>
                    <w:rPr>
                      <w:color w:val="auto"/>
                    </w:rPr>
                    <w:t>175</w:t>
                  </w:r>
                </w:p>
              </w:tc>
              <w:tc>
                <w:tcPr>
                  <w:tcW w:w="1269" w:type="pct"/>
                  <w:tcBorders>
                    <w:tl2br w:val="nil"/>
                    <w:tr2bl w:val="nil"/>
                  </w:tcBorders>
                  <w:shd w:val="clear" w:color="auto" w:fill="auto"/>
                  <w:vAlign w:val="center"/>
                </w:tcPr>
                <w:p>
                  <w:pPr>
                    <w:pStyle w:val="2"/>
                    <w:bidi w:val="0"/>
                    <w:jc w:val="center"/>
                    <w:rPr>
                      <w:color w:val="auto"/>
                    </w:rPr>
                  </w:pPr>
                  <w:r>
                    <w:rPr>
                      <w:color w:val="auto"/>
                    </w:rPr>
                    <w:t>240</w:t>
                  </w:r>
                </w:p>
              </w:tc>
              <w:tc>
                <w:tcPr>
                  <w:tcW w:w="1226" w:type="pct"/>
                  <w:tcBorders>
                    <w:tl2br w:val="nil"/>
                    <w:tr2bl w:val="nil"/>
                  </w:tcBorders>
                  <w:shd w:val="clear" w:color="auto" w:fill="auto"/>
                  <w:vAlign w:val="center"/>
                </w:tcPr>
                <w:p>
                  <w:pPr>
                    <w:pStyle w:val="2"/>
                    <w:bidi w:val="0"/>
                    <w:jc w:val="center"/>
                    <w:rPr>
                      <w:color w:val="auto"/>
                    </w:rPr>
                  </w:pPr>
                  <w:r>
                    <w:rPr>
                      <w:color w:val="auto"/>
                    </w:rPr>
                    <w:t>209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86" w:type="pct"/>
                  <w:vMerge w:val="continue"/>
                  <w:tcBorders>
                    <w:tl2br w:val="nil"/>
                    <w:tr2bl w:val="nil"/>
                  </w:tcBorders>
                  <w:shd w:val="clear" w:color="auto" w:fill="auto"/>
                  <w:textDirection w:val="tbRlV"/>
                  <w:vAlign w:val="center"/>
                </w:tcPr>
                <w:p>
                  <w:pPr>
                    <w:pStyle w:val="2"/>
                    <w:bidi w:val="0"/>
                    <w:jc w:val="center"/>
                    <w:rPr>
                      <w:color w:val="auto"/>
                    </w:rPr>
                  </w:pPr>
                </w:p>
              </w:tc>
              <w:tc>
                <w:tcPr>
                  <w:tcW w:w="189" w:type="pct"/>
                  <w:vMerge w:val="continue"/>
                  <w:tcBorders>
                    <w:tl2br w:val="nil"/>
                    <w:tr2bl w:val="nil"/>
                  </w:tcBorders>
                  <w:shd w:val="clear" w:color="auto" w:fill="auto"/>
                  <w:textDirection w:val="tbRlV"/>
                  <w:vAlign w:val="center"/>
                </w:tcPr>
                <w:p>
                  <w:pPr>
                    <w:pStyle w:val="2"/>
                    <w:bidi w:val="0"/>
                    <w:jc w:val="center"/>
                    <w:rPr>
                      <w:color w:val="auto"/>
                    </w:rPr>
                  </w:pPr>
                </w:p>
              </w:tc>
              <w:tc>
                <w:tcPr>
                  <w:tcW w:w="766" w:type="pct"/>
                  <w:tcBorders>
                    <w:tl2br w:val="nil"/>
                    <w:tr2bl w:val="nil"/>
                  </w:tcBorders>
                  <w:shd w:val="clear" w:color="auto" w:fill="auto"/>
                  <w:vAlign w:val="center"/>
                </w:tcPr>
                <w:p>
                  <w:pPr>
                    <w:pStyle w:val="2"/>
                    <w:bidi w:val="0"/>
                    <w:jc w:val="center"/>
                    <w:rPr>
                      <w:color w:val="auto"/>
                    </w:rPr>
                  </w:pPr>
                  <w:r>
                    <w:rPr>
                      <w:color w:val="auto"/>
                    </w:rPr>
                    <w:t>宽（米）</w:t>
                  </w:r>
                </w:p>
              </w:tc>
              <w:tc>
                <w:tcPr>
                  <w:tcW w:w="1361" w:type="pct"/>
                  <w:tcBorders>
                    <w:tl2br w:val="nil"/>
                    <w:tr2bl w:val="nil"/>
                  </w:tcBorders>
                  <w:shd w:val="clear" w:color="auto" w:fill="auto"/>
                  <w:vAlign w:val="center"/>
                </w:tcPr>
                <w:p>
                  <w:pPr>
                    <w:pStyle w:val="2"/>
                    <w:bidi w:val="0"/>
                    <w:jc w:val="center"/>
                    <w:rPr>
                      <w:color w:val="auto"/>
                    </w:rPr>
                  </w:pPr>
                  <w:r>
                    <w:rPr>
                      <w:color w:val="auto"/>
                    </w:rPr>
                    <w:t>76</w:t>
                  </w:r>
                </w:p>
              </w:tc>
              <w:tc>
                <w:tcPr>
                  <w:tcW w:w="1269" w:type="pct"/>
                  <w:tcBorders>
                    <w:tl2br w:val="nil"/>
                    <w:tr2bl w:val="nil"/>
                  </w:tcBorders>
                  <w:shd w:val="clear" w:color="auto" w:fill="auto"/>
                  <w:vAlign w:val="center"/>
                </w:tcPr>
                <w:p>
                  <w:pPr>
                    <w:pStyle w:val="2"/>
                    <w:bidi w:val="0"/>
                    <w:jc w:val="center"/>
                    <w:rPr>
                      <w:color w:val="auto"/>
                    </w:rPr>
                  </w:pPr>
                  <w:r>
                    <w:rPr>
                      <w:color w:val="auto"/>
                    </w:rPr>
                    <w:t>124</w:t>
                  </w:r>
                </w:p>
              </w:tc>
              <w:tc>
                <w:tcPr>
                  <w:tcW w:w="1226" w:type="pct"/>
                  <w:tcBorders>
                    <w:tl2br w:val="nil"/>
                    <w:tr2bl w:val="nil"/>
                  </w:tcBorders>
                  <w:shd w:val="clear" w:color="auto" w:fill="auto"/>
                  <w:vAlign w:val="center"/>
                </w:tcPr>
                <w:p>
                  <w:pPr>
                    <w:pStyle w:val="2"/>
                    <w:bidi w:val="0"/>
                    <w:jc w:val="center"/>
                    <w:rPr>
                      <w:color w:val="auto"/>
                    </w:rPr>
                  </w:pPr>
                  <w:r>
                    <w:rPr>
                      <w:color w:val="auto"/>
                    </w:rPr>
                    <w:t>70</w:t>
                  </w:r>
                  <w:r>
                    <w:rPr>
                      <w:rFonts w:hint="eastAsia"/>
                      <w:color w:val="auto"/>
                      <w:lang w:eastAsia="zh-CN"/>
                    </w:rPr>
                    <w:t>~</w:t>
                  </w:r>
                  <w:r>
                    <w:rPr>
                      <w:color w:val="auto"/>
                    </w:rPr>
                    <w:t>127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6"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最终帮坡角（度）</w:t>
                  </w:r>
                </w:p>
              </w:tc>
              <w:tc>
                <w:tcPr>
                  <w:tcW w:w="1361" w:type="pct"/>
                  <w:tcBorders>
                    <w:tl2br w:val="nil"/>
                    <w:tr2bl w:val="nil"/>
                  </w:tcBorders>
                  <w:shd w:val="clear" w:color="auto" w:fill="auto"/>
                  <w:vAlign w:val="center"/>
                </w:tcPr>
                <w:p>
                  <w:pPr>
                    <w:pStyle w:val="2"/>
                    <w:bidi w:val="0"/>
                    <w:jc w:val="center"/>
                    <w:rPr>
                      <w:color w:val="auto"/>
                    </w:rPr>
                  </w:pPr>
                  <w:r>
                    <w:rPr>
                      <w:color w:val="auto"/>
                    </w:rPr>
                    <w:t>41°~51°</w:t>
                  </w:r>
                </w:p>
              </w:tc>
              <w:tc>
                <w:tcPr>
                  <w:tcW w:w="1269" w:type="pct"/>
                  <w:tcBorders>
                    <w:tl2br w:val="nil"/>
                    <w:tr2bl w:val="nil"/>
                  </w:tcBorders>
                  <w:shd w:val="clear" w:color="auto" w:fill="auto"/>
                  <w:vAlign w:val="center"/>
                </w:tcPr>
                <w:p>
                  <w:pPr>
                    <w:pStyle w:val="2"/>
                    <w:bidi w:val="0"/>
                    <w:jc w:val="center"/>
                    <w:rPr>
                      <w:color w:val="auto"/>
                    </w:rPr>
                  </w:pPr>
                  <w:r>
                    <w:rPr>
                      <w:color w:val="auto"/>
                    </w:rPr>
                    <w:t>45°~57°</w:t>
                  </w:r>
                </w:p>
              </w:tc>
              <w:tc>
                <w:tcPr>
                  <w:tcW w:w="1226" w:type="pct"/>
                  <w:tcBorders>
                    <w:tl2br w:val="nil"/>
                    <w:tr2bl w:val="nil"/>
                  </w:tcBorders>
                  <w:shd w:val="clear" w:color="auto" w:fill="auto"/>
                  <w:vAlign w:val="center"/>
                </w:tcPr>
                <w:p>
                  <w:pPr>
                    <w:pStyle w:val="2"/>
                    <w:bidi w:val="0"/>
                    <w:jc w:val="center"/>
                    <w:rPr>
                      <w:color w:val="auto"/>
                    </w:rPr>
                  </w:pPr>
                  <w:r>
                    <w:rPr>
                      <w:color w:val="auto"/>
                    </w:rPr>
                    <w:t>45°~49°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43" w:type="pct"/>
                  <w:gridSpan w:val="3"/>
                  <w:tcBorders>
                    <w:tl2br w:val="nil"/>
                    <w:tr2bl w:val="nil"/>
                  </w:tcBorders>
                  <w:shd w:val="clear" w:color="auto" w:fill="auto"/>
                  <w:vAlign w:val="center"/>
                </w:tcPr>
                <w:p>
                  <w:pPr>
                    <w:pStyle w:val="2"/>
                    <w:bidi w:val="0"/>
                    <w:jc w:val="center"/>
                    <w:rPr>
                      <w:color w:val="auto"/>
                    </w:rPr>
                  </w:pPr>
                  <w:r>
                    <w:rPr>
                      <w:color w:val="auto"/>
                    </w:rPr>
                    <w:t>封闭圈标高（米）</w:t>
                  </w:r>
                </w:p>
              </w:tc>
              <w:tc>
                <w:tcPr>
                  <w:tcW w:w="1361" w:type="pct"/>
                  <w:tcBorders>
                    <w:tl2br w:val="nil"/>
                    <w:tr2bl w:val="nil"/>
                  </w:tcBorders>
                  <w:shd w:val="clear" w:color="auto" w:fill="auto"/>
                  <w:vAlign w:val="center"/>
                </w:tcPr>
                <w:p>
                  <w:pPr>
                    <w:pStyle w:val="2"/>
                    <w:bidi w:val="0"/>
                    <w:jc w:val="center"/>
                    <w:rPr>
                      <w:color w:val="auto"/>
                    </w:rPr>
                  </w:pPr>
                  <w:r>
                    <w:rPr>
                      <w:color w:val="auto"/>
                    </w:rPr>
                    <w:t>2408</w:t>
                  </w:r>
                </w:p>
              </w:tc>
              <w:tc>
                <w:tcPr>
                  <w:tcW w:w="1269" w:type="pct"/>
                  <w:tcBorders>
                    <w:tl2br w:val="nil"/>
                    <w:tr2bl w:val="nil"/>
                  </w:tcBorders>
                  <w:shd w:val="clear" w:color="auto" w:fill="auto"/>
                  <w:vAlign w:val="center"/>
                </w:tcPr>
                <w:p>
                  <w:pPr>
                    <w:pStyle w:val="2"/>
                    <w:bidi w:val="0"/>
                    <w:jc w:val="center"/>
                    <w:rPr>
                      <w:color w:val="auto"/>
                    </w:rPr>
                  </w:pPr>
                  <w:r>
                    <w:rPr>
                      <w:color w:val="auto"/>
                    </w:rPr>
                    <w:t>2403</w:t>
                  </w:r>
                </w:p>
              </w:tc>
              <w:tc>
                <w:tcPr>
                  <w:tcW w:w="1226" w:type="pct"/>
                  <w:tcBorders>
                    <w:tl2br w:val="nil"/>
                    <w:tr2bl w:val="nil"/>
                  </w:tcBorders>
                  <w:shd w:val="clear" w:color="auto" w:fill="auto"/>
                  <w:vAlign w:val="center"/>
                </w:tcPr>
                <w:p>
                  <w:pPr>
                    <w:pStyle w:val="2"/>
                    <w:bidi w:val="0"/>
                    <w:jc w:val="center"/>
                    <w:rPr>
                      <w:color w:val="auto"/>
                    </w:rPr>
                  </w:pPr>
                  <w:r>
                    <w:rPr>
                      <w:color w:val="auto"/>
                    </w:rPr>
                    <w:t>2351</w:t>
                  </w:r>
                </w:p>
              </w:tc>
            </w:tr>
          </w:tbl>
          <w:p>
            <w:pPr>
              <w:pStyle w:val="5"/>
              <w:rPr>
                <w:color w:val="auto"/>
              </w:rPr>
            </w:pPr>
            <w:r>
              <w:rPr>
                <w:rFonts w:hint="eastAsia"/>
                <w:color w:val="auto"/>
                <w:lang w:val="en-US" w:eastAsia="zh-CN"/>
              </w:rPr>
              <w:t>3</w:t>
            </w:r>
            <w:r>
              <w:rPr>
                <w:color w:val="auto"/>
              </w:rPr>
              <w:t>、</w:t>
            </w:r>
            <w:r>
              <w:rPr>
                <w:rFonts w:hint="eastAsia"/>
                <w:color w:val="auto"/>
              </w:rPr>
              <w:t>建设规模及产品方案</w:t>
            </w:r>
          </w:p>
          <w:p>
            <w:pPr>
              <w:pStyle w:val="5"/>
              <w:rPr>
                <w:color w:val="auto"/>
              </w:rPr>
            </w:pPr>
            <w:r>
              <w:rPr>
                <w:rFonts w:hint="eastAsia"/>
                <w:color w:val="auto"/>
                <w:lang w:val="en-US" w:eastAsia="zh-CN"/>
              </w:rPr>
              <w:t>3.</w:t>
            </w:r>
            <w:r>
              <w:rPr>
                <w:rFonts w:hint="eastAsia"/>
                <w:color w:val="auto"/>
              </w:rPr>
              <w:t>1</w:t>
            </w:r>
            <w:r>
              <w:rPr>
                <w:color w:val="auto"/>
              </w:rPr>
              <w:t>建设规模</w:t>
            </w:r>
          </w:p>
          <w:p>
            <w:pPr>
              <w:bidi w:val="0"/>
              <w:rPr>
                <w:color w:val="auto"/>
              </w:rPr>
            </w:pPr>
            <w:r>
              <w:rPr>
                <w:color w:val="auto"/>
              </w:rPr>
              <w:t>根据</w:t>
            </w:r>
            <w:r>
              <w:rPr>
                <w:rFonts w:hint="eastAsia"/>
                <w:color w:val="auto"/>
              </w:rPr>
              <w:t>矿区</w:t>
            </w:r>
            <w:r>
              <w:rPr>
                <w:color w:val="auto"/>
              </w:rPr>
              <w:t>资源条件，</w:t>
            </w:r>
            <w:r>
              <w:rPr>
                <w:rFonts w:hint="eastAsia"/>
                <w:color w:val="auto"/>
                <w:lang w:eastAsia="zh-CN"/>
              </w:rPr>
              <w:t>设计年开采</w:t>
            </w:r>
            <w:r>
              <w:rPr>
                <w:rFonts w:hint="eastAsia"/>
                <w:color w:val="auto"/>
                <w:lang w:val="en-US" w:eastAsia="zh-CN"/>
              </w:rPr>
              <w:t>1.5</w:t>
            </w:r>
            <w:r>
              <w:rPr>
                <w:color w:val="auto"/>
              </w:rPr>
              <w:t>万m</w:t>
            </w:r>
            <w:r>
              <w:rPr>
                <w:color w:val="auto"/>
                <w:vertAlign w:val="superscript"/>
              </w:rPr>
              <w:t>3</w:t>
            </w:r>
            <w:r>
              <w:rPr>
                <w:rFonts w:hint="eastAsia"/>
                <w:color w:val="auto"/>
              </w:rPr>
              <w:t>饰面石材花岗岩矿荒料。设计矿区服务年限</w:t>
            </w:r>
            <w:r>
              <w:rPr>
                <w:rFonts w:hint="eastAsia"/>
                <w:color w:val="auto"/>
                <w:lang w:val="en-US" w:eastAsia="zh-CN"/>
              </w:rPr>
              <w:t>16.78</w:t>
            </w:r>
            <w:r>
              <w:rPr>
                <w:rFonts w:hint="eastAsia"/>
                <w:color w:val="auto"/>
              </w:rPr>
              <w:t>年，基建期</w:t>
            </w:r>
            <w:r>
              <w:rPr>
                <w:rFonts w:hint="eastAsia"/>
                <w:color w:val="auto"/>
                <w:lang w:val="en-US" w:eastAsia="zh-CN"/>
              </w:rPr>
              <w:t>0.5</w:t>
            </w:r>
            <w:r>
              <w:rPr>
                <w:rFonts w:hint="eastAsia"/>
                <w:color w:val="auto"/>
              </w:rPr>
              <w:t>年，矿山闭坑后0.</w:t>
            </w:r>
            <w:r>
              <w:rPr>
                <w:rFonts w:hint="eastAsia"/>
                <w:color w:val="auto"/>
                <w:lang w:val="en-US" w:eastAsia="zh-CN"/>
              </w:rPr>
              <w:t>25</w:t>
            </w:r>
            <w:r>
              <w:rPr>
                <w:rFonts w:hint="eastAsia"/>
                <w:color w:val="auto"/>
              </w:rPr>
              <w:t>年的土地复垦期。</w:t>
            </w:r>
          </w:p>
          <w:p>
            <w:pPr>
              <w:pStyle w:val="5"/>
              <w:rPr>
                <w:color w:val="auto"/>
              </w:rPr>
            </w:pPr>
            <w:r>
              <w:rPr>
                <w:rFonts w:hint="eastAsia"/>
                <w:color w:val="auto"/>
                <w:lang w:val="en-US" w:eastAsia="zh-CN"/>
              </w:rPr>
              <w:t>3</w:t>
            </w:r>
            <w:r>
              <w:rPr>
                <w:rFonts w:hint="eastAsia"/>
                <w:color w:val="auto"/>
              </w:rPr>
              <w:t>.2</w:t>
            </w:r>
            <w:r>
              <w:rPr>
                <w:color w:val="auto"/>
              </w:rPr>
              <w:t>产品方案</w:t>
            </w:r>
          </w:p>
          <w:p>
            <w:pPr>
              <w:bidi w:val="0"/>
              <w:rPr>
                <w:rFonts w:hint="eastAsia"/>
                <w:color w:val="auto"/>
              </w:rPr>
            </w:pPr>
            <w:r>
              <w:rPr>
                <w:rFonts w:hint="eastAsia"/>
                <w:color w:val="auto"/>
              </w:rPr>
              <w:t>矿山产品方案为饰面石材用花岗岩矿荒料，产品主要供应石材加工厂</w:t>
            </w:r>
            <w:r>
              <w:rPr>
                <w:rFonts w:hint="eastAsia"/>
                <w:color w:val="auto"/>
                <w:lang w:eastAsia="zh-CN"/>
              </w:rPr>
              <w:t>，</w:t>
            </w:r>
            <w:r>
              <w:rPr>
                <w:rFonts w:hint="eastAsia"/>
                <w:color w:val="auto"/>
              </w:rPr>
              <w:t>矿山的荒料规格</w:t>
            </w:r>
            <w:r>
              <w:rPr>
                <w:rFonts w:hint="eastAsia"/>
                <w:color w:val="auto"/>
                <w:lang w:val="en-US" w:eastAsia="zh-CN"/>
              </w:rPr>
              <w:t>不同，大料规格：长度280cm×宽度80 cm×高度150cm；中料规格≥长度200 cm×宽度80 cm×高度140cm；小料规格≥长度100 cm×宽度50 cm×高度40 cm；条石规格尺寸：长度200 cm×宽度150cm×高度125cm</w:t>
            </w:r>
            <w:r>
              <w:rPr>
                <w:rFonts w:hint="eastAsia"/>
                <w:color w:val="auto"/>
              </w:rPr>
              <w:t>。</w:t>
            </w:r>
          </w:p>
          <w:p>
            <w:pPr>
              <w:pStyle w:val="5"/>
              <w:rPr>
                <w:rFonts w:hint="eastAsia"/>
                <w:color w:val="auto"/>
                <w:lang w:eastAsia="zh-CN"/>
              </w:rPr>
            </w:pPr>
            <w:r>
              <w:rPr>
                <w:rFonts w:hint="eastAsia"/>
                <w:color w:val="auto"/>
                <w:lang w:val="en-US" w:eastAsia="zh-CN"/>
              </w:rPr>
              <w:t>4</w:t>
            </w:r>
            <w:r>
              <w:rPr>
                <w:rFonts w:hint="eastAsia"/>
                <w:color w:val="auto"/>
              </w:rPr>
              <w:t>、</w:t>
            </w:r>
            <w:r>
              <w:rPr>
                <w:rFonts w:hint="eastAsia"/>
                <w:color w:val="auto"/>
                <w:lang w:eastAsia="zh-CN"/>
              </w:rPr>
              <w:t>主要经济指标</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表</w:t>
            </w:r>
            <w:r>
              <w:rPr>
                <w:rFonts w:hint="eastAsia" w:cs="Times New Roman"/>
                <w:b/>
                <w:color w:val="auto"/>
                <w:kern w:val="2"/>
                <w:sz w:val="21"/>
                <w:szCs w:val="20"/>
                <w:lang w:val="en-US" w:eastAsia="zh-CN" w:bidi="ar-SA"/>
              </w:rPr>
              <w:t>2-8</w:t>
            </w:r>
            <w:r>
              <w:rPr>
                <w:rFonts w:hint="eastAsia" w:ascii="Times New Roman" w:hAnsi="Times New Roman" w:eastAsia="宋体" w:cs="Times New Roman"/>
                <w:b/>
                <w:color w:val="auto"/>
                <w:kern w:val="2"/>
                <w:sz w:val="21"/>
                <w:szCs w:val="20"/>
                <w:lang w:val="en-US" w:eastAsia="zh-CN" w:bidi="ar-SA"/>
              </w:rPr>
              <w:t xml:space="preserve">                        主要技术经济指标一览表</w:t>
            </w:r>
          </w:p>
          <w:tbl>
            <w:tblPr>
              <w:tblStyle w:val="30"/>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5"/>
              <w:gridCol w:w="2782"/>
              <w:gridCol w:w="1032"/>
              <w:gridCol w:w="1475"/>
              <w:gridCol w:w="1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84"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指标名称</w:t>
                  </w:r>
                </w:p>
              </w:tc>
              <w:tc>
                <w:tcPr>
                  <w:tcW w:w="662"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单位</w:t>
                  </w:r>
                </w:p>
              </w:tc>
              <w:tc>
                <w:tcPr>
                  <w:tcW w:w="946"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数值</w:t>
                  </w:r>
                </w:p>
              </w:tc>
              <w:tc>
                <w:tcPr>
                  <w:tcW w:w="1167"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1</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评审通过的资源量</w:t>
                  </w:r>
                </w:p>
              </w:tc>
              <w:tc>
                <w:tcPr>
                  <w:tcW w:w="662" w:type="pct"/>
                  <w:tcBorders>
                    <w:tl2br w:val="nil"/>
                    <w:tr2bl w:val="nil"/>
                  </w:tcBorders>
                  <w:shd w:val="clear" w:color="auto" w:fill="auto"/>
                  <w:noWrap w:val="0"/>
                  <w:vAlign w:val="top"/>
                </w:tcPr>
                <w:p>
                  <w:pPr>
                    <w:pStyle w:val="2"/>
                    <w:bidi w:val="0"/>
                    <w:rPr>
                      <w:rFonts w:hint="default" w:eastAsia="宋体"/>
                      <w:color w:val="auto"/>
                      <w:lang w:val="en-US" w:eastAsia="zh-CN"/>
                    </w:rPr>
                  </w:pPr>
                  <w:r>
                    <w:rPr>
                      <w:color w:val="auto"/>
                    </w:rPr>
                    <w:t>万</w:t>
                  </w:r>
                  <w:r>
                    <w:rPr>
                      <w:rFonts w:hint="eastAsia"/>
                      <w:color w:val="auto"/>
                      <w:lang w:val="en-US" w:eastAsia="zh-CN"/>
                    </w:rPr>
                    <w:t>m</w:t>
                  </w:r>
                  <w:r>
                    <w:rPr>
                      <w:rFonts w:hint="eastAsia"/>
                      <w:color w:val="auto"/>
                      <w:vertAlign w:val="superscript"/>
                      <w:lang w:val="en-US" w:eastAsia="zh-CN"/>
                    </w:rPr>
                    <w:t>3</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127.52</w:t>
                  </w:r>
                </w:p>
              </w:tc>
              <w:tc>
                <w:tcPr>
                  <w:tcW w:w="1167"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27.16（荒料量）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2</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设计利用资源量</w:t>
                  </w:r>
                </w:p>
              </w:tc>
              <w:tc>
                <w:tcPr>
                  <w:tcW w:w="662"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万</w:t>
                  </w:r>
                  <w:r>
                    <w:rPr>
                      <w:rFonts w:hint="eastAsia"/>
                      <w:color w:val="auto"/>
                      <w:lang w:val="en-US" w:eastAsia="zh-CN"/>
                    </w:rPr>
                    <w:t>m</w:t>
                  </w:r>
                  <w:r>
                    <w:rPr>
                      <w:rFonts w:hint="eastAsia"/>
                      <w:color w:val="auto"/>
                      <w:vertAlign w:val="superscript"/>
                      <w:lang w:val="en-US" w:eastAsia="zh-CN"/>
                    </w:rPr>
                    <w:t>3</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124.36</w:t>
                  </w:r>
                </w:p>
              </w:tc>
              <w:tc>
                <w:tcPr>
                  <w:tcW w:w="1167"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26.49（荒料量）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3</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设计损失率</w:t>
                  </w:r>
                </w:p>
              </w:tc>
              <w:tc>
                <w:tcPr>
                  <w:tcW w:w="662"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2.48</w:t>
                  </w:r>
                </w:p>
              </w:tc>
              <w:tc>
                <w:tcPr>
                  <w:tcW w:w="1167" w:type="pct"/>
                  <w:tcBorders>
                    <w:tl2br w:val="nil"/>
                    <w:tr2bl w:val="nil"/>
                  </w:tcBorders>
                  <w:shd w:val="clear" w:color="auto" w:fill="auto"/>
                  <w:noWrap w:val="0"/>
                  <w:vAlign w:val="top"/>
                </w:tcPr>
                <w:p>
                  <w:pPr>
                    <w:pStyle w:val="2"/>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4</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采出矿量</w:t>
                  </w:r>
                </w:p>
              </w:tc>
              <w:tc>
                <w:tcPr>
                  <w:tcW w:w="662"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万</w:t>
                  </w:r>
                  <w:r>
                    <w:rPr>
                      <w:rFonts w:hint="eastAsia"/>
                      <w:color w:val="auto"/>
                      <w:lang w:val="en-US" w:eastAsia="zh-CN"/>
                    </w:rPr>
                    <w:t>m</w:t>
                  </w:r>
                  <w:r>
                    <w:rPr>
                      <w:rFonts w:hint="eastAsia"/>
                      <w:color w:val="auto"/>
                      <w:vertAlign w:val="superscript"/>
                      <w:lang w:val="en-US" w:eastAsia="zh-CN"/>
                    </w:rPr>
                    <w:t>3</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118.14</w:t>
                  </w:r>
                </w:p>
              </w:tc>
              <w:tc>
                <w:tcPr>
                  <w:tcW w:w="1167"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25.17（荒料量）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5</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回采率</w:t>
                  </w:r>
                </w:p>
              </w:tc>
              <w:tc>
                <w:tcPr>
                  <w:tcW w:w="662"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95</w:t>
                  </w:r>
                </w:p>
              </w:tc>
              <w:tc>
                <w:tcPr>
                  <w:tcW w:w="1167" w:type="pct"/>
                  <w:tcBorders>
                    <w:tl2br w:val="nil"/>
                    <w:tr2bl w:val="nil"/>
                  </w:tcBorders>
                  <w:shd w:val="clear" w:color="auto" w:fill="auto"/>
                  <w:noWrap w:val="0"/>
                  <w:vAlign w:val="top"/>
                </w:tcPr>
                <w:p>
                  <w:pPr>
                    <w:pStyle w:val="2"/>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6</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损失率</w:t>
                  </w:r>
                </w:p>
              </w:tc>
              <w:tc>
                <w:tcPr>
                  <w:tcW w:w="662"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5</w:t>
                  </w:r>
                </w:p>
              </w:tc>
              <w:tc>
                <w:tcPr>
                  <w:tcW w:w="1167" w:type="pct"/>
                  <w:tcBorders>
                    <w:tl2br w:val="nil"/>
                    <w:tr2bl w:val="nil"/>
                  </w:tcBorders>
                  <w:shd w:val="clear" w:color="auto" w:fill="auto"/>
                  <w:noWrap w:val="0"/>
                  <w:vAlign w:val="top"/>
                </w:tcPr>
                <w:p>
                  <w:pPr>
                    <w:pStyle w:val="2"/>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7</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贫化率</w:t>
                  </w:r>
                </w:p>
              </w:tc>
              <w:tc>
                <w:tcPr>
                  <w:tcW w:w="662"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0</w:t>
                  </w:r>
                </w:p>
              </w:tc>
              <w:tc>
                <w:tcPr>
                  <w:tcW w:w="1167" w:type="pct"/>
                  <w:tcBorders>
                    <w:tl2br w:val="nil"/>
                    <w:tr2bl w:val="nil"/>
                  </w:tcBorders>
                  <w:shd w:val="clear" w:color="auto" w:fill="auto"/>
                  <w:noWrap w:val="0"/>
                  <w:vAlign w:val="top"/>
                </w:tcPr>
                <w:p>
                  <w:pPr>
                    <w:pStyle w:val="2"/>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8</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矿山生产规模</w:t>
                  </w:r>
                </w:p>
              </w:tc>
              <w:tc>
                <w:tcPr>
                  <w:tcW w:w="662"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万</w:t>
                  </w:r>
                  <w:r>
                    <w:rPr>
                      <w:rFonts w:hint="eastAsia"/>
                      <w:color w:val="auto"/>
                      <w:lang w:val="en-US" w:eastAsia="zh-CN"/>
                    </w:rPr>
                    <w:t>m</w:t>
                  </w:r>
                  <w:r>
                    <w:rPr>
                      <w:rFonts w:hint="eastAsia"/>
                      <w:color w:val="auto"/>
                      <w:vertAlign w:val="superscript"/>
                      <w:lang w:val="en-US" w:eastAsia="zh-CN"/>
                    </w:rPr>
                    <w:t>3</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1.5</w:t>
                  </w:r>
                </w:p>
              </w:tc>
              <w:tc>
                <w:tcPr>
                  <w:tcW w:w="1167"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荒料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9</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服务年限</w:t>
                  </w:r>
                </w:p>
              </w:tc>
              <w:tc>
                <w:tcPr>
                  <w:tcW w:w="662"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年</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16.78</w:t>
                  </w:r>
                </w:p>
              </w:tc>
              <w:tc>
                <w:tcPr>
                  <w:tcW w:w="1167"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16年9个月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10</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开拓方案</w:t>
                  </w:r>
                </w:p>
              </w:tc>
              <w:tc>
                <w:tcPr>
                  <w:tcW w:w="662" w:type="pct"/>
                  <w:tcBorders>
                    <w:tl2br w:val="nil"/>
                    <w:tr2bl w:val="nil"/>
                  </w:tcBorders>
                  <w:shd w:val="clear" w:color="auto" w:fill="auto"/>
                  <w:noWrap w:val="0"/>
                  <w:vAlign w:val="top"/>
                </w:tcPr>
                <w:p>
                  <w:pPr>
                    <w:pStyle w:val="2"/>
                    <w:bidi w:val="0"/>
                    <w:rPr>
                      <w:rFonts w:hint="eastAsia"/>
                      <w:color w:val="auto"/>
                      <w:lang w:val="en-US" w:eastAsia="zh-CN"/>
                    </w:rPr>
                  </w:pPr>
                </w:p>
              </w:tc>
              <w:tc>
                <w:tcPr>
                  <w:tcW w:w="2113" w:type="pct"/>
                  <w:gridSpan w:val="2"/>
                  <w:tcBorders>
                    <w:tl2br w:val="nil"/>
                    <w:tr2bl w:val="nil"/>
                  </w:tcBorders>
                  <w:shd w:val="clear" w:color="auto" w:fill="auto"/>
                  <w:noWrap w:val="0"/>
                  <w:vAlign w:val="top"/>
                </w:tcPr>
                <w:p>
                  <w:pPr>
                    <w:pStyle w:val="2"/>
                    <w:bidi w:val="0"/>
                    <w:rPr>
                      <w:rFonts w:hint="eastAsia"/>
                      <w:color w:val="auto"/>
                      <w:lang w:val="en-US" w:eastAsia="en-US"/>
                    </w:rPr>
                  </w:pPr>
                  <w:r>
                    <w:rPr>
                      <w:color w:val="auto"/>
                    </w:rPr>
                    <w:t>公路开拓、汽车运输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11</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基建工程量</w:t>
                  </w:r>
                </w:p>
              </w:tc>
              <w:tc>
                <w:tcPr>
                  <w:tcW w:w="662"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万</w:t>
                  </w:r>
                  <w:r>
                    <w:rPr>
                      <w:rFonts w:hint="eastAsia"/>
                      <w:color w:val="auto"/>
                      <w:lang w:val="en-US" w:eastAsia="zh-CN"/>
                    </w:rPr>
                    <w:t>m</w:t>
                  </w:r>
                  <w:r>
                    <w:rPr>
                      <w:rFonts w:hint="eastAsia"/>
                      <w:color w:val="auto"/>
                      <w:vertAlign w:val="superscript"/>
                      <w:lang w:val="en-US" w:eastAsia="zh-CN"/>
                    </w:rPr>
                    <w:t>3</w:t>
                  </w:r>
                </w:p>
              </w:tc>
              <w:tc>
                <w:tcPr>
                  <w:tcW w:w="946" w:type="pct"/>
                  <w:tcBorders>
                    <w:tl2br w:val="nil"/>
                    <w:tr2bl w:val="nil"/>
                  </w:tcBorders>
                  <w:shd w:val="clear" w:color="auto" w:fill="auto"/>
                  <w:noWrap w:val="0"/>
                  <w:vAlign w:val="top"/>
                </w:tcPr>
                <w:p>
                  <w:pPr>
                    <w:pStyle w:val="2"/>
                    <w:bidi w:val="0"/>
                    <w:rPr>
                      <w:rFonts w:hint="eastAsia"/>
                      <w:color w:val="auto"/>
                      <w:lang w:val="en-US" w:eastAsia="zh-CN"/>
                    </w:rPr>
                  </w:pPr>
                  <w:r>
                    <w:rPr>
                      <w:color w:val="auto"/>
                    </w:rPr>
                    <w:t>1.07</w:t>
                  </w:r>
                </w:p>
              </w:tc>
              <w:tc>
                <w:tcPr>
                  <w:tcW w:w="1167" w:type="pct"/>
                  <w:tcBorders>
                    <w:tl2br w:val="nil"/>
                    <w:tr2bl w:val="nil"/>
                  </w:tcBorders>
                  <w:shd w:val="clear" w:color="auto" w:fill="auto"/>
                  <w:noWrap w:val="0"/>
                  <w:vAlign w:val="top"/>
                </w:tcPr>
                <w:p>
                  <w:pPr>
                    <w:pStyle w:val="2"/>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439" w:type="pct"/>
                  <w:tcBorders>
                    <w:tl2br w:val="nil"/>
                    <w:tr2bl w:val="nil"/>
                  </w:tcBorders>
                  <w:noWrap w:val="0"/>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12</w:t>
                  </w:r>
                </w:p>
              </w:tc>
              <w:tc>
                <w:tcPr>
                  <w:tcW w:w="1784"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基建期</w:t>
                  </w:r>
                </w:p>
              </w:tc>
              <w:tc>
                <w:tcPr>
                  <w:tcW w:w="662"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年</w:t>
                  </w:r>
                </w:p>
              </w:tc>
              <w:tc>
                <w:tcPr>
                  <w:tcW w:w="946" w:type="pct"/>
                  <w:tcBorders>
                    <w:tl2br w:val="nil"/>
                    <w:tr2bl w:val="nil"/>
                  </w:tcBorders>
                  <w:shd w:val="clear" w:color="auto" w:fill="auto"/>
                  <w:noWrap w:val="0"/>
                  <w:vAlign w:val="top"/>
                </w:tcPr>
                <w:p>
                  <w:pPr>
                    <w:pStyle w:val="2"/>
                    <w:bidi w:val="0"/>
                    <w:rPr>
                      <w:rFonts w:hint="default"/>
                      <w:color w:val="auto"/>
                      <w:lang w:val="en-US" w:eastAsia="zh-CN"/>
                    </w:rPr>
                  </w:pPr>
                  <w:r>
                    <w:rPr>
                      <w:color w:val="auto"/>
                    </w:rPr>
                    <w:t>0.5</w:t>
                  </w:r>
                </w:p>
              </w:tc>
              <w:tc>
                <w:tcPr>
                  <w:tcW w:w="1167" w:type="pct"/>
                  <w:tcBorders>
                    <w:tl2br w:val="nil"/>
                    <w:tr2bl w:val="nil"/>
                  </w:tcBorders>
                  <w:shd w:val="clear" w:color="auto" w:fill="auto"/>
                  <w:noWrap w:val="0"/>
                  <w:vAlign w:val="top"/>
                </w:tcPr>
                <w:p>
                  <w:pPr>
                    <w:pStyle w:val="2"/>
                    <w:bidi w:val="0"/>
                    <w:rPr>
                      <w:rFonts w:hint="eastAsia"/>
                      <w:color w:val="auto"/>
                      <w:lang w:val="en-US" w:eastAsia="en-US"/>
                    </w:rPr>
                  </w:pPr>
                  <w:r>
                    <w:rPr>
                      <w:color w:val="auto"/>
                    </w:rPr>
                    <w:t>6个月</w:t>
                  </w:r>
                </w:p>
              </w:tc>
            </w:tr>
          </w:tbl>
          <w:p>
            <w:pPr>
              <w:pStyle w:val="5"/>
              <w:rPr>
                <w:color w:val="auto"/>
              </w:rPr>
            </w:pPr>
            <w:r>
              <w:rPr>
                <w:rFonts w:hint="eastAsia"/>
                <w:color w:val="auto"/>
                <w:lang w:val="en-US" w:eastAsia="zh-CN"/>
              </w:rPr>
              <w:t>5</w:t>
            </w:r>
            <w:r>
              <w:rPr>
                <w:rFonts w:hint="eastAsia"/>
                <w:color w:val="auto"/>
              </w:rPr>
              <w:t>、</w:t>
            </w:r>
            <w:r>
              <w:rPr>
                <w:color w:val="auto"/>
              </w:rPr>
              <w:t>公用工程</w:t>
            </w:r>
          </w:p>
          <w:p>
            <w:pPr>
              <w:pStyle w:val="5"/>
              <w:rPr>
                <w:color w:val="auto"/>
              </w:rPr>
            </w:pPr>
            <w:r>
              <w:rPr>
                <w:rFonts w:hint="eastAsia"/>
                <w:color w:val="auto"/>
                <w:lang w:val="en-US" w:eastAsia="zh-CN"/>
              </w:rPr>
              <w:t>5</w:t>
            </w:r>
            <w:r>
              <w:rPr>
                <w:rFonts w:hint="eastAsia"/>
                <w:color w:val="auto"/>
              </w:rPr>
              <w:t>.1</w:t>
            </w:r>
            <w:r>
              <w:rPr>
                <w:color w:val="auto"/>
              </w:rPr>
              <w:t>给排水</w:t>
            </w:r>
          </w:p>
          <w:p>
            <w:pPr>
              <w:ind w:firstLine="480"/>
              <w:rPr>
                <w:color w:val="auto"/>
                <w:kern w:val="0"/>
              </w:rPr>
            </w:pPr>
            <w:r>
              <w:rPr>
                <w:rFonts w:hint="eastAsia"/>
                <w:color w:val="auto"/>
                <w:kern w:val="0"/>
              </w:rPr>
              <w:t>（1）</w:t>
            </w:r>
            <w:r>
              <w:rPr>
                <w:color w:val="auto"/>
                <w:kern w:val="0"/>
              </w:rPr>
              <w:t>给水</w:t>
            </w:r>
          </w:p>
          <w:p>
            <w:pPr>
              <w:bidi w:val="0"/>
              <w:rPr>
                <w:rFonts w:hint="default" w:eastAsia="宋体"/>
                <w:color w:val="auto"/>
                <w:lang w:val="en-US" w:eastAsia="zh-CN"/>
              </w:rPr>
            </w:pPr>
            <w:r>
              <w:rPr>
                <w:rFonts w:hint="eastAsia"/>
                <w:lang w:eastAsia="zh-CN"/>
              </w:rPr>
              <w:t>工业用水来自</w:t>
            </w:r>
            <w:r>
              <w:rPr>
                <w:rFonts w:hint="eastAsia"/>
                <w:lang w:val="en-US" w:eastAsia="zh-CN"/>
              </w:rPr>
              <w:t>项目区周边蓄水坑，主要为雨水，少量为雪山融化水，1#取水点位于13号花岗岩矿内，距离本项目约1.4km，取水量约5000m</w:t>
            </w:r>
            <w:r>
              <w:rPr>
                <w:rFonts w:hint="eastAsia"/>
                <w:vertAlign w:val="superscript"/>
                <w:lang w:val="en-US" w:eastAsia="zh-CN"/>
              </w:rPr>
              <w:t>3</w:t>
            </w:r>
            <w:r>
              <w:rPr>
                <w:rFonts w:hint="eastAsia"/>
                <w:lang w:eastAsia="zh-CN"/>
              </w:rPr>
              <w:t>；</w:t>
            </w:r>
            <w:r>
              <w:rPr>
                <w:rFonts w:hint="eastAsia"/>
                <w:lang w:val="en-US" w:eastAsia="zh-CN"/>
              </w:rPr>
              <w:t>2#取水点位于13号花岗岩矿内，距离本项目约1.9km，取水量约3000m</w:t>
            </w:r>
            <w:r>
              <w:rPr>
                <w:rFonts w:hint="eastAsia"/>
                <w:vertAlign w:val="superscript"/>
                <w:lang w:val="en-US" w:eastAsia="zh-CN"/>
              </w:rPr>
              <w:t>3</w:t>
            </w:r>
            <w:r>
              <w:rPr>
                <w:rFonts w:hint="eastAsia"/>
                <w:lang w:val="en-US" w:eastAsia="zh-CN"/>
              </w:rPr>
              <w:t>，3#取水点位于本项目矿区内，取水量约3000m</w:t>
            </w:r>
            <w:r>
              <w:rPr>
                <w:rFonts w:hint="eastAsia"/>
                <w:vertAlign w:val="superscript"/>
                <w:lang w:val="en-US" w:eastAsia="zh-CN"/>
              </w:rPr>
              <w:t>3</w:t>
            </w:r>
            <w:r>
              <w:rPr>
                <w:rFonts w:hint="eastAsia"/>
                <w:lang w:val="en-US" w:eastAsia="zh-CN"/>
              </w:rPr>
              <w:t>；综上，以上蓄水坑可满足本项目用水。</w:t>
            </w:r>
          </w:p>
          <w:p>
            <w:pPr>
              <w:adjustRightInd w:val="0"/>
              <w:snapToGrid w:val="0"/>
              <w:spacing w:line="360" w:lineRule="auto"/>
              <w:ind w:firstLine="504" w:firstLineChars="200"/>
              <w:rPr>
                <w:rFonts w:hint="eastAsia"/>
                <w:color w:val="auto"/>
                <w:spacing w:val="6"/>
                <w:sz w:val="24"/>
              </w:rPr>
            </w:pPr>
            <w:r>
              <w:rPr>
                <w:rFonts w:hint="eastAsia"/>
                <w:color w:val="auto"/>
                <w:spacing w:val="6"/>
                <w:lang w:val="en-US" w:eastAsia="zh-CN"/>
              </w:rPr>
              <w:t>①</w:t>
            </w:r>
            <w:r>
              <w:rPr>
                <w:rFonts w:hint="eastAsia"/>
                <w:color w:val="auto"/>
                <w:spacing w:val="6"/>
              </w:rPr>
              <w:t>生活用水：</w:t>
            </w:r>
            <w:r>
              <w:rPr>
                <w:rFonts w:hint="eastAsia"/>
                <w:color w:val="auto"/>
                <w:spacing w:val="6"/>
                <w:sz w:val="24"/>
              </w:rPr>
              <w:t>项目区劳动定员为</w:t>
            </w:r>
            <w:r>
              <w:rPr>
                <w:rFonts w:hint="eastAsia"/>
                <w:color w:val="auto"/>
                <w:spacing w:val="6"/>
                <w:sz w:val="24"/>
                <w:lang w:val="en-US" w:eastAsia="zh-CN"/>
              </w:rPr>
              <w:t>22</w:t>
            </w:r>
            <w:r>
              <w:rPr>
                <w:rFonts w:hint="eastAsia"/>
                <w:color w:val="auto"/>
                <w:spacing w:val="6"/>
                <w:sz w:val="24"/>
              </w:rPr>
              <w:t>人，根据《新疆维吾尔自治区生活用水定额》南疆地区</w:t>
            </w:r>
            <w:r>
              <w:rPr>
                <w:rFonts w:hint="eastAsia"/>
                <w:color w:val="auto"/>
                <w:spacing w:val="6"/>
                <w:sz w:val="24"/>
                <w:lang w:eastAsia="zh-CN"/>
              </w:rPr>
              <w:t>农村</w:t>
            </w:r>
            <w:r>
              <w:rPr>
                <w:rFonts w:hint="eastAsia"/>
                <w:color w:val="auto"/>
                <w:spacing w:val="6"/>
                <w:sz w:val="24"/>
              </w:rPr>
              <w:t>居民住宅，</w:t>
            </w:r>
            <w:r>
              <w:rPr>
                <w:rFonts w:hint="eastAsia"/>
                <w:color w:val="auto"/>
                <w:spacing w:val="6"/>
                <w:sz w:val="24"/>
                <w:lang w:eastAsia="zh-CN"/>
              </w:rPr>
              <w:t>有上下水设施及淋浴设备</w:t>
            </w:r>
            <w:r>
              <w:rPr>
                <w:rFonts w:hint="eastAsia"/>
                <w:color w:val="auto"/>
                <w:spacing w:val="6"/>
                <w:sz w:val="24"/>
              </w:rPr>
              <w:t>生活用水定额为</w:t>
            </w:r>
            <w:r>
              <w:rPr>
                <w:rFonts w:hint="eastAsia"/>
                <w:color w:val="auto"/>
                <w:spacing w:val="6"/>
                <w:sz w:val="24"/>
                <w:lang w:val="en-US" w:eastAsia="zh-CN"/>
              </w:rPr>
              <w:t>60～80</w:t>
            </w:r>
            <w:r>
              <w:rPr>
                <w:rFonts w:hint="eastAsia"/>
                <w:color w:val="auto"/>
                <w:spacing w:val="6"/>
                <w:sz w:val="24"/>
              </w:rPr>
              <w:t>L/人·d，本项目取</w:t>
            </w:r>
            <w:r>
              <w:rPr>
                <w:rFonts w:hint="eastAsia"/>
                <w:color w:val="auto"/>
                <w:spacing w:val="6"/>
                <w:sz w:val="24"/>
                <w:lang w:val="en-US" w:eastAsia="zh-CN"/>
              </w:rPr>
              <w:t>70</w:t>
            </w:r>
            <w:r>
              <w:rPr>
                <w:rFonts w:hint="eastAsia"/>
                <w:color w:val="auto"/>
                <w:spacing w:val="6"/>
                <w:sz w:val="24"/>
              </w:rPr>
              <w:t>L/人·d计，</w:t>
            </w:r>
            <w:r>
              <w:rPr>
                <w:rFonts w:hint="eastAsia"/>
                <w:color w:val="auto"/>
                <w:spacing w:val="6"/>
                <w:sz w:val="24"/>
                <w:lang w:eastAsia="zh-CN"/>
              </w:rPr>
              <w:t>年工作</w:t>
            </w:r>
            <w:r>
              <w:rPr>
                <w:rFonts w:hint="eastAsia"/>
                <w:color w:val="auto"/>
                <w:spacing w:val="6"/>
                <w:sz w:val="24"/>
                <w:lang w:val="en-US" w:eastAsia="zh-CN"/>
              </w:rPr>
              <w:t>240d，</w:t>
            </w:r>
            <w:r>
              <w:rPr>
                <w:rFonts w:hint="eastAsia"/>
                <w:color w:val="auto"/>
                <w:spacing w:val="6"/>
                <w:sz w:val="24"/>
              </w:rPr>
              <w:t>则矿区生活用水量为</w:t>
            </w:r>
            <w:r>
              <w:rPr>
                <w:rFonts w:hint="eastAsia"/>
                <w:color w:val="auto"/>
                <w:spacing w:val="6"/>
                <w:sz w:val="24"/>
                <w:lang w:val="en-US" w:eastAsia="zh-CN"/>
              </w:rPr>
              <w:t>1.54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369.6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p>
          <w:p>
            <w:pPr>
              <w:ind w:firstLine="504"/>
              <w:rPr>
                <w:rFonts w:hint="eastAsia"/>
                <w:color w:val="auto"/>
              </w:rPr>
            </w:pPr>
            <w:r>
              <w:rPr>
                <w:rFonts w:hint="eastAsia"/>
                <w:color w:val="auto"/>
                <w:spacing w:val="6"/>
                <w:lang w:val="en-US" w:eastAsia="zh-CN"/>
              </w:rPr>
              <w:t>②</w:t>
            </w:r>
            <w:r>
              <w:rPr>
                <w:rFonts w:hint="eastAsia"/>
                <w:color w:val="auto"/>
                <w:spacing w:val="6"/>
              </w:rPr>
              <w:t>洒水降尘：</w:t>
            </w:r>
            <w:r>
              <w:rPr>
                <w:rFonts w:hint="eastAsia"/>
                <w:color w:val="auto"/>
              </w:rPr>
              <w:t>矿区开采过程抑尘用水主要包括矿区道路</w:t>
            </w:r>
            <w:r>
              <w:rPr>
                <w:rFonts w:hint="eastAsia"/>
                <w:color w:val="auto"/>
                <w:lang w:eastAsia="zh-CN"/>
              </w:rPr>
              <w:t>洒水抑尘，</w:t>
            </w:r>
            <w:r>
              <w:rPr>
                <w:rFonts w:hint="eastAsia"/>
                <w:color w:val="auto"/>
              </w:rPr>
              <w:t>抑尘用水量预计为</w:t>
            </w:r>
            <w:r>
              <w:rPr>
                <w:rFonts w:hint="eastAsia"/>
                <w:color w:val="auto"/>
                <w:lang w:val="en-US" w:eastAsia="zh-CN"/>
              </w:rPr>
              <w:t>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1200</w:t>
            </w:r>
            <w:r>
              <w:rPr>
                <w:rFonts w:hint="eastAsia"/>
                <w:color w:val="auto"/>
                <w:spacing w:val="6"/>
              </w:rPr>
              <w:t>m</w:t>
            </w:r>
            <w:r>
              <w:rPr>
                <w:rFonts w:hint="eastAsia"/>
                <w:color w:val="auto"/>
                <w:spacing w:val="6"/>
                <w:vertAlign w:val="superscript"/>
              </w:rPr>
              <w:t>3</w:t>
            </w:r>
            <w:r>
              <w:rPr>
                <w:rFonts w:hint="eastAsia"/>
                <w:color w:val="auto"/>
                <w:spacing w:val="6"/>
              </w:rPr>
              <w:t>/a</w:t>
            </w:r>
            <w:r>
              <w:rPr>
                <w:rFonts w:hint="eastAsia"/>
                <w:color w:val="auto"/>
                <w:spacing w:val="6"/>
                <w:lang w:eastAsia="zh-CN"/>
              </w:rPr>
              <w:t>，</w:t>
            </w:r>
            <w:r>
              <w:rPr>
                <w:rFonts w:hint="eastAsia"/>
                <w:color w:val="auto"/>
              </w:rPr>
              <w:t>抑尘用水均蒸发损耗不外排。</w:t>
            </w:r>
          </w:p>
          <w:p>
            <w:pPr>
              <w:ind w:firstLine="504"/>
              <w:rPr>
                <w:rFonts w:hint="eastAsia"/>
                <w:color w:val="auto"/>
                <w:szCs w:val="22"/>
              </w:rPr>
            </w:pPr>
            <w:r>
              <w:rPr>
                <w:rFonts w:hint="eastAsia"/>
                <w:color w:val="auto"/>
                <w:spacing w:val="6"/>
                <w:lang w:val="en-US" w:eastAsia="zh-CN"/>
              </w:rPr>
              <w:t>③采矿</w:t>
            </w:r>
            <w:r>
              <w:rPr>
                <w:rFonts w:hint="eastAsia"/>
                <w:color w:val="auto"/>
                <w:spacing w:val="6"/>
              </w:rPr>
              <w:t>用水：</w:t>
            </w:r>
            <w:r>
              <w:rPr>
                <w:rFonts w:hint="eastAsia"/>
                <w:color w:val="auto"/>
                <w:spacing w:val="6"/>
                <w:lang w:eastAsia="zh-CN"/>
              </w:rPr>
              <w:t>主要为锯切、钻孔工艺产生工业废水，</w:t>
            </w:r>
            <w:r>
              <w:rPr>
                <w:color w:val="auto"/>
              </w:rPr>
              <w:t>废水引入</w:t>
            </w:r>
            <w:r>
              <w:rPr>
                <w:rFonts w:hint="eastAsia"/>
                <w:color w:val="auto"/>
              </w:rPr>
              <w:t>循环</w:t>
            </w:r>
            <w:r>
              <w:rPr>
                <w:color w:val="auto"/>
              </w:rPr>
              <w:t>沉淀池，经沉淀后循环使用，</w:t>
            </w:r>
            <w:r>
              <w:rPr>
                <w:rFonts w:hint="eastAsia"/>
                <w:color w:val="auto"/>
                <w:lang w:eastAsia="zh-CN"/>
              </w:rPr>
              <w:t>年开采</w:t>
            </w:r>
            <w:r>
              <w:rPr>
                <w:rFonts w:hint="eastAsia"/>
                <w:color w:val="auto"/>
                <w:lang w:val="en-US" w:eastAsia="zh-CN"/>
              </w:rPr>
              <w:t>矿岩</w:t>
            </w:r>
            <w:r>
              <w:rPr>
                <w:rFonts w:hint="eastAsia" w:ascii="Times New Roman" w:hAnsi="Times New Roman" w:eastAsia="宋体" w:cs="Times New Roman"/>
                <w:color w:val="auto"/>
                <w:lang w:val="en-US" w:eastAsia="zh-CN"/>
              </w:rPr>
              <w:t>量89400m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，日开采量3</w:t>
            </w:r>
            <w:r>
              <w:rPr>
                <w:rFonts w:hint="eastAsia" w:cs="Times New Roman"/>
                <w:color w:val="auto"/>
                <w:lang w:val="en-US" w:eastAsia="zh-CN"/>
              </w:rPr>
              <w:t>7</w:t>
            </w:r>
            <w:r>
              <w:rPr>
                <w:rFonts w:hint="eastAsia" w:ascii="Times New Roman" w:hAnsi="Times New Roman" w:eastAsia="宋体" w:cs="Times New Roman"/>
                <w:color w:val="auto"/>
                <w:lang w:val="en-US" w:eastAsia="zh-CN"/>
              </w:rPr>
              <w:t>2.5</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/d，根据业主提供资料，采石1t用水量0.3m</w:t>
            </w:r>
            <w:r>
              <w:rPr>
                <w:rFonts w:hint="eastAsia"/>
                <w:color w:val="auto"/>
                <w:vertAlign w:val="superscript"/>
                <w:lang w:val="en-US" w:eastAsia="zh-CN"/>
              </w:rPr>
              <w:t>3</w:t>
            </w:r>
            <w:r>
              <w:rPr>
                <w:rFonts w:hint="eastAsia"/>
                <w:color w:val="auto"/>
                <w:lang w:val="en-US" w:eastAsia="zh-CN"/>
              </w:rPr>
              <w:t>，密度取3000kg/m</w:t>
            </w:r>
            <w:r>
              <w:rPr>
                <w:rFonts w:hint="eastAsia"/>
                <w:color w:val="auto"/>
                <w:vertAlign w:val="superscript"/>
                <w:lang w:val="en-US" w:eastAsia="zh-CN"/>
              </w:rPr>
              <w:t>3</w:t>
            </w:r>
            <w:r>
              <w:rPr>
                <w:rFonts w:hint="eastAsia"/>
                <w:color w:val="auto"/>
                <w:vertAlign w:val="baseline"/>
                <w:lang w:val="en-US" w:eastAsia="zh-CN"/>
              </w:rPr>
              <w:t>，日开采量</w:t>
            </w:r>
            <w:r>
              <w:rPr>
                <w:rFonts w:hint="eastAsia"/>
                <w:color w:val="auto"/>
                <w:lang w:val="en-US" w:eastAsia="zh-CN"/>
              </w:rPr>
              <w:t>1117.5t/d，则</w:t>
            </w:r>
            <w:r>
              <w:rPr>
                <w:rFonts w:hint="eastAsia"/>
                <w:color w:val="auto"/>
                <w:vertAlign w:val="baseline"/>
                <w:lang w:val="en-US" w:eastAsia="zh-CN"/>
              </w:rPr>
              <w:t>用水量为335.25m</w:t>
            </w:r>
            <w:r>
              <w:rPr>
                <w:rFonts w:hint="eastAsia"/>
                <w:color w:val="auto"/>
                <w:vertAlign w:val="superscript"/>
                <w:lang w:val="en-US" w:eastAsia="zh-CN"/>
              </w:rPr>
              <w:t>3</w:t>
            </w:r>
            <w:r>
              <w:rPr>
                <w:rFonts w:hint="eastAsia"/>
                <w:color w:val="auto"/>
                <w:vertAlign w:val="baseline"/>
                <w:lang w:val="en-US" w:eastAsia="zh-CN"/>
              </w:rPr>
              <w:t>/d，工业废水进入循环池（</w:t>
            </w:r>
            <w:r>
              <w:rPr>
                <w:rFonts w:hint="eastAsia"/>
                <w:color w:val="auto"/>
              </w:rPr>
              <w:t>容积为</w:t>
            </w:r>
            <w:r>
              <w:rPr>
                <w:rFonts w:hint="eastAsia"/>
                <w:color w:val="auto"/>
                <w:lang w:val="en-US" w:eastAsia="zh-CN"/>
              </w:rPr>
              <w:t>300</w:t>
            </w:r>
            <w:r>
              <w:rPr>
                <w:rFonts w:hint="eastAsia"/>
                <w:color w:val="auto"/>
              </w:rPr>
              <w:t>m</w:t>
            </w:r>
            <w:r>
              <w:rPr>
                <w:rFonts w:hint="eastAsia"/>
                <w:color w:val="auto"/>
                <w:vertAlign w:val="superscript"/>
              </w:rPr>
              <w:t>3</w:t>
            </w:r>
            <w:r>
              <w:rPr>
                <w:rFonts w:hint="eastAsia"/>
                <w:color w:val="auto"/>
                <w:vertAlign w:val="baseline"/>
                <w:lang w:val="en-US" w:eastAsia="zh-CN"/>
              </w:rPr>
              <w:t>）处理后</w:t>
            </w:r>
            <w:r>
              <w:rPr>
                <w:rFonts w:hint="eastAsia"/>
                <w:color w:val="auto"/>
                <w:szCs w:val="22"/>
              </w:rPr>
              <w:t>抽水泵抽取上清液回用</w:t>
            </w:r>
            <w:r>
              <w:rPr>
                <w:rFonts w:hint="eastAsia"/>
                <w:color w:val="auto"/>
                <w:szCs w:val="22"/>
                <w:lang w:eastAsia="zh-CN"/>
              </w:rPr>
              <w:t>，</w:t>
            </w:r>
            <w:r>
              <w:rPr>
                <w:color w:val="auto"/>
              </w:rPr>
              <w:t>损耗按</w:t>
            </w:r>
            <w:r>
              <w:rPr>
                <w:rFonts w:hint="eastAsia"/>
                <w:color w:val="auto"/>
                <w:lang w:val="en-US" w:eastAsia="zh-CN"/>
              </w:rPr>
              <w:t>1</w:t>
            </w:r>
            <w:r>
              <w:rPr>
                <w:rFonts w:hint="eastAsia"/>
                <w:color w:val="auto"/>
              </w:rPr>
              <w:t>0</w:t>
            </w:r>
            <w:r>
              <w:rPr>
                <w:color w:val="auto"/>
              </w:rPr>
              <w:t>%计</w:t>
            </w:r>
            <w:r>
              <w:rPr>
                <w:rFonts w:hint="eastAsia"/>
                <w:color w:val="auto"/>
                <w:lang w:eastAsia="zh-CN"/>
              </w:rPr>
              <w:t>，日补水量</w:t>
            </w:r>
            <w:r>
              <w:rPr>
                <w:rFonts w:hint="eastAsia"/>
                <w:color w:val="auto"/>
                <w:lang w:val="en-US" w:eastAsia="zh-CN"/>
              </w:rPr>
              <w:t>33.525m</w:t>
            </w:r>
            <w:r>
              <w:rPr>
                <w:rFonts w:hint="eastAsia"/>
                <w:color w:val="auto"/>
                <w:vertAlign w:val="superscript"/>
                <w:lang w:val="en-US" w:eastAsia="zh-CN"/>
              </w:rPr>
              <w:t>3</w:t>
            </w:r>
            <w:r>
              <w:rPr>
                <w:rFonts w:hint="eastAsia"/>
                <w:color w:val="auto"/>
                <w:lang w:val="en-US" w:eastAsia="zh-CN"/>
              </w:rPr>
              <w:t>，年补水量8046m</w:t>
            </w:r>
            <w:r>
              <w:rPr>
                <w:rFonts w:hint="eastAsia"/>
                <w:color w:val="auto"/>
                <w:vertAlign w:val="superscript"/>
                <w:lang w:val="en-US" w:eastAsia="zh-CN"/>
              </w:rPr>
              <w:t>3</w:t>
            </w:r>
            <w:r>
              <w:rPr>
                <w:rFonts w:hint="eastAsia"/>
                <w:color w:val="auto"/>
                <w:szCs w:val="22"/>
              </w:rPr>
              <w:t>。</w:t>
            </w:r>
          </w:p>
          <w:p>
            <w:pPr>
              <w:ind w:firstLine="504"/>
              <w:rPr>
                <w:rFonts w:hint="default" w:eastAsia="宋体"/>
                <w:color w:val="auto"/>
                <w:szCs w:val="22"/>
                <w:lang w:val="en-US" w:eastAsia="zh-CN"/>
              </w:rPr>
            </w:pPr>
            <w:r>
              <w:rPr>
                <w:rFonts w:hint="eastAsia"/>
                <w:color w:val="auto"/>
                <w:szCs w:val="22"/>
                <w:lang w:val="en-US" w:eastAsia="zh-CN"/>
              </w:rPr>
              <w:t>④车辆清洗水，本项目进出场车辆均需要进行清洗，设置车辆清洗池13×5×0.75m，损耗率约10%，</w:t>
            </w:r>
            <w:r>
              <w:rPr>
                <w:rFonts w:hint="eastAsia"/>
                <w:color w:val="auto"/>
                <w:lang w:eastAsia="zh-CN"/>
              </w:rPr>
              <w:t>日补水量</w:t>
            </w:r>
            <w:r>
              <w:rPr>
                <w:rFonts w:hint="eastAsia"/>
                <w:color w:val="auto"/>
                <w:lang w:val="en-US" w:eastAsia="zh-CN"/>
              </w:rPr>
              <w:t>4.875m</w:t>
            </w:r>
            <w:r>
              <w:rPr>
                <w:rFonts w:hint="eastAsia"/>
                <w:color w:val="auto"/>
                <w:vertAlign w:val="superscript"/>
                <w:lang w:val="en-US" w:eastAsia="zh-CN"/>
              </w:rPr>
              <w:t>3</w:t>
            </w:r>
            <w:r>
              <w:rPr>
                <w:rFonts w:hint="eastAsia"/>
                <w:color w:val="auto"/>
                <w:lang w:val="en-US" w:eastAsia="zh-CN"/>
              </w:rPr>
              <w:t>，年补水量1170m</w:t>
            </w:r>
            <w:r>
              <w:rPr>
                <w:rFonts w:hint="eastAsia"/>
                <w:color w:val="auto"/>
                <w:vertAlign w:val="superscript"/>
                <w:lang w:val="en-US" w:eastAsia="zh-CN"/>
              </w:rPr>
              <w:t>3</w:t>
            </w:r>
            <w:r>
              <w:rPr>
                <w:rFonts w:hint="eastAsia"/>
                <w:color w:val="auto"/>
                <w:szCs w:val="22"/>
              </w:rPr>
              <w:t>。</w:t>
            </w:r>
          </w:p>
          <w:p>
            <w:pPr>
              <w:ind w:firstLine="440"/>
              <w:rPr>
                <w:color w:val="auto"/>
                <w:spacing w:val="-10"/>
                <w:kern w:val="0"/>
              </w:rPr>
            </w:pPr>
            <w:r>
              <w:rPr>
                <w:rFonts w:hint="eastAsia"/>
                <w:color w:val="auto"/>
                <w:spacing w:val="-10"/>
                <w:kern w:val="0"/>
              </w:rPr>
              <w:t>（2）</w:t>
            </w:r>
            <w:r>
              <w:rPr>
                <w:color w:val="auto"/>
                <w:spacing w:val="-10"/>
                <w:kern w:val="0"/>
              </w:rPr>
              <w:t>排水</w:t>
            </w:r>
          </w:p>
          <w:p>
            <w:pPr>
              <w:ind w:firstLine="480"/>
              <w:rPr>
                <w:rFonts w:hint="eastAsia"/>
                <w:color w:val="auto"/>
                <w:kern w:val="0"/>
              </w:rPr>
            </w:pPr>
            <w:r>
              <w:rPr>
                <w:rFonts w:hint="eastAsia"/>
                <w:color w:val="auto"/>
                <w:kern w:val="0"/>
                <w:lang w:eastAsia="zh-CN"/>
              </w:rPr>
              <w:t>①</w:t>
            </w:r>
            <w:r>
              <w:rPr>
                <w:rFonts w:hint="eastAsia"/>
                <w:color w:val="auto"/>
                <w:spacing w:val="6"/>
                <w:lang w:val="en-US" w:eastAsia="zh-CN"/>
              </w:rPr>
              <w:t>采矿</w:t>
            </w:r>
            <w:r>
              <w:rPr>
                <w:rFonts w:hint="eastAsia"/>
                <w:color w:val="auto"/>
                <w:kern w:val="0"/>
                <w:lang w:eastAsia="zh-CN"/>
              </w:rPr>
              <w:t>废水：</w:t>
            </w:r>
            <w:r>
              <w:rPr>
                <w:rFonts w:hint="eastAsia"/>
                <w:color w:val="auto"/>
                <w:kern w:val="0"/>
              </w:rPr>
              <w:t>本项目生产过程中生产用水部分蒸发耗损，</w:t>
            </w:r>
            <w:r>
              <w:rPr>
                <w:rFonts w:hint="eastAsia"/>
                <w:color w:val="auto"/>
                <w:spacing w:val="6"/>
                <w:lang w:eastAsia="zh-CN"/>
              </w:rPr>
              <w:t>开采</w:t>
            </w:r>
            <w:r>
              <w:rPr>
                <w:rFonts w:hint="eastAsia"/>
                <w:color w:val="auto"/>
                <w:spacing w:val="6"/>
              </w:rPr>
              <w:t>用水</w:t>
            </w:r>
            <w:r>
              <w:rPr>
                <w:rFonts w:hint="eastAsia"/>
                <w:color w:val="auto"/>
                <w:spacing w:val="6"/>
                <w:lang w:eastAsia="zh-CN"/>
              </w:rPr>
              <w:t>经</w:t>
            </w:r>
            <w:r>
              <w:rPr>
                <w:rFonts w:hint="eastAsia"/>
                <w:lang w:val="en-US" w:eastAsia="zh-CN"/>
              </w:rPr>
              <w:t>采用自流的方式汇聚在矿坑最低点，由抽水泵抽至</w:t>
            </w:r>
            <w:r>
              <w:rPr>
                <w:rFonts w:hint="eastAsia"/>
                <w:color w:val="auto"/>
                <w:kern w:val="0"/>
              </w:rPr>
              <w:t>三级</w:t>
            </w:r>
            <w:r>
              <w:rPr>
                <w:rFonts w:hint="eastAsia"/>
                <w:color w:val="auto"/>
                <w:kern w:val="0"/>
                <w:lang w:val="en-US" w:eastAsia="zh-CN"/>
              </w:rPr>
              <w:t>循环</w:t>
            </w:r>
            <w:r>
              <w:rPr>
                <w:rFonts w:hint="eastAsia"/>
                <w:color w:val="auto"/>
                <w:kern w:val="0"/>
              </w:rPr>
              <w:t>沉淀池</w:t>
            </w:r>
            <w:r>
              <w:rPr>
                <w:rFonts w:hint="eastAsia"/>
                <w:color w:val="auto"/>
                <w:kern w:val="0"/>
                <w:lang w:val="en-US" w:eastAsia="zh-CN"/>
              </w:rPr>
              <w:t>处理</w:t>
            </w:r>
            <w:r>
              <w:rPr>
                <w:rFonts w:hint="eastAsia"/>
                <w:color w:val="auto"/>
                <w:kern w:val="0"/>
                <w:lang w:eastAsia="zh-CN"/>
              </w:rPr>
              <w:t>，</w:t>
            </w:r>
            <w:r>
              <w:rPr>
                <w:rFonts w:hint="eastAsia"/>
                <w:color w:val="auto"/>
                <w:kern w:val="0"/>
              </w:rPr>
              <w:t>沉淀后回用</w:t>
            </w:r>
            <w:r>
              <w:rPr>
                <w:color w:val="auto"/>
                <w:kern w:val="0"/>
              </w:rPr>
              <w:t>不外排</w:t>
            </w:r>
            <w:r>
              <w:rPr>
                <w:rFonts w:hint="eastAsia"/>
                <w:color w:val="auto"/>
                <w:kern w:val="0"/>
              </w:rPr>
              <w:t>。</w:t>
            </w:r>
          </w:p>
          <w:p>
            <w:pPr>
              <w:bidi w:val="0"/>
              <w:rPr>
                <w:rFonts w:hint="eastAsia"/>
                <w:color w:val="auto"/>
                <w:lang w:val="en-US" w:eastAsia="zh-CN"/>
              </w:rPr>
            </w:pPr>
            <w:r>
              <w:rPr>
                <w:rFonts w:hint="eastAsia"/>
                <w:color w:val="auto"/>
                <w:lang w:eastAsia="zh-CN"/>
              </w:rPr>
              <w:t>②生活污水：</w:t>
            </w:r>
            <w:r>
              <w:rPr>
                <w:color w:val="auto"/>
                <w:kern w:val="0"/>
                <w:sz w:val="24"/>
              </w:rPr>
              <w:t>生活用水量约为</w:t>
            </w:r>
            <w:r>
              <w:rPr>
                <w:rFonts w:hint="eastAsia"/>
                <w:color w:val="auto"/>
                <w:spacing w:val="6"/>
                <w:sz w:val="24"/>
                <w:lang w:val="en-US" w:eastAsia="zh-CN"/>
              </w:rPr>
              <w:t>1.54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369.6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r>
              <w:rPr>
                <w:color w:val="auto"/>
                <w:kern w:val="0"/>
                <w:sz w:val="24"/>
              </w:rPr>
              <w:t>，生活污水按80%的排放量计，则生活污水排放量约</w:t>
            </w:r>
            <w:r>
              <w:rPr>
                <w:rFonts w:hint="eastAsia"/>
                <w:color w:val="auto"/>
                <w:spacing w:val="6"/>
                <w:sz w:val="24"/>
                <w:lang w:val="en-US" w:eastAsia="zh-CN"/>
              </w:rPr>
              <w:t>1.232</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295.668</w:t>
            </w:r>
            <w:r>
              <w:rPr>
                <w:rFonts w:hint="eastAsia"/>
                <w:color w:val="auto"/>
                <w:spacing w:val="6"/>
                <w:sz w:val="24"/>
              </w:rPr>
              <w:t>m</w:t>
            </w:r>
            <w:r>
              <w:rPr>
                <w:rFonts w:hint="eastAsia"/>
                <w:color w:val="auto"/>
                <w:spacing w:val="6"/>
                <w:sz w:val="24"/>
                <w:vertAlign w:val="superscript"/>
              </w:rPr>
              <w:t>3</w:t>
            </w:r>
            <w:r>
              <w:rPr>
                <w:color w:val="auto"/>
                <w:kern w:val="0"/>
                <w:sz w:val="24"/>
              </w:rPr>
              <w:t>/</w:t>
            </w:r>
            <w:r>
              <w:rPr>
                <w:rFonts w:hint="eastAsia"/>
                <w:color w:val="auto"/>
                <w:kern w:val="0"/>
                <w:sz w:val="24"/>
                <w:lang w:val="en-US" w:eastAsia="zh-CN"/>
              </w:rPr>
              <w:t>a，</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③车辆清洗废水：车辆清洗水经循环沉淀池处理后回用，不外排。</w:t>
            </w:r>
          </w:p>
          <w:p>
            <w:pPr>
              <w:ind w:firstLine="480"/>
              <w:rPr>
                <w:rFonts w:hint="eastAsia"/>
                <w:color w:val="auto"/>
              </w:rPr>
            </w:pPr>
            <w:r>
              <w:rPr>
                <w:color w:val="auto"/>
              </w:rPr>
              <w:t>本项目水平衡</w:t>
            </w:r>
            <w:r>
              <w:rPr>
                <w:rFonts w:hint="eastAsia"/>
                <w:color w:val="auto"/>
                <w:lang w:eastAsia="zh-CN"/>
              </w:rPr>
              <w:t>表</w:t>
            </w:r>
            <w:r>
              <w:rPr>
                <w:color w:val="auto"/>
              </w:rPr>
              <w:t>详见</w:t>
            </w:r>
            <w:r>
              <w:rPr>
                <w:rFonts w:hint="eastAsia"/>
                <w:color w:val="auto"/>
                <w:lang w:eastAsia="zh-CN"/>
              </w:rPr>
              <w:t>表</w:t>
            </w:r>
            <w:r>
              <w:rPr>
                <w:rFonts w:hint="eastAsia"/>
                <w:color w:val="auto"/>
                <w:lang w:val="en-US" w:eastAsia="zh-CN"/>
              </w:rPr>
              <w:t>2-9</w:t>
            </w:r>
            <w:r>
              <w:rPr>
                <w:rFonts w:hint="eastAsia"/>
                <w:color w:val="auto"/>
              </w:rPr>
              <w:t>。</w:t>
            </w:r>
          </w:p>
          <w:p>
            <w:pPr>
              <w:pStyle w:val="7"/>
              <w:bidi w:val="0"/>
              <w:rPr>
                <w:color w:val="auto"/>
              </w:rPr>
            </w:pPr>
            <w:r>
              <w:rPr>
                <w:rFonts w:hint="eastAsia"/>
                <w:color w:val="auto"/>
              </w:rPr>
              <w:t>表</w:t>
            </w:r>
            <w:r>
              <w:rPr>
                <w:rFonts w:hint="eastAsia"/>
                <w:color w:val="auto"/>
                <w:lang w:val="en-US" w:eastAsia="zh-CN"/>
              </w:rPr>
              <w:t>2-9</w:t>
            </w:r>
            <w:r>
              <w:rPr>
                <w:rFonts w:hint="eastAsia"/>
                <w:color w:val="auto"/>
              </w:rPr>
              <w:t xml:space="preserve">                   项目供排水平衡一览表</w:t>
            </w:r>
          </w:p>
          <w:tbl>
            <w:tblPr>
              <w:tblStyle w:val="31"/>
              <w:tblW w:w="498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191"/>
              <w:gridCol w:w="1031"/>
              <w:gridCol w:w="1031"/>
              <w:gridCol w:w="1168"/>
              <w:gridCol w:w="1185"/>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tcBorders>
                    <w:tl2br w:val="nil"/>
                    <w:tr2bl w:val="nil"/>
                  </w:tcBorders>
                  <w:vAlign w:val="center"/>
                </w:tcPr>
                <w:p>
                  <w:pPr>
                    <w:pStyle w:val="2"/>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类别</w:t>
                  </w:r>
                </w:p>
              </w:tc>
              <w:tc>
                <w:tcPr>
                  <w:tcW w:w="760" w:type="pct"/>
                  <w:tcBorders>
                    <w:tl2br w:val="nil"/>
                    <w:tr2bl w:val="nil"/>
                  </w:tcBorders>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供</w:t>
                  </w:r>
                  <w:r>
                    <w:rPr>
                      <w:rFonts w:hint="eastAsia" w:ascii="Times New Roman" w:hAnsi="Times New Roman" w:eastAsia="宋体" w:cs="Times New Roman"/>
                      <w:color w:val="auto"/>
                      <w:lang w:eastAsia="zh-CN"/>
                    </w:rPr>
                    <w:t>水（</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658" w:type="pct"/>
                  <w:tcBorders>
                    <w:tl2br w:val="nil"/>
                    <w:tr2bl w:val="nil"/>
                  </w:tcBorders>
                  <w:vAlign w:val="center"/>
                </w:tcPr>
                <w:p>
                  <w:pPr>
                    <w:pStyle w:val="2"/>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损耗（</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658"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新鲜补水量</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745" w:type="pct"/>
                  <w:tcBorders>
                    <w:tl2br w:val="nil"/>
                    <w:tr2bl w:val="nil"/>
                  </w:tcBorders>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排</w:t>
                  </w:r>
                  <w:r>
                    <w:rPr>
                      <w:rFonts w:hint="eastAsia" w:cs="Times New Roman"/>
                      <w:color w:val="auto"/>
                      <w:lang w:eastAsia="zh-CN"/>
                    </w:rPr>
                    <w:t>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756" w:type="pct"/>
                  <w:tcBorders>
                    <w:tl2br w:val="nil"/>
                    <w:tr2bl w:val="nil"/>
                  </w:tcBorders>
                  <w:vAlign w:val="center"/>
                </w:tcPr>
                <w:p>
                  <w:pPr>
                    <w:pStyle w:val="2"/>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循环（</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791" w:type="pct"/>
                  <w:tcBorders>
                    <w:tl2br w:val="nil"/>
                    <w:tr2bl w:val="nil"/>
                  </w:tcBorders>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tcBorders>
                    <w:tl2br w:val="nil"/>
                    <w:tr2bl w:val="nil"/>
                  </w:tcBorders>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洒水降尘</w:t>
                  </w:r>
                </w:p>
              </w:tc>
              <w:tc>
                <w:tcPr>
                  <w:tcW w:w="760"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658"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658"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s="Times New Roman"/>
                      <w:color w:val="auto"/>
                      <w:lang w:val="en-US" w:eastAsia="zh-CN"/>
                    </w:rPr>
                    <w:t>5</w:t>
                  </w:r>
                </w:p>
              </w:tc>
              <w:tc>
                <w:tcPr>
                  <w:tcW w:w="745"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756" w:type="pct"/>
                  <w:tcBorders>
                    <w:tl2br w:val="nil"/>
                    <w:tr2bl w:val="nil"/>
                  </w:tcBorders>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791"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28"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工业用水</w:t>
                  </w:r>
                </w:p>
              </w:tc>
              <w:tc>
                <w:tcPr>
                  <w:tcW w:w="760"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olor w:val="auto"/>
                      <w:vertAlign w:val="baseline"/>
                      <w:lang w:val="en-US" w:eastAsia="zh-CN"/>
                    </w:rPr>
                    <w:t>335.25</w:t>
                  </w:r>
                </w:p>
              </w:tc>
              <w:tc>
                <w:tcPr>
                  <w:tcW w:w="658"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olor w:val="auto"/>
                      <w:lang w:val="en-US" w:eastAsia="zh-CN"/>
                    </w:rPr>
                    <w:t>33.525</w:t>
                  </w:r>
                </w:p>
              </w:tc>
              <w:tc>
                <w:tcPr>
                  <w:tcW w:w="658"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33.525</w:t>
                  </w:r>
                </w:p>
              </w:tc>
              <w:tc>
                <w:tcPr>
                  <w:tcW w:w="745"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756"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301.725</w:t>
                  </w:r>
                </w:p>
              </w:tc>
              <w:tc>
                <w:tcPr>
                  <w:tcW w:w="791" w:type="pct"/>
                  <w:tcBorders>
                    <w:tl2br w:val="nil"/>
                    <w:tr2bl w:val="nil"/>
                  </w:tcBorders>
                  <w:vAlign w:val="center"/>
                </w:tcPr>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循环水池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28" w:type="pct"/>
                  <w:tcBorders>
                    <w:tl2br w:val="nil"/>
                    <w:tr2bl w:val="nil"/>
                  </w:tcBorders>
                  <w:vAlign w:val="center"/>
                </w:tcPr>
                <w:p>
                  <w:pPr>
                    <w:pStyle w:val="2"/>
                    <w:rPr>
                      <w:rFonts w:hint="default" w:cs="Times New Roman"/>
                      <w:color w:val="auto"/>
                      <w:lang w:val="en-US" w:eastAsia="zh-CN"/>
                    </w:rPr>
                  </w:pPr>
                  <w:r>
                    <w:rPr>
                      <w:rFonts w:hint="eastAsia" w:cs="Times New Roman"/>
                      <w:color w:val="auto"/>
                      <w:lang w:val="en-US" w:eastAsia="zh-CN"/>
                    </w:rPr>
                    <w:t>车辆清洗</w:t>
                  </w:r>
                </w:p>
              </w:tc>
              <w:tc>
                <w:tcPr>
                  <w:tcW w:w="760" w:type="pct"/>
                  <w:tcBorders>
                    <w:tl2br w:val="nil"/>
                    <w:tr2bl w:val="nil"/>
                  </w:tcBorders>
                  <w:vAlign w:val="center"/>
                </w:tcPr>
                <w:p>
                  <w:pPr>
                    <w:pStyle w:val="2"/>
                    <w:rPr>
                      <w:rFonts w:hint="default"/>
                      <w:color w:val="auto"/>
                      <w:vertAlign w:val="baseline"/>
                      <w:lang w:val="en-US" w:eastAsia="zh-CN"/>
                    </w:rPr>
                  </w:pPr>
                  <w:r>
                    <w:rPr>
                      <w:rFonts w:hint="eastAsia"/>
                      <w:color w:val="auto"/>
                      <w:vertAlign w:val="baseline"/>
                      <w:lang w:val="en-US" w:eastAsia="zh-CN"/>
                    </w:rPr>
                    <w:t>48.75</w:t>
                  </w:r>
                </w:p>
              </w:tc>
              <w:tc>
                <w:tcPr>
                  <w:tcW w:w="658" w:type="pct"/>
                  <w:tcBorders>
                    <w:tl2br w:val="nil"/>
                    <w:tr2bl w:val="nil"/>
                  </w:tcBorders>
                  <w:vAlign w:val="center"/>
                </w:tcPr>
                <w:p>
                  <w:pPr>
                    <w:pStyle w:val="2"/>
                    <w:rPr>
                      <w:rFonts w:hint="default"/>
                      <w:color w:val="auto"/>
                      <w:lang w:val="en-US" w:eastAsia="zh-CN"/>
                    </w:rPr>
                  </w:pPr>
                  <w:r>
                    <w:rPr>
                      <w:rFonts w:hint="eastAsia"/>
                      <w:color w:val="auto"/>
                      <w:lang w:val="en-US" w:eastAsia="zh-CN"/>
                    </w:rPr>
                    <w:t>4.875</w:t>
                  </w:r>
                </w:p>
              </w:tc>
              <w:tc>
                <w:tcPr>
                  <w:tcW w:w="658" w:type="pct"/>
                  <w:tcBorders>
                    <w:tl2br w:val="nil"/>
                    <w:tr2bl w:val="nil"/>
                  </w:tcBorders>
                  <w:shd w:val="clear" w:color="auto" w:fill="auto"/>
                  <w:vAlign w:val="center"/>
                </w:tcPr>
                <w:p>
                  <w:pPr>
                    <w:pStyle w:val="2"/>
                    <w:ind w:firstLine="0" w:firstLineChars="0"/>
                    <w:rPr>
                      <w:rFonts w:hint="eastAsia"/>
                      <w:color w:val="auto"/>
                      <w:lang w:val="en-US" w:eastAsia="zh-CN"/>
                    </w:rPr>
                  </w:pPr>
                  <w:r>
                    <w:rPr>
                      <w:rFonts w:hint="eastAsia"/>
                      <w:color w:val="auto"/>
                      <w:lang w:val="en-US" w:eastAsia="zh-CN"/>
                    </w:rPr>
                    <w:t>4.875</w:t>
                  </w:r>
                </w:p>
              </w:tc>
              <w:tc>
                <w:tcPr>
                  <w:tcW w:w="745" w:type="pct"/>
                  <w:tcBorders>
                    <w:tl2br w:val="nil"/>
                    <w:tr2bl w:val="nil"/>
                  </w:tcBorders>
                  <w:vAlign w:val="center"/>
                </w:tcPr>
                <w:p>
                  <w:pPr>
                    <w:pStyle w:val="2"/>
                    <w:rPr>
                      <w:rFonts w:hint="default" w:cs="Times New Roman"/>
                      <w:color w:val="auto"/>
                      <w:lang w:val="en-US" w:eastAsia="zh-CN"/>
                    </w:rPr>
                  </w:pPr>
                  <w:r>
                    <w:rPr>
                      <w:rFonts w:hint="eastAsia" w:cs="Times New Roman"/>
                      <w:color w:val="auto"/>
                      <w:lang w:val="en-US" w:eastAsia="zh-CN"/>
                    </w:rPr>
                    <w:t>0</w:t>
                  </w:r>
                </w:p>
              </w:tc>
              <w:tc>
                <w:tcPr>
                  <w:tcW w:w="756" w:type="pct"/>
                  <w:tcBorders>
                    <w:tl2br w:val="nil"/>
                    <w:tr2bl w:val="nil"/>
                  </w:tcBorders>
                  <w:vAlign w:val="center"/>
                </w:tcPr>
                <w:p>
                  <w:pPr>
                    <w:pStyle w:val="2"/>
                    <w:rPr>
                      <w:rFonts w:hint="default" w:cs="Times New Roman"/>
                      <w:color w:val="auto"/>
                      <w:lang w:val="en-US" w:eastAsia="zh-CN"/>
                    </w:rPr>
                  </w:pPr>
                  <w:r>
                    <w:rPr>
                      <w:rFonts w:hint="eastAsia" w:cs="Times New Roman"/>
                      <w:color w:val="auto"/>
                      <w:lang w:val="en-US" w:eastAsia="zh-CN"/>
                    </w:rPr>
                    <w:t>43.875</w:t>
                  </w:r>
                </w:p>
              </w:tc>
              <w:tc>
                <w:tcPr>
                  <w:tcW w:w="791" w:type="pct"/>
                  <w:tcBorders>
                    <w:tl2br w:val="nil"/>
                    <w:tr2bl w:val="nil"/>
                  </w:tcBorders>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循环水池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tcBorders>
                    <w:tl2br w:val="nil"/>
                    <w:tr2bl w:val="nil"/>
                  </w:tcBorders>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生活用水</w:t>
                  </w:r>
                </w:p>
              </w:tc>
              <w:tc>
                <w:tcPr>
                  <w:tcW w:w="760"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1.54</w:t>
                  </w:r>
                </w:p>
              </w:tc>
              <w:tc>
                <w:tcPr>
                  <w:tcW w:w="658"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0.308</w:t>
                  </w:r>
                </w:p>
              </w:tc>
              <w:tc>
                <w:tcPr>
                  <w:tcW w:w="658" w:type="pct"/>
                  <w:tcBorders>
                    <w:tl2br w:val="nil"/>
                    <w:tr2bl w:val="nil"/>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s="Times New Roman"/>
                      <w:color w:val="auto"/>
                      <w:lang w:val="en-US" w:eastAsia="zh-CN"/>
                    </w:rPr>
                    <w:t>1.54</w:t>
                  </w:r>
                </w:p>
              </w:tc>
              <w:tc>
                <w:tcPr>
                  <w:tcW w:w="745"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1.232</w:t>
                  </w:r>
                </w:p>
              </w:tc>
              <w:tc>
                <w:tcPr>
                  <w:tcW w:w="756"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791" w:type="pct"/>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lang w:val="en-US" w:eastAsia="zh-CN"/>
                    </w:rPr>
                    <w:t>定期拉运至河北巴州生态产业园污水处理厂处理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28" w:type="pct"/>
                  <w:tcBorders>
                    <w:tl2br w:val="nil"/>
                    <w:tr2bl w:val="nil"/>
                  </w:tcBorders>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191" w:type="dxa"/>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390.54</w:t>
                  </w:r>
                </w:p>
              </w:tc>
              <w:tc>
                <w:tcPr>
                  <w:tcW w:w="1031" w:type="dxa"/>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43.708</w:t>
                  </w:r>
                </w:p>
              </w:tc>
              <w:tc>
                <w:tcPr>
                  <w:tcW w:w="1031" w:type="dxa"/>
                  <w:tcBorders>
                    <w:tl2br w:val="nil"/>
                    <w:tr2bl w:val="nil"/>
                  </w:tcBorders>
                  <w:shd w:val="clear" w:color="auto" w:fill="auto"/>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44.94</w:t>
                  </w:r>
                </w:p>
              </w:tc>
              <w:tc>
                <w:tcPr>
                  <w:tcW w:w="1168" w:type="dxa"/>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1.232</w:t>
                  </w:r>
                </w:p>
              </w:tc>
              <w:tc>
                <w:tcPr>
                  <w:tcW w:w="1185" w:type="dxa"/>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345.6</w:t>
                  </w:r>
                </w:p>
              </w:tc>
              <w:tc>
                <w:tcPr>
                  <w:tcW w:w="791" w:type="pct"/>
                  <w:tcBorders>
                    <w:tl2br w:val="nil"/>
                    <w:tr2bl w:val="nil"/>
                  </w:tcBorders>
                  <w:vAlign w:val="center"/>
                </w:tcPr>
                <w:p>
                  <w:pPr>
                    <w:pStyle w:val="2"/>
                    <w:rPr>
                      <w:rFonts w:hint="eastAsia" w:ascii="Times New Roman" w:hAnsi="Times New Roman" w:eastAsia="宋体" w:cs="Times New Roman"/>
                      <w:color w:val="auto"/>
                    </w:rPr>
                  </w:pPr>
                </w:p>
              </w:tc>
            </w:tr>
          </w:tbl>
          <w:p>
            <w:pPr>
              <w:pStyle w:val="5"/>
              <w:rPr>
                <w:color w:val="auto"/>
              </w:rPr>
            </w:pPr>
            <w:r>
              <w:rPr>
                <w:rFonts w:hint="eastAsia"/>
                <w:color w:val="auto"/>
                <w:lang w:val="en-US" w:eastAsia="zh-CN"/>
              </w:rPr>
              <w:t>5</w:t>
            </w:r>
            <w:r>
              <w:rPr>
                <w:rFonts w:hint="eastAsia"/>
                <w:color w:val="auto"/>
              </w:rPr>
              <w:t>.2</w:t>
            </w:r>
            <w:r>
              <w:rPr>
                <w:color w:val="auto"/>
              </w:rPr>
              <w:t>采暖</w:t>
            </w:r>
          </w:p>
          <w:p>
            <w:pPr>
              <w:adjustRightInd w:val="0"/>
              <w:snapToGrid w:val="0"/>
              <w:spacing w:line="360" w:lineRule="auto"/>
              <w:ind w:firstLine="504" w:firstLineChars="200"/>
              <w:rPr>
                <w:rFonts w:hint="eastAsia" w:eastAsia="宋体"/>
                <w:color w:val="auto"/>
                <w:spacing w:val="6"/>
                <w:sz w:val="24"/>
                <w:lang w:eastAsia="zh-CN"/>
              </w:rPr>
            </w:pPr>
            <w:r>
              <w:rPr>
                <w:rFonts w:hint="eastAsia"/>
                <w:color w:val="auto"/>
                <w:spacing w:val="6"/>
                <w:sz w:val="24"/>
                <w:lang w:eastAsia="zh-CN"/>
              </w:rPr>
              <w:t>生活区供暖采用电暖</w:t>
            </w:r>
            <w:r>
              <w:rPr>
                <w:rFonts w:hint="eastAsia"/>
                <w:color w:val="auto"/>
                <w:spacing w:val="6"/>
                <w:sz w:val="24"/>
                <w:highlight w:val="none"/>
                <w:lang w:eastAsia="zh-CN"/>
              </w:rPr>
              <w:t>器，可</w:t>
            </w:r>
            <w:r>
              <w:rPr>
                <w:rFonts w:hint="eastAsia"/>
                <w:color w:val="auto"/>
                <w:spacing w:val="6"/>
                <w:sz w:val="24"/>
                <w:lang w:eastAsia="zh-CN"/>
              </w:rPr>
              <w:t>满足供暖需求。</w:t>
            </w:r>
          </w:p>
          <w:p>
            <w:pPr>
              <w:pStyle w:val="5"/>
              <w:rPr>
                <w:color w:val="auto"/>
              </w:rPr>
            </w:pPr>
            <w:r>
              <w:rPr>
                <w:rFonts w:hint="eastAsia"/>
                <w:color w:val="auto"/>
                <w:lang w:val="en-US" w:eastAsia="zh-CN"/>
              </w:rPr>
              <w:t>5</w:t>
            </w:r>
            <w:r>
              <w:rPr>
                <w:rFonts w:hint="eastAsia"/>
                <w:color w:val="auto"/>
              </w:rPr>
              <w:t>.3</w:t>
            </w:r>
            <w:r>
              <w:rPr>
                <w:color w:val="auto"/>
              </w:rPr>
              <w:t>供电</w:t>
            </w:r>
          </w:p>
          <w:p>
            <w:pPr>
              <w:ind w:firstLine="480"/>
              <w:rPr>
                <w:color w:val="auto"/>
              </w:rPr>
            </w:pPr>
            <w:r>
              <w:rPr>
                <w:rFonts w:hint="eastAsia"/>
                <w:color w:val="auto"/>
              </w:rPr>
              <w:t>来自国家电网</w:t>
            </w:r>
            <w:r>
              <w:rPr>
                <w:color w:val="auto"/>
              </w:rPr>
              <w:t>，用电有保障。</w:t>
            </w:r>
          </w:p>
          <w:p>
            <w:pPr>
              <w:pStyle w:val="5"/>
              <w:bidi w:val="0"/>
              <w:rPr>
                <w:color w:val="auto"/>
              </w:rPr>
            </w:pPr>
            <w:r>
              <w:rPr>
                <w:rFonts w:hint="eastAsia"/>
                <w:color w:val="auto"/>
                <w:lang w:val="en-US" w:eastAsia="zh-CN"/>
              </w:rPr>
              <w:t>5</w:t>
            </w:r>
            <w:r>
              <w:rPr>
                <w:rFonts w:hint="eastAsia"/>
                <w:color w:val="auto"/>
              </w:rPr>
              <w:t>.4劳动定员及工作制度</w:t>
            </w:r>
          </w:p>
          <w:p>
            <w:pPr>
              <w:ind w:firstLine="480"/>
              <w:rPr>
                <w:rFonts w:ascii="宋体" w:hAnsi="宋体" w:cs="宋体"/>
                <w:color w:val="auto"/>
                <w:kern w:val="0"/>
              </w:rPr>
            </w:pPr>
            <w:r>
              <w:rPr>
                <w:rFonts w:hint="eastAsia"/>
                <w:color w:val="auto"/>
              </w:rPr>
              <w:t>本项目劳动定员</w:t>
            </w:r>
            <w:r>
              <w:rPr>
                <w:rFonts w:hint="eastAsia"/>
                <w:color w:val="auto"/>
                <w:lang w:val="en-US" w:eastAsia="zh-CN"/>
              </w:rPr>
              <w:t>22</w:t>
            </w:r>
            <w:r>
              <w:rPr>
                <w:rFonts w:hint="eastAsia"/>
                <w:color w:val="auto"/>
              </w:rPr>
              <w:t>人，年生产作业天数2</w:t>
            </w:r>
            <w:r>
              <w:rPr>
                <w:rFonts w:hint="eastAsia"/>
                <w:color w:val="auto"/>
                <w:lang w:val="en-US" w:eastAsia="zh-CN"/>
              </w:rPr>
              <w:t>4</w:t>
            </w:r>
            <w:r>
              <w:rPr>
                <w:rFonts w:hint="eastAsia"/>
                <w:color w:val="auto"/>
              </w:rPr>
              <w:t>0天，实行每天1班，每班8小时工作制。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总平面及现场布置</w:t>
            </w:r>
          </w:p>
        </w:tc>
        <w:tc>
          <w:tcPr>
            <w:tcW w:w="8099" w:type="dxa"/>
            <w:vAlign w:val="center"/>
          </w:tcPr>
          <w:p>
            <w:pPr>
              <w:bidi w:val="0"/>
              <w:rPr>
                <w:rFonts w:hint="eastAsia" w:ascii="Times New Roman" w:hAnsi="Times New Roman" w:cs="Times New Roman"/>
                <w:bCs/>
                <w:color w:val="auto"/>
              </w:rPr>
            </w:pPr>
            <w:r>
              <w:rPr>
                <w:rFonts w:hint="eastAsia"/>
                <w:color w:val="auto"/>
              </w:rPr>
              <w:t>矿区最终圈定为</w:t>
            </w:r>
            <w:r>
              <w:rPr>
                <w:rFonts w:hint="eastAsia"/>
                <w:color w:val="auto"/>
                <w:lang w:val="en-US" w:eastAsia="zh-CN"/>
              </w:rPr>
              <w:t>3</w:t>
            </w:r>
            <w:r>
              <w:rPr>
                <w:rFonts w:hint="eastAsia"/>
                <w:color w:val="auto"/>
              </w:rPr>
              <w:t>个露天采矿场分别为：</w:t>
            </w:r>
            <w:r>
              <w:rPr>
                <w:rFonts w:hint="eastAsia" w:ascii="Times New Roman" w:hAnsi="Times New Roman" w:cs="Times New Roman"/>
                <w:bCs/>
                <w:color w:val="auto"/>
              </w:rPr>
              <w:t>规划V1露天采矿场位于矿区西北部，占地面积约为2.90公顷</w:t>
            </w:r>
            <w:r>
              <w:rPr>
                <w:rFonts w:hint="eastAsia"/>
                <w:color w:val="auto"/>
                <w:lang w:eastAsia="zh-CN"/>
              </w:rPr>
              <w:t>；</w:t>
            </w:r>
            <w:r>
              <w:rPr>
                <w:rFonts w:hint="eastAsia" w:ascii="Times New Roman" w:hAnsi="Times New Roman" w:cs="Times New Roman"/>
                <w:bCs/>
                <w:color w:val="auto"/>
              </w:rPr>
              <w:t>规划V2露天采矿场位于矿区西南部，占地面积约为4.39公顷</w:t>
            </w:r>
            <w:r>
              <w:rPr>
                <w:rFonts w:hint="eastAsia" w:ascii="Times New Roman" w:hAnsi="Times New Roman" w:cs="Times New Roman"/>
                <w:bCs/>
                <w:color w:val="auto"/>
                <w:lang w:eastAsia="zh-CN"/>
              </w:rPr>
              <w:t>；</w:t>
            </w:r>
            <w:r>
              <w:rPr>
                <w:rFonts w:hint="eastAsia" w:ascii="Times New Roman" w:hAnsi="Times New Roman" w:cs="Times New Roman"/>
                <w:bCs/>
                <w:color w:val="auto"/>
              </w:rPr>
              <w:t>规划V3露天采矿场位于矿区东南部，占地面积约为4.02公顷。</w:t>
            </w:r>
          </w:p>
          <w:p>
            <w:pPr>
              <w:bidi w:val="0"/>
              <w:rPr>
                <w:rFonts w:hint="eastAsia"/>
                <w:color w:val="auto"/>
                <w:lang w:eastAsia="zh-CN"/>
              </w:rPr>
            </w:pPr>
            <w:r>
              <w:rPr>
                <w:rFonts w:hint="eastAsia"/>
                <w:color w:val="auto"/>
                <w:lang w:eastAsia="zh-CN"/>
              </w:rPr>
              <w:t>规划1号废石堆放场位于规划V3露天采矿场北侧距离约60米的宽缓平坦处，地势较为平缓，地形坡度约3°~12°，规划1号废石堆场地面积约7.44公顷；规划2号废石堆放场位于规划V2露天采矿场北侧的宽缓平坦处，占地2.64公顷，地势较为平缓，地形坡度约3°~12°。</w:t>
            </w:r>
          </w:p>
          <w:p>
            <w:pPr>
              <w:bidi w:val="0"/>
              <w:rPr>
                <w:rFonts w:hint="eastAsia" w:ascii="Times New Roman" w:hAnsi="Times New Roman" w:cs="Times New Roman"/>
                <w:color w:val="auto"/>
                <w:lang w:eastAsia="zh-CN"/>
              </w:rPr>
            </w:pPr>
            <w:r>
              <w:rPr>
                <w:rFonts w:hint="eastAsia" w:ascii="Times New Roman" w:hAnsi="Times New Roman" w:cs="Times New Roman"/>
                <w:color w:val="auto"/>
                <w:lang w:eastAsia="zh-CN"/>
              </w:rPr>
              <w:t>荒料堆放场位于矿区中部，距离规划V2露天采矿场东侧约300m处界内较为平缓地带，坡度为3°~5°，占地面积约0.60公顷</w:t>
            </w:r>
            <w:r>
              <w:rPr>
                <w:rFonts w:hint="eastAsia" w:ascii="Times New Roman" w:hAnsi="Times New Roman" w:cs="Times New Roman"/>
                <w:color w:val="auto"/>
              </w:rPr>
              <w:t>。</w:t>
            </w:r>
          </w:p>
          <w:p>
            <w:pPr>
              <w:bidi w:val="0"/>
              <w:rPr>
                <w:rFonts w:hint="eastAsia"/>
                <w:color w:val="auto"/>
                <w:lang w:eastAsia="zh-CN"/>
              </w:rPr>
            </w:pPr>
            <w:r>
              <w:rPr>
                <w:rFonts w:hint="eastAsia" w:ascii="Times New Roman" w:hAnsi="Times New Roman" w:cs="Times New Roman"/>
                <w:color w:val="auto"/>
                <w:lang w:eastAsia="zh-CN"/>
              </w:rPr>
              <w:t>规划矿区道路连接各个地面设施以及规划露天采矿场地。全长约</w:t>
            </w:r>
            <w:r>
              <w:rPr>
                <w:rFonts w:hint="eastAsia" w:ascii="Times New Roman" w:hAnsi="Times New Roman" w:cs="Times New Roman"/>
                <w:color w:val="auto"/>
                <w:lang w:val="en-US" w:eastAsia="zh-CN"/>
              </w:rPr>
              <w:t>2.13</w:t>
            </w:r>
            <w:r>
              <w:rPr>
                <w:rFonts w:hint="eastAsia" w:ascii="Times New Roman" w:hAnsi="Times New Roman" w:cs="Times New Roman"/>
                <w:color w:val="auto"/>
                <w:lang w:eastAsia="zh-CN"/>
              </w:rPr>
              <w:t>km，路面宽4.5米，路基宽6.0米，占地面积约</w:t>
            </w:r>
            <w:r>
              <w:rPr>
                <w:rFonts w:hint="eastAsia" w:ascii="Times New Roman" w:hAnsi="Times New Roman" w:cs="Times New Roman"/>
                <w:color w:val="auto"/>
                <w:lang w:val="en-US" w:eastAsia="zh-CN"/>
              </w:rPr>
              <w:t>1.278</w:t>
            </w:r>
            <w:r>
              <w:rPr>
                <w:rFonts w:hint="eastAsia" w:ascii="Times New Roman" w:hAnsi="Times New Roman" w:cs="Times New Roman"/>
                <w:color w:val="auto"/>
                <w:lang w:eastAsia="zh-CN"/>
              </w:rPr>
              <w:t>公顷。</w:t>
            </w:r>
          </w:p>
          <w:p>
            <w:pPr>
              <w:bidi w:val="0"/>
              <w:rPr>
                <w:rFonts w:hint="eastAsia" w:eastAsia="宋体"/>
                <w:color w:val="auto"/>
                <w:lang w:eastAsia="zh-CN"/>
              </w:rPr>
            </w:pPr>
            <w:r>
              <w:rPr>
                <w:rFonts w:hint="eastAsia" w:ascii="Times New Roman" w:hAnsi="Times New Roman" w:eastAsia="宋体" w:cs="Times New Roman"/>
                <w:color w:val="auto"/>
              </w:rPr>
              <w:t>位于矿区中部，</w:t>
            </w:r>
            <w:r>
              <w:rPr>
                <w:rFonts w:hint="eastAsia" w:ascii="Times New Roman" w:hAnsi="Times New Roman" w:eastAsia="宋体" w:cs="Times New Roman"/>
                <w:color w:val="auto"/>
                <w:lang w:val="en-US" w:eastAsia="zh-CN"/>
              </w:rPr>
              <w:t>占地面积约0.3公顷，</w:t>
            </w:r>
            <w:r>
              <w:rPr>
                <w:rFonts w:hint="eastAsia" w:ascii="Times New Roman" w:hAnsi="Times New Roman" w:eastAsia="宋体" w:cs="Times New Roman"/>
                <w:color w:val="auto"/>
              </w:rPr>
              <w:t>距离</w:t>
            </w:r>
            <w:r>
              <w:rPr>
                <w:rFonts w:hint="eastAsia" w:cs="Times New Roman"/>
                <w:color w:val="auto"/>
                <w:lang w:eastAsia="zh-CN"/>
              </w:rPr>
              <w:t>规划</w:t>
            </w:r>
            <w:r>
              <w:rPr>
                <w:rFonts w:hint="eastAsia" w:ascii="Times New Roman" w:hAnsi="Times New Roman" w:eastAsia="宋体" w:cs="Times New Roman"/>
                <w:color w:val="auto"/>
              </w:rPr>
              <w:t>工业场地东北侧约15m处界内；场地平坦开阔。占地面积约0.3公顷，地形坡度1°~3°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包括办公室、职工宿舍、食堂、澡堂等建筑物，均为</w:t>
            </w:r>
            <w:r>
              <w:rPr>
                <w:rFonts w:hint="eastAsia" w:ascii="Times New Roman" w:hAnsi="Times New Roman" w:eastAsia="宋体" w:cs="Times New Roman"/>
                <w:color w:val="auto"/>
                <w:lang w:val="en-US" w:eastAsia="zh-CN"/>
              </w:rPr>
              <w:t>活动板房</w:t>
            </w:r>
            <w:r>
              <w:rPr>
                <w:rFonts w:hint="eastAsia" w:ascii="Times New Roman" w:hAnsi="Times New Roman" w:eastAsia="宋体" w:cs="Times New Roman"/>
                <w:color w:val="auto"/>
              </w:rPr>
              <w:t>，生活区地面为水泥硬化</w:t>
            </w:r>
            <w:r>
              <w:rPr>
                <w:rFonts w:hint="eastAsia" w:eastAsia="宋体"/>
                <w:color w:val="auto"/>
                <w:lang w:eastAsia="zh-CN"/>
              </w:rPr>
              <w:t>。</w:t>
            </w:r>
          </w:p>
          <w:p>
            <w:pPr>
              <w:bidi w:val="0"/>
              <w:rPr>
                <w:rFonts w:hint="eastAsia"/>
                <w:color w:val="auto"/>
              </w:rPr>
            </w:pPr>
            <w:r>
              <w:rPr>
                <w:rFonts w:hint="eastAsia"/>
                <w:color w:val="auto"/>
              </w:rPr>
              <w:t>矿区</w:t>
            </w:r>
            <w:r>
              <w:rPr>
                <w:rFonts w:hint="eastAsia"/>
                <w:color w:val="auto"/>
                <w:lang w:eastAsia="zh-CN"/>
              </w:rPr>
              <w:t>施工总布置图</w:t>
            </w:r>
            <w:r>
              <w:rPr>
                <w:rFonts w:hint="eastAsia"/>
                <w:color w:val="auto"/>
              </w:rPr>
              <w:t>见附图3</w:t>
            </w:r>
            <w:r>
              <w:rPr>
                <w:rFonts w:hint="eastAsia"/>
                <w:color w:val="auto"/>
                <w:lang w:eastAsia="zh-CN"/>
              </w:rPr>
              <w:t>，工程占地情况详见下表</w:t>
            </w:r>
            <w:r>
              <w:rPr>
                <w:rFonts w:hint="eastAsia"/>
                <w:color w:val="auto"/>
              </w:rPr>
              <w:t>。</w:t>
            </w:r>
          </w:p>
          <w:p>
            <w:pPr>
              <w:pStyle w:val="7"/>
              <w:bidi w:val="0"/>
              <w:rPr>
                <w:rFonts w:hint="eastAsia"/>
                <w:color w:val="auto"/>
              </w:rPr>
            </w:pPr>
            <w:r>
              <w:rPr>
                <w:rFonts w:hint="eastAsia"/>
                <w:color w:val="auto"/>
              </w:rPr>
              <w:t>表</w:t>
            </w:r>
            <w:r>
              <w:rPr>
                <w:rFonts w:hint="eastAsia"/>
                <w:color w:val="auto"/>
                <w:lang w:val="en-US" w:eastAsia="zh-CN"/>
              </w:rPr>
              <w:t xml:space="preserve">2-10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工程占地</w:t>
            </w:r>
            <w:r>
              <w:rPr>
                <w:rFonts w:hint="eastAsia"/>
                <w:color w:val="auto"/>
              </w:rPr>
              <w:t>情况汇总表</w:t>
            </w:r>
          </w:p>
          <w:tbl>
            <w:tblPr>
              <w:tblStyle w:val="83"/>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748"/>
              <w:gridCol w:w="1405"/>
              <w:gridCol w:w="1537"/>
              <w:gridCol w:w="1392"/>
              <w:gridCol w:w="17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23" w:hRule="atLeast"/>
              </w:trPr>
              <w:tc>
                <w:tcPr>
                  <w:tcW w:w="1114" w:type="pct"/>
                  <w:tcBorders>
                    <w:tl2br w:val="nil"/>
                    <w:tr2bl w:val="nil"/>
                  </w:tcBorders>
                  <w:shd w:val="clear" w:color="auto" w:fill="auto"/>
                  <w:vAlign w:val="center"/>
                </w:tcPr>
                <w:p>
                  <w:pPr>
                    <w:pStyle w:val="2"/>
                    <w:bidi w:val="0"/>
                    <w:jc w:val="center"/>
                    <w:rPr>
                      <w:color w:val="auto"/>
                    </w:rPr>
                  </w:pPr>
                  <w:r>
                    <w:rPr>
                      <w:color w:val="auto"/>
                    </w:rPr>
                    <w:t>损毁单元</w:t>
                  </w:r>
                </w:p>
              </w:tc>
              <w:tc>
                <w:tcPr>
                  <w:tcW w:w="895" w:type="pct"/>
                  <w:tcBorders>
                    <w:tl2br w:val="nil"/>
                    <w:tr2bl w:val="nil"/>
                  </w:tcBorders>
                  <w:shd w:val="clear" w:color="auto" w:fill="auto"/>
                  <w:vAlign w:val="center"/>
                </w:tcPr>
                <w:p>
                  <w:pPr>
                    <w:pStyle w:val="2"/>
                    <w:bidi w:val="0"/>
                    <w:jc w:val="center"/>
                    <w:rPr>
                      <w:color w:val="auto"/>
                    </w:rPr>
                  </w:pPr>
                  <w:r>
                    <w:rPr>
                      <w:color w:val="auto"/>
                    </w:rPr>
                    <w:t>损毁时序</w:t>
                  </w:r>
                </w:p>
              </w:tc>
              <w:tc>
                <w:tcPr>
                  <w:tcW w:w="979" w:type="pct"/>
                  <w:tcBorders>
                    <w:tl2br w:val="nil"/>
                    <w:tr2bl w:val="nil"/>
                  </w:tcBorders>
                  <w:shd w:val="clear" w:color="auto" w:fill="auto"/>
                  <w:vAlign w:val="center"/>
                </w:tcPr>
                <w:p>
                  <w:pPr>
                    <w:pStyle w:val="2"/>
                    <w:bidi w:val="0"/>
                    <w:jc w:val="center"/>
                    <w:rPr>
                      <w:color w:val="auto"/>
                    </w:rPr>
                  </w:pPr>
                  <w:r>
                    <w:rPr>
                      <w:color w:val="auto"/>
                    </w:rPr>
                    <w:t>面积（公顷）</w:t>
                  </w:r>
                </w:p>
              </w:tc>
              <w:tc>
                <w:tcPr>
                  <w:tcW w:w="887" w:type="pct"/>
                  <w:tcBorders>
                    <w:tl2br w:val="nil"/>
                    <w:tr2bl w:val="nil"/>
                  </w:tcBorders>
                  <w:shd w:val="clear" w:color="auto" w:fill="auto"/>
                  <w:vAlign w:val="center"/>
                </w:tcPr>
                <w:p>
                  <w:pPr>
                    <w:pStyle w:val="2"/>
                    <w:bidi w:val="0"/>
                    <w:jc w:val="center"/>
                    <w:rPr>
                      <w:color w:val="auto"/>
                    </w:rPr>
                  </w:pPr>
                  <w:r>
                    <w:rPr>
                      <w:color w:val="auto"/>
                    </w:rPr>
                    <w:t>损毁方式</w:t>
                  </w:r>
                </w:p>
              </w:tc>
              <w:tc>
                <w:tcPr>
                  <w:tcW w:w="1123" w:type="pct"/>
                  <w:tcBorders>
                    <w:tl2br w:val="nil"/>
                    <w:tr2bl w:val="nil"/>
                  </w:tcBorders>
                  <w:shd w:val="clear" w:color="auto" w:fill="auto"/>
                  <w:vAlign w:val="center"/>
                </w:tcPr>
                <w:p>
                  <w:pPr>
                    <w:pStyle w:val="2"/>
                    <w:bidi w:val="0"/>
                    <w:jc w:val="center"/>
                    <w:rPr>
                      <w:rFonts w:hint="default" w:eastAsia="宋体"/>
                      <w:color w:val="auto"/>
                      <w:lang w:val="en-US" w:eastAsia="zh-CN"/>
                    </w:rPr>
                  </w:pPr>
                  <w:r>
                    <w:rPr>
                      <w:rFonts w:hint="eastAsia"/>
                      <w:color w:val="auto"/>
                      <w:lang w:val="en-US" w:eastAsia="zh-CN"/>
                    </w:rPr>
                    <w:t>占地类型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14" w:type="pct"/>
                  <w:tcBorders>
                    <w:tl2br w:val="nil"/>
                    <w:tr2bl w:val="nil"/>
                  </w:tcBorders>
                  <w:shd w:val="clear" w:color="auto" w:fill="auto"/>
                  <w:vAlign w:val="center"/>
                </w:tcPr>
                <w:p>
                  <w:pPr>
                    <w:pStyle w:val="2"/>
                    <w:bidi w:val="0"/>
                    <w:jc w:val="center"/>
                    <w:rPr>
                      <w:color w:val="auto"/>
                    </w:rPr>
                  </w:pPr>
                  <w:r>
                    <w:rPr>
                      <w:color w:val="auto"/>
                    </w:rPr>
                    <w:t>露天采矿场</w:t>
                  </w:r>
                </w:p>
              </w:tc>
              <w:tc>
                <w:tcPr>
                  <w:tcW w:w="895" w:type="pct"/>
                  <w:tcBorders>
                    <w:tl2br w:val="nil"/>
                    <w:tr2bl w:val="nil"/>
                  </w:tcBorders>
                  <w:shd w:val="clear" w:color="auto" w:fill="auto"/>
                  <w:vAlign w:val="center"/>
                </w:tcPr>
                <w:p>
                  <w:pPr>
                    <w:pStyle w:val="2"/>
                    <w:bidi w:val="0"/>
                    <w:jc w:val="center"/>
                    <w:rPr>
                      <w:color w:val="auto"/>
                    </w:rPr>
                  </w:pPr>
                  <w:r>
                    <w:rPr>
                      <w:color w:val="auto"/>
                    </w:rPr>
                    <w:t>拟损毁</w:t>
                  </w:r>
                </w:p>
              </w:tc>
              <w:tc>
                <w:tcPr>
                  <w:tcW w:w="979" w:type="pct"/>
                  <w:tcBorders>
                    <w:tl2br w:val="nil"/>
                    <w:tr2bl w:val="nil"/>
                  </w:tcBorders>
                  <w:shd w:val="clear" w:color="auto" w:fill="auto"/>
                  <w:vAlign w:val="center"/>
                </w:tcPr>
                <w:p>
                  <w:pPr>
                    <w:pStyle w:val="2"/>
                    <w:bidi w:val="0"/>
                    <w:jc w:val="center"/>
                    <w:rPr>
                      <w:color w:val="auto"/>
                    </w:rPr>
                  </w:pPr>
                  <w:r>
                    <w:rPr>
                      <w:color w:val="auto"/>
                    </w:rPr>
                    <w:t>11.31</w:t>
                  </w:r>
                </w:p>
              </w:tc>
              <w:tc>
                <w:tcPr>
                  <w:tcW w:w="887" w:type="pct"/>
                  <w:tcBorders>
                    <w:tl2br w:val="nil"/>
                    <w:tr2bl w:val="nil"/>
                  </w:tcBorders>
                  <w:shd w:val="clear" w:color="auto" w:fill="auto"/>
                  <w:vAlign w:val="center"/>
                </w:tcPr>
                <w:p>
                  <w:pPr>
                    <w:pStyle w:val="2"/>
                    <w:bidi w:val="0"/>
                    <w:jc w:val="center"/>
                    <w:rPr>
                      <w:color w:val="auto"/>
                    </w:rPr>
                  </w:pPr>
                  <w:r>
                    <w:rPr>
                      <w:color w:val="auto"/>
                    </w:rPr>
                    <w:t>挖损</w:t>
                  </w:r>
                </w:p>
              </w:tc>
              <w:tc>
                <w:tcPr>
                  <w:tcW w:w="1123"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14" w:type="pct"/>
                  <w:tcBorders>
                    <w:tl2br w:val="nil"/>
                    <w:tr2bl w:val="nil"/>
                  </w:tcBorders>
                  <w:shd w:val="clear" w:color="auto" w:fill="auto"/>
                  <w:vAlign w:val="center"/>
                </w:tcPr>
                <w:p>
                  <w:pPr>
                    <w:pStyle w:val="2"/>
                    <w:bidi w:val="0"/>
                    <w:jc w:val="center"/>
                    <w:rPr>
                      <w:color w:val="auto"/>
                    </w:rPr>
                  </w:pPr>
                  <w:r>
                    <w:rPr>
                      <w:color w:val="auto"/>
                    </w:rPr>
                    <w:t>废石堆放场</w:t>
                  </w:r>
                </w:p>
              </w:tc>
              <w:tc>
                <w:tcPr>
                  <w:tcW w:w="895" w:type="pct"/>
                  <w:tcBorders>
                    <w:tl2br w:val="nil"/>
                    <w:tr2bl w:val="nil"/>
                  </w:tcBorders>
                  <w:shd w:val="clear" w:color="auto" w:fill="auto"/>
                  <w:vAlign w:val="center"/>
                </w:tcPr>
                <w:p>
                  <w:pPr>
                    <w:pStyle w:val="2"/>
                    <w:bidi w:val="0"/>
                    <w:jc w:val="center"/>
                    <w:rPr>
                      <w:color w:val="auto"/>
                    </w:rPr>
                  </w:pPr>
                  <w:r>
                    <w:rPr>
                      <w:color w:val="auto"/>
                    </w:rPr>
                    <w:t>拟损毁</w:t>
                  </w:r>
                </w:p>
              </w:tc>
              <w:tc>
                <w:tcPr>
                  <w:tcW w:w="979" w:type="pct"/>
                  <w:tcBorders>
                    <w:tl2br w:val="nil"/>
                    <w:tr2bl w:val="nil"/>
                  </w:tcBorders>
                  <w:shd w:val="clear" w:color="auto" w:fill="auto"/>
                  <w:vAlign w:val="center"/>
                </w:tcPr>
                <w:p>
                  <w:pPr>
                    <w:pStyle w:val="2"/>
                    <w:bidi w:val="0"/>
                    <w:jc w:val="center"/>
                    <w:rPr>
                      <w:color w:val="auto"/>
                    </w:rPr>
                  </w:pPr>
                  <w:r>
                    <w:rPr>
                      <w:color w:val="auto"/>
                    </w:rPr>
                    <w:t>10.08</w:t>
                  </w:r>
                </w:p>
              </w:tc>
              <w:tc>
                <w:tcPr>
                  <w:tcW w:w="887" w:type="pct"/>
                  <w:tcBorders>
                    <w:tl2br w:val="nil"/>
                    <w:tr2bl w:val="nil"/>
                  </w:tcBorders>
                  <w:shd w:val="clear" w:color="auto" w:fill="auto"/>
                  <w:vAlign w:val="center"/>
                </w:tcPr>
                <w:p>
                  <w:pPr>
                    <w:pStyle w:val="2"/>
                    <w:bidi w:val="0"/>
                    <w:jc w:val="center"/>
                    <w:rPr>
                      <w:color w:val="auto"/>
                    </w:rPr>
                  </w:pPr>
                  <w:r>
                    <w:rPr>
                      <w:color w:val="auto"/>
                    </w:rPr>
                    <w:t>压占</w:t>
                  </w:r>
                </w:p>
              </w:tc>
              <w:tc>
                <w:tcPr>
                  <w:tcW w:w="1123"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14" w:type="pct"/>
                  <w:tcBorders>
                    <w:tl2br w:val="nil"/>
                    <w:tr2bl w:val="nil"/>
                  </w:tcBorders>
                  <w:shd w:val="clear" w:color="auto" w:fill="auto"/>
                  <w:vAlign w:val="center"/>
                </w:tcPr>
                <w:p>
                  <w:pPr>
                    <w:pStyle w:val="2"/>
                    <w:bidi w:val="0"/>
                    <w:jc w:val="center"/>
                    <w:rPr>
                      <w:color w:val="auto"/>
                    </w:rPr>
                  </w:pPr>
                  <w:r>
                    <w:rPr>
                      <w:color w:val="auto"/>
                    </w:rPr>
                    <w:t>矿部生活区</w:t>
                  </w:r>
                </w:p>
              </w:tc>
              <w:tc>
                <w:tcPr>
                  <w:tcW w:w="895" w:type="pct"/>
                  <w:tcBorders>
                    <w:tl2br w:val="nil"/>
                    <w:tr2bl w:val="nil"/>
                  </w:tcBorders>
                  <w:shd w:val="clear" w:color="auto" w:fill="auto"/>
                  <w:vAlign w:val="center"/>
                </w:tcPr>
                <w:p>
                  <w:pPr>
                    <w:pStyle w:val="2"/>
                    <w:bidi w:val="0"/>
                    <w:jc w:val="center"/>
                    <w:rPr>
                      <w:color w:val="auto"/>
                    </w:rPr>
                  </w:pPr>
                  <w:r>
                    <w:rPr>
                      <w:color w:val="auto"/>
                    </w:rPr>
                    <w:t>拟损毁</w:t>
                  </w:r>
                </w:p>
              </w:tc>
              <w:tc>
                <w:tcPr>
                  <w:tcW w:w="979" w:type="pct"/>
                  <w:tcBorders>
                    <w:tl2br w:val="nil"/>
                    <w:tr2bl w:val="nil"/>
                  </w:tcBorders>
                  <w:shd w:val="clear" w:color="auto" w:fill="auto"/>
                  <w:vAlign w:val="center"/>
                </w:tcPr>
                <w:p>
                  <w:pPr>
                    <w:pStyle w:val="2"/>
                    <w:bidi w:val="0"/>
                    <w:jc w:val="center"/>
                    <w:rPr>
                      <w:color w:val="auto"/>
                    </w:rPr>
                  </w:pPr>
                  <w:r>
                    <w:rPr>
                      <w:color w:val="auto"/>
                    </w:rPr>
                    <w:t>0.3</w:t>
                  </w:r>
                </w:p>
              </w:tc>
              <w:tc>
                <w:tcPr>
                  <w:tcW w:w="887" w:type="pct"/>
                  <w:tcBorders>
                    <w:tl2br w:val="nil"/>
                    <w:tr2bl w:val="nil"/>
                  </w:tcBorders>
                  <w:shd w:val="clear" w:color="auto" w:fill="auto"/>
                  <w:vAlign w:val="center"/>
                </w:tcPr>
                <w:p>
                  <w:pPr>
                    <w:pStyle w:val="2"/>
                    <w:bidi w:val="0"/>
                    <w:jc w:val="center"/>
                    <w:rPr>
                      <w:color w:val="auto"/>
                    </w:rPr>
                  </w:pPr>
                  <w:r>
                    <w:rPr>
                      <w:color w:val="auto"/>
                    </w:rPr>
                    <w:t>压占</w:t>
                  </w:r>
                </w:p>
              </w:tc>
              <w:tc>
                <w:tcPr>
                  <w:tcW w:w="1123"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14" w:type="pct"/>
                  <w:tcBorders>
                    <w:tl2br w:val="nil"/>
                    <w:tr2bl w:val="nil"/>
                  </w:tcBorders>
                  <w:shd w:val="clear" w:color="auto" w:fill="auto"/>
                  <w:vAlign w:val="center"/>
                </w:tcPr>
                <w:p>
                  <w:pPr>
                    <w:pStyle w:val="2"/>
                    <w:bidi w:val="0"/>
                    <w:jc w:val="center"/>
                    <w:rPr>
                      <w:rFonts w:hint="default" w:eastAsia="宋体"/>
                      <w:color w:val="auto"/>
                      <w:lang w:val="en-US" w:eastAsia="zh-CN"/>
                    </w:rPr>
                  </w:pPr>
                  <w:r>
                    <w:rPr>
                      <w:rFonts w:hint="eastAsia"/>
                      <w:color w:val="auto"/>
                      <w:lang w:val="en-US" w:eastAsia="zh-CN"/>
                    </w:rPr>
                    <w:t>荒料堆放场</w:t>
                  </w:r>
                </w:p>
              </w:tc>
              <w:tc>
                <w:tcPr>
                  <w:tcW w:w="895" w:type="pct"/>
                  <w:tcBorders>
                    <w:tl2br w:val="nil"/>
                    <w:tr2bl w:val="nil"/>
                  </w:tcBorders>
                  <w:shd w:val="clear" w:color="auto" w:fill="auto"/>
                  <w:vAlign w:val="center"/>
                </w:tcPr>
                <w:p>
                  <w:pPr>
                    <w:pStyle w:val="2"/>
                    <w:bidi w:val="0"/>
                    <w:jc w:val="center"/>
                    <w:rPr>
                      <w:color w:val="auto"/>
                    </w:rPr>
                  </w:pPr>
                  <w:r>
                    <w:rPr>
                      <w:color w:val="auto"/>
                    </w:rPr>
                    <w:t>拟损毁</w:t>
                  </w:r>
                </w:p>
              </w:tc>
              <w:tc>
                <w:tcPr>
                  <w:tcW w:w="979" w:type="pct"/>
                  <w:tcBorders>
                    <w:tl2br w:val="nil"/>
                    <w:tr2bl w:val="nil"/>
                  </w:tcBorders>
                  <w:shd w:val="clear" w:color="auto" w:fill="auto"/>
                  <w:vAlign w:val="center"/>
                </w:tcPr>
                <w:p>
                  <w:pPr>
                    <w:pStyle w:val="2"/>
                    <w:bidi w:val="0"/>
                    <w:jc w:val="center"/>
                    <w:rPr>
                      <w:color w:val="auto"/>
                    </w:rPr>
                  </w:pPr>
                  <w:r>
                    <w:rPr>
                      <w:color w:val="auto"/>
                    </w:rPr>
                    <w:t>0.6</w:t>
                  </w:r>
                </w:p>
              </w:tc>
              <w:tc>
                <w:tcPr>
                  <w:tcW w:w="887" w:type="pct"/>
                  <w:tcBorders>
                    <w:tl2br w:val="nil"/>
                    <w:tr2bl w:val="nil"/>
                  </w:tcBorders>
                  <w:shd w:val="clear" w:color="auto" w:fill="auto"/>
                  <w:vAlign w:val="center"/>
                </w:tcPr>
                <w:p>
                  <w:pPr>
                    <w:pStyle w:val="2"/>
                    <w:bidi w:val="0"/>
                    <w:jc w:val="center"/>
                    <w:rPr>
                      <w:color w:val="auto"/>
                    </w:rPr>
                  </w:pPr>
                  <w:r>
                    <w:rPr>
                      <w:color w:val="auto"/>
                    </w:rPr>
                    <w:t>压占</w:t>
                  </w:r>
                </w:p>
              </w:tc>
              <w:tc>
                <w:tcPr>
                  <w:tcW w:w="1123"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14" w:type="pct"/>
                  <w:tcBorders>
                    <w:tl2br w:val="nil"/>
                    <w:tr2bl w:val="nil"/>
                  </w:tcBorders>
                  <w:shd w:val="clear" w:color="auto" w:fill="auto"/>
                  <w:vAlign w:val="center"/>
                </w:tcPr>
                <w:p>
                  <w:pPr>
                    <w:pStyle w:val="2"/>
                    <w:bidi w:val="0"/>
                    <w:jc w:val="center"/>
                    <w:rPr>
                      <w:color w:val="auto"/>
                    </w:rPr>
                  </w:pPr>
                  <w:r>
                    <w:rPr>
                      <w:color w:val="auto"/>
                    </w:rPr>
                    <w:t>表土堆放场</w:t>
                  </w:r>
                </w:p>
              </w:tc>
              <w:tc>
                <w:tcPr>
                  <w:tcW w:w="895" w:type="pct"/>
                  <w:tcBorders>
                    <w:tl2br w:val="nil"/>
                    <w:tr2bl w:val="nil"/>
                  </w:tcBorders>
                  <w:shd w:val="clear" w:color="auto" w:fill="auto"/>
                  <w:vAlign w:val="center"/>
                </w:tcPr>
                <w:p>
                  <w:pPr>
                    <w:pStyle w:val="2"/>
                    <w:bidi w:val="0"/>
                    <w:jc w:val="center"/>
                    <w:rPr>
                      <w:color w:val="auto"/>
                    </w:rPr>
                  </w:pPr>
                  <w:r>
                    <w:rPr>
                      <w:color w:val="auto"/>
                    </w:rPr>
                    <w:t>拟损毁</w:t>
                  </w:r>
                </w:p>
              </w:tc>
              <w:tc>
                <w:tcPr>
                  <w:tcW w:w="979" w:type="pct"/>
                  <w:tcBorders>
                    <w:tl2br w:val="nil"/>
                    <w:tr2bl w:val="nil"/>
                  </w:tcBorders>
                  <w:shd w:val="clear" w:color="auto" w:fill="auto"/>
                  <w:vAlign w:val="center"/>
                </w:tcPr>
                <w:p>
                  <w:pPr>
                    <w:pStyle w:val="2"/>
                    <w:bidi w:val="0"/>
                    <w:jc w:val="center"/>
                    <w:rPr>
                      <w:color w:val="auto"/>
                    </w:rPr>
                  </w:pPr>
                  <w:r>
                    <w:rPr>
                      <w:color w:val="auto"/>
                    </w:rPr>
                    <w:t>1.1</w:t>
                  </w:r>
                </w:p>
              </w:tc>
              <w:tc>
                <w:tcPr>
                  <w:tcW w:w="887" w:type="pct"/>
                  <w:tcBorders>
                    <w:tl2br w:val="nil"/>
                    <w:tr2bl w:val="nil"/>
                  </w:tcBorders>
                  <w:shd w:val="clear" w:color="auto" w:fill="auto"/>
                  <w:vAlign w:val="center"/>
                </w:tcPr>
                <w:p>
                  <w:pPr>
                    <w:pStyle w:val="2"/>
                    <w:bidi w:val="0"/>
                    <w:jc w:val="center"/>
                    <w:rPr>
                      <w:color w:val="auto"/>
                    </w:rPr>
                  </w:pPr>
                  <w:r>
                    <w:rPr>
                      <w:color w:val="auto"/>
                    </w:rPr>
                    <w:t>压占</w:t>
                  </w:r>
                </w:p>
              </w:tc>
              <w:tc>
                <w:tcPr>
                  <w:tcW w:w="1123"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14" w:type="pct"/>
                  <w:tcBorders>
                    <w:tl2br w:val="nil"/>
                    <w:tr2bl w:val="nil"/>
                  </w:tcBorders>
                  <w:shd w:val="clear" w:color="auto" w:fill="auto"/>
                  <w:vAlign w:val="center"/>
                </w:tcPr>
                <w:p>
                  <w:pPr>
                    <w:pStyle w:val="2"/>
                    <w:bidi w:val="0"/>
                    <w:jc w:val="center"/>
                    <w:rPr>
                      <w:color w:val="auto"/>
                    </w:rPr>
                  </w:pPr>
                  <w:r>
                    <w:rPr>
                      <w:color w:val="auto"/>
                    </w:rPr>
                    <w:t>矿山道路</w:t>
                  </w:r>
                </w:p>
              </w:tc>
              <w:tc>
                <w:tcPr>
                  <w:tcW w:w="895" w:type="pct"/>
                  <w:tcBorders>
                    <w:tl2br w:val="nil"/>
                    <w:tr2bl w:val="nil"/>
                  </w:tcBorders>
                  <w:shd w:val="clear" w:color="auto" w:fill="auto"/>
                  <w:vAlign w:val="center"/>
                </w:tcPr>
                <w:p>
                  <w:pPr>
                    <w:pStyle w:val="2"/>
                    <w:bidi w:val="0"/>
                    <w:jc w:val="center"/>
                    <w:rPr>
                      <w:color w:val="auto"/>
                    </w:rPr>
                  </w:pPr>
                  <w:r>
                    <w:rPr>
                      <w:color w:val="auto"/>
                    </w:rPr>
                    <w:t>拟损毁</w:t>
                  </w:r>
                </w:p>
              </w:tc>
              <w:tc>
                <w:tcPr>
                  <w:tcW w:w="979" w:type="pct"/>
                  <w:tcBorders>
                    <w:tl2br w:val="nil"/>
                    <w:tr2bl w:val="nil"/>
                  </w:tcBorders>
                  <w:shd w:val="clear" w:color="auto" w:fill="auto"/>
                  <w:vAlign w:val="center"/>
                </w:tcPr>
                <w:p>
                  <w:pPr>
                    <w:pStyle w:val="2"/>
                    <w:bidi w:val="0"/>
                    <w:jc w:val="center"/>
                    <w:rPr>
                      <w:color w:val="auto"/>
                    </w:rPr>
                  </w:pPr>
                  <w:r>
                    <w:rPr>
                      <w:color w:val="auto"/>
                    </w:rPr>
                    <w:t>1.28</w:t>
                  </w:r>
                </w:p>
              </w:tc>
              <w:tc>
                <w:tcPr>
                  <w:tcW w:w="887" w:type="pct"/>
                  <w:tcBorders>
                    <w:tl2br w:val="nil"/>
                    <w:tr2bl w:val="nil"/>
                  </w:tcBorders>
                  <w:shd w:val="clear" w:color="auto" w:fill="auto"/>
                  <w:vAlign w:val="center"/>
                </w:tcPr>
                <w:p>
                  <w:pPr>
                    <w:pStyle w:val="2"/>
                    <w:bidi w:val="0"/>
                    <w:jc w:val="center"/>
                    <w:rPr>
                      <w:color w:val="auto"/>
                    </w:rPr>
                  </w:pPr>
                  <w:r>
                    <w:rPr>
                      <w:color w:val="auto"/>
                    </w:rPr>
                    <w:t>压占</w:t>
                  </w:r>
                </w:p>
              </w:tc>
              <w:tc>
                <w:tcPr>
                  <w:tcW w:w="1123"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14" w:type="pct"/>
                  <w:tcBorders>
                    <w:tl2br w:val="nil"/>
                    <w:tr2bl w:val="nil"/>
                  </w:tcBorders>
                  <w:shd w:val="clear" w:color="auto" w:fill="auto"/>
                  <w:vAlign w:val="center"/>
                </w:tcPr>
                <w:p>
                  <w:pPr>
                    <w:pStyle w:val="2"/>
                    <w:bidi w:val="0"/>
                    <w:jc w:val="center"/>
                    <w:rPr>
                      <w:color w:val="auto"/>
                    </w:rPr>
                  </w:pPr>
                  <w:r>
                    <w:rPr>
                      <w:color w:val="auto"/>
                    </w:rPr>
                    <w:t>合计</w:t>
                  </w:r>
                </w:p>
              </w:tc>
              <w:tc>
                <w:tcPr>
                  <w:tcW w:w="895" w:type="pct"/>
                  <w:tcBorders>
                    <w:tl2br w:val="nil"/>
                    <w:tr2bl w:val="nil"/>
                  </w:tcBorders>
                  <w:shd w:val="clear" w:color="auto" w:fill="auto"/>
                  <w:vAlign w:val="center"/>
                </w:tcPr>
                <w:p>
                  <w:pPr>
                    <w:pStyle w:val="2"/>
                    <w:bidi w:val="0"/>
                    <w:jc w:val="center"/>
                    <w:rPr>
                      <w:color w:val="auto"/>
                    </w:rPr>
                  </w:pPr>
                </w:p>
              </w:tc>
              <w:tc>
                <w:tcPr>
                  <w:tcW w:w="979" w:type="pct"/>
                  <w:tcBorders>
                    <w:tl2br w:val="nil"/>
                    <w:tr2bl w:val="nil"/>
                  </w:tcBorders>
                  <w:shd w:val="clear" w:color="auto" w:fill="auto"/>
                  <w:vAlign w:val="center"/>
                </w:tcPr>
                <w:p>
                  <w:pPr>
                    <w:pStyle w:val="2"/>
                    <w:bidi w:val="0"/>
                    <w:jc w:val="center"/>
                    <w:rPr>
                      <w:color w:val="auto"/>
                    </w:rPr>
                  </w:pPr>
                  <w:r>
                    <w:rPr>
                      <w:color w:val="auto"/>
                    </w:rPr>
                    <w:t>24.67</w:t>
                  </w:r>
                </w:p>
              </w:tc>
              <w:tc>
                <w:tcPr>
                  <w:tcW w:w="887" w:type="pct"/>
                  <w:tcBorders>
                    <w:tl2br w:val="nil"/>
                    <w:tr2bl w:val="nil"/>
                  </w:tcBorders>
                  <w:shd w:val="clear" w:color="auto" w:fill="auto"/>
                  <w:vAlign w:val="center"/>
                </w:tcPr>
                <w:p>
                  <w:pPr>
                    <w:pStyle w:val="2"/>
                    <w:bidi w:val="0"/>
                    <w:jc w:val="center"/>
                    <w:rPr>
                      <w:color w:val="auto"/>
                    </w:rPr>
                  </w:pPr>
                </w:p>
              </w:tc>
              <w:tc>
                <w:tcPr>
                  <w:tcW w:w="1123" w:type="pct"/>
                  <w:tcBorders>
                    <w:tl2br w:val="nil"/>
                    <w:tr2bl w:val="nil"/>
                  </w:tcBorders>
                  <w:shd w:val="clear" w:color="auto" w:fill="auto"/>
                  <w:vAlign w:val="center"/>
                </w:tcPr>
                <w:p>
                  <w:pPr>
                    <w:pStyle w:val="2"/>
                    <w:bidi w:val="0"/>
                    <w:jc w:val="center"/>
                    <w:rPr>
                      <w:color w:val="auto"/>
                    </w:rPr>
                  </w:pPr>
                </w:p>
              </w:tc>
            </w:tr>
          </w:tbl>
          <w:p>
            <w:pPr>
              <w:bidi w:val="0"/>
              <w:rPr>
                <w:color w:val="auto"/>
                <w:spacing w:val="6"/>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施工方案</w:t>
            </w:r>
          </w:p>
        </w:tc>
        <w:tc>
          <w:tcPr>
            <w:tcW w:w="8099" w:type="dxa"/>
          </w:tcPr>
          <w:p>
            <w:pPr>
              <w:pStyle w:val="5"/>
              <w:bidi w:val="0"/>
              <w:rPr>
                <w:color w:val="auto"/>
              </w:rPr>
            </w:pPr>
            <w:r>
              <w:rPr>
                <w:rFonts w:hint="eastAsia"/>
                <w:color w:val="auto"/>
                <w:lang w:val="en-US" w:eastAsia="zh-CN"/>
              </w:rPr>
              <w:t>1、施工工艺流程</w:t>
            </w:r>
          </w:p>
          <w:p>
            <w:pPr>
              <w:pStyle w:val="7"/>
              <w:bidi w:val="0"/>
              <w:jc w:val="center"/>
              <w:rPr>
                <w:color w:val="auto"/>
              </w:rPr>
            </w:pPr>
            <w:r>
              <w:rPr>
                <w:color w:val="auto"/>
              </w:rPr>
              <w:drawing>
                <wp:anchor distT="0" distB="0" distL="114300" distR="114300" simplePos="0" relativeHeight="251660288" behindDoc="0" locked="0" layoutInCell="1" allowOverlap="1">
                  <wp:simplePos x="0" y="0"/>
                  <wp:positionH relativeFrom="column">
                    <wp:posOffset>56515</wp:posOffset>
                  </wp:positionH>
                  <wp:positionV relativeFrom="page">
                    <wp:posOffset>326390</wp:posOffset>
                  </wp:positionV>
                  <wp:extent cx="5012690" cy="1390015"/>
                  <wp:effectExtent l="0" t="0" r="0" b="0"/>
                  <wp:wrapSquare wrapText="bothSides"/>
                  <wp:docPr id="1" name="ECB019B1-382A-4266-B25C-5B523AA43C14-1" descr="C:/Users/Administrator/AppData/Local/Temp/wps.CqpPy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CqpPypwps"/>
                          <pic:cNvPicPr>
                            <a:picLocks noChangeAspect="1"/>
                          </pic:cNvPicPr>
                        </pic:nvPicPr>
                        <pic:blipFill>
                          <a:blip r:embed="rId9"/>
                          <a:stretch>
                            <a:fillRect/>
                          </a:stretch>
                        </pic:blipFill>
                        <pic:spPr>
                          <a:xfrm>
                            <a:off x="0" y="0"/>
                            <a:ext cx="5012690" cy="1390015"/>
                          </a:xfrm>
                          <a:prstGeom prst="rect">
                            <a:avLst/>
                          </a:prstGeom>
                        </pic:spPr>
                      </pic:pic>
                    </a:graphicData>
                  </a:graphic>
                </wp:anchor>
              </w:drawing>
            </w:r>
            <w:r>
              <w:rPr>
                <w:rFonts w:hint="eastAsia"/>
                <w:color w:val="auto"/>
              </w:rPr>
              <w:t>图</w:t>
            </w:r>
            <w:r>
              <w:rPr>
                <w:rFonts w:hint="eastAsia"/>
                <w:color w:val="auto"/>
                <w:lang w:val="en-US" w:eastAsia="zh-CN"/>
              </w:rPr>
              <w:t>2-2</w:t>
            </w:r>
            <w:r>
              <w:rPr>
                <w:rFonts w:hint="eastAsia"/>
                <w:color w:val="auto"/>
              </w:rPr>
              <w:t xml:space="preserve"> 施工期工艺流程及产污环节示意图</w:t>
            </w:r>
          </w:p>
          <w:p>
            <w:pPr>
              <w:pStyle w:val="5"/>
              <w:bidi w:val="0"/>
              <w:rPr>
                <w:rFonts w:hint="eastAsia"/>
                <w:color w:val="auto"/>
                <w:lang w:val="en-US" w:eastAsia="zh-CN"/>
              </w:rPr>
            </w:pPr>
            <w:r>
              <w:rPr>
                <w:rFonts w:hint="eastAsia"/>
                <w:color w:val="auto"/>
                <w:lang w:val="en-US" w:eastAsia="zh-CN"/>
              </w:rPr>
              <w:t>1.1施工工艺</w:t>
            </w:r>
          </w:p>
          <w:p>
            <w:pPr>
              <w:bidi w:val="0"/>
              <w:rPr>
                <w:rFonts w:hint="eastAsia"/>
                <w:color w:val="auto"/>
                <w:lang w:val="en-US" w:eastAsia="zh-CN"/>
              </w:rPr>
            </w:pPr>
            <w:r>
              <w:rPr>
                <w:rFonts w:hint="eastAsia"/>
                <w:color w:val="auto"/>
                <w:lang w:val="en-US" w:eastAsia="zh-CN"/>
              </w:rPr>
              <w:t>（1）场地建设施工</w:t>
            </w:r>
          </w:p>
          <w:p>
            <w:pPr>
              <w:bidi w:val="0"/>
              <w:rPr>
                <w:rFonts w:hint="eastAsia"/>
                <w:color w:val="auto"/>
                <w:lang w:val="en-US" w:eastAsia="zh-CN"/>
              </w:rPr>
            </w:pPr>
            <w:r>
              <w:rPr>
                <w:rFonts w:hint="eastAsia"/>
                <w:color w:val="auto"/>
                <w:lang w:val="en-US" w:eastAsia="zh-CN"/>
              </w:rPr>
              <w:t>本项目主要建设内容为宿舍、食堂、库房等均为混砖结构，总建筑面积0.1375公顷，主要为基础施工场地平整，建筑施工采用混砖结构，安装设备，表土剥离集中堆放在</w:t>
            </w:r>
            <w:r>
              <w:rPr>
                <w:color w:val="auto"/>
              </w:rPr>
              <w:t>表土堆放场</w:t>
            </w:r>
            <w:r>
              <w:rPr>
                <w:rFonts w:hint="eastAsia"/>
                <w:color w:val="auto"/>
                <w:lang w:eastAsia="zh-CN"/>
              </w:rPr>
              <w:t>，</w:t>
            </w:r>
            <w:r>
              <w:rPr>
                <w:rFonts w:hint="eastAsia"/>
                <w:color w:val="auto"/>
                <w:lang w:val="en-US" w:eastAsia="zh-CN"/>
              </w:rPr>
              <w:t>用于矿山复垦。</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）路面设计</w:t>
            </w:r>
          </w:p>
          <w:p>
            <w:pPr>
              <w:bidi w:val="0"/>
              <w:rPr>
                <w:color w:val="auto"/>
              </w:rPr>
            </w:pPr>
            <w:r>
              <w:rPr>
                <w:rFonts w:hint="eastAsia"/>
                <w:color w:val="auto"/>
              </w:rPr>
              <w:t>矿山道路围绕矿山地面布局范围，连接各个地面设施，连通露天采矿场。道路满足生产需要，</w:t>
            </w:r>
            <w:r>
              <w:rPr>
                <w:color w:val="auto"/>
              </w:rPr>
              <w:t>按照《厂矿道路设计规范》矿山三级道路标准进行修整，泥结碎石路面，单车道，</w:t>
            </w:r>
            <w:r>
              <w:rPr>
                <w:rFonts w:hint="eastAsia"/>
                <w:color w:val="auto"/>
              </w:rPr>
              <w:t>路面宽4.5米，路基宽6.0米，最大坡度≤9%，最小转弯半径15米。设计每隔200米设置错车道，错车道路面宽10米，路基宽11.5米，渐宽长度13.5米，等宽长度18米，错车道总长45米。</w:t>
            </w:r>
            <w:r>
              <w:rPr>
                <w:color w:val="auto"/>
              </w:rPr>
              <w:t>在矿山道路弯道、坡度较大的填方地段以及高堤路基路段，外侧应设置护栏、挡车墙等，挡车墙采用剥离的废石进行修建，高度不低于0.7m。设计矿山在矿区道路设置</w:t>
            </w:r>
            <w:r>
              <w:rPr>
                <w:rFonts w:hint="eastAsia"/>
                <w:color w:val="auto"/>
                <w:lang w:eastAsia="zh-CN"/>
              </w:rPr>
              <w:t>“</w:t>
            </w:r>
            <w:r>
              <w:rPr>
                <w:color w:val="auto"/>
              </w:rPr>
              <w:t>转弯、慢行、鸣笛、限速</w:t>
            </w:r>
            <w:r>
              <w:rPr>
                <w:rFonts w:hint="eastAsia"/>
                <w:color w:val="auto"/>
                <w:lang w:eastAsia="zh-CN"/>
              </w:rPr>
              <w:t>”</w:t>
            </w:r>
            <w:r>
              <w:rPr>
                <w:color w:val="auto"/>
              </w:rPr>
              <w:t>等警示标志。设计运输车辆在矿区内道路的行驶速度不得超过设置20km/h的限速标志。</w:t>
            </w:r>
          </w:p>
          <w:p>
            <w:pPr>
              <w:pStyle w:val="5"/>
              <w:bidi w:val="0"/>
              <w:rPr>
                <w:rFonts w:hint="default"/>
                <w:lang w:val="en-US" w:eastAsia="zh-CN"/>
              </w:rPr>
            </w:pPr>
            <w:r>
              <w:rPr>
                <w:rFonts w:hint="eastAsia"/>
                <w:lang w:val="en-US" w:eastAsia="zh-CN"/>
              </w:rPr>
              <w:t>1.2土石方平衡</w:t>
            </w:r>
          </w:p>
          <w:p>
            <w:pPr>
              <w:pStyle w:val="7"/>
              <w:bidi w:val="0"/>
              <w:rPr>
                <w:rFonts w:hint="default"/>
                <w:lang w:val="en-US" w:eastAsia="zh-CN"/>
              </w:rPr>
            </w:pPr>
            <w:r>
              <w:rPr>
                <w:rFonts w:hint="default"/>
                <w:lang w:val="en-US" w:eastAsia="zh-CN"/>
              </w:rPr>
              <w:t>表</w:t>
            </w:r>
            <w:r>
              <w:rPr>
                <w:rFonts w:hint="eastAsia"/>
                <w:lang w:val="en-US" w:eastAsia="zh-CN"/>
              </w:rPr>
              <w:t>2-11</w:t>
            </w:r>
            <w:r>
              <w:rPr>
                <w:rFonts w:hint="default"/>
                <w:lang w:val="en-US" w:eastAsia="zh-CN"/>
              </w:rPr>
              <w:t xml:space="preserve"> </w:t>
            </w:r>
            <w:r>
              <w:rPr>
                <w:rFonts w:hint="eastAsia"/>
                <w:lang w:val="en-US" w:eastAsia="zh-CN"/>
              </w:rPr>
              <w:t xml:space="preserve">              </w:t>
            </w:r>
            <w:r>
              <w:rPr>
                <w:rFonts w:hint="default"/>
                <w:lang w:val="en-US" w:eastAsia="zh-CN"/>
              </w:rPr>
              <w:t>工程土石方平衡表</w:t>
            </w:r>
            <w:r>
              <w:rPr>
                <w:rFonts w:hint="eastAsia"/>
                <w:lang w:val="en-US" w:eastAsia="zh-CN"/>
              </w:rPr>
              <w:t xml:space="preserve">           单位：立方米</w:t>
            </w:r>
          </w:p>
          <w:tbl>
            <w:tblPr>
              <w:tblStyle w:val="31"/>
              <w:tblW w:w="4997"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979"/>
              <w:gridCol w:w="981"/>
              <w:gridCol w:w="981"/>
              <w:gridCol w:w="981"/>
              <w:gridCol w:w="981"/>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vAlign w:val="center"/>
                </w:tcPr>
                <w:p>
                  <w:pPr>
                    <w:pStyle w:val="2"/>
                    <w:bidi w:val="0"/>
                    <w:rPr>
                      <w:rFonts w:hint="default"/>
                      <w:lang w:val="en-US" w:eastAsia="zh-CN"/>
                    </w:rPr>
                  </w:pPr>
                  <w:r>
                    <w:rPr>
                      <w:rFonts w:hint="eastAsia"/>
                      <w:lang w:val="en-US" w:eastAsia="zh-CN"/>
                    </w:rPr>
                    <w:t>项目</w:t>
                  </w:r>
                </w:p>
              </w:tc>
              <w:tc>
                <w:tcPr>
                  <w:tcW w:w="624" w:type="pct"/>
                  <w:vMerge w:val="restart"/>
                  <w:tcBorders>
                    <w:tl2br w:val="nil"/>
                    <w:tr2bl w:val="nil"/>
                  </w:tcBorders>
                  <w:vAlign w:val="center"/>
                </w:tcPr>
                <w:p>
                  <w:pPr>
                    <w:pStyle w:val="2"/>
                    <w:bidi w:val="0"/>
                    <w:rPr>
                      <w:rFonts w:hint="default"/>
                      <w:lang w:val="en-US" w:eastAsia="zh-CN"/>
                    </w:rPr>
                  </w:pPr>
                  <w:r>
                    <w:rPr>
                      <w:rFonts w:hint="default"/>
                      <w:lang w:val="en-US" w:eastAsia="zh-CN"/>
                    </w:rPr>
                    <w:t>挖方</w:t>
                  </w:r>
                </w:p>
              </w:tc>
              <w:tc>
                <w:tcPr>
                  <w:tcW w:w="625" w:type="pct"/>
                  <w:vMerge w:val="restart"/>
                  <w:tcBorders>
                    <w:tl2br w:val="nil"/>
                    <w:tr2bl w:val="nil"/>
                  </w:tcBorders>
                  <w:vAlign w:val="center"/>
                </w:tcPr>
                <w:p>
                  <w:pPr>
                    <w:pStyle w:val="2"/>
                    <w:bidi w:val="0"/>
                    <w:rPr>
                      <w:rFonts w:hint="default"/>
                      <w:lang w:val="en-US" w:eastAsia="zh-CN"/>
                    </w:rPr>
                  </w:pPr>
                  <w:r>
                    <w:rPr>
                      <w:rFonts w:hint="default"/>
                      <w:lang w:val="en-US" w:eastAsia="zh-CN"/>
                    </w:rPr>
                    <w:t>借方</w:t>
                  </w:r>
                </w:p>
              </w:tc>
              <w:tc>
                <w:tcPr>
                  <w:tcW w:w="625" w:type="pct"/>
                  <w:vMerge w:val="restart"/>
                  <w:tcBorders>
                    <w:tl2br w:val="nil"/>
                    <w:tr2bl w:val="nil"/>
                  </w:tcBorders>
                  <w:vAlign w:val="center"/>
                </w:tcPr>
                <w:p>
                  <w:pPr>
                    <w:pStyle w:val="2"/>
                    <w:bidi w:val="0"/>
                    <w:rPr>
                      <w:rFonts w:hint="default"/>
                      <w:lang w:val="en-US" w:eastAsia="zh-CN"/>
                    </w:rPr>
                  </w:pPr>
                  <w:r>
                    <w:rPr>
                      <w:rFonts w:hint="default"/>
                      <w:lang w:val="en-US" w:eastAsia="zh-CN"/>
                    </w:rPr>
                    <w:t>填方</w:t>
                  </w:r>
                </w:p>
              </w:tc>
              <w:tc>
                <w:tcPr>
                  <w:tcW w:w="1250" w:type="pct"/>
                  <w:gridSpan w:val="2"/>
                  <w:tcBorders>
                    <w:tl2br w:val="nil"/>
                    <w:tr2bl w:val="nil"/>
                  </w:tcBorders>
                  <w:vAlign w:val="center"/>
                </w:tcPr>
                <w:p>
                  <w:pPr>
                    <w:pStyle w:val="2"/>
                    <w:bidi w:val="0"/>
                    <w:rPr>
                      <w:rFonts w:hint="default"/>
                      <w:lang w:val="en-US" w:eastAsia="zh-CN"/>
                    </w:rPr>
                  </w:pPr>
                  <w:r>
                    <w:rPr>
                      <w:rFonts w:hint="default"/>
                      <w:lang w:val="en-US" w:eastAsia="zh-CN"/>
                    </w:rPr>
                    <w:t>弃方</w:t>
                  </w:r>
                </w:p>
              </w:tc>
              <w:tc>
                <w:tcPr>
                  <w:tcW w:w="625" w:type="pct"/>
                  <w:vMerge w:val="restart"/>
                  <w:tcBorders>
                    <w:tl2br w:val="nil"/>
                    <w:tr2bl w:val="nil"/>
                  </w:tcBorders>
                  <w:vAlign w:val="center"/>
                </w:tcPr>
                <w:p>
                  <w:pPr>
                    <w:pStyle w:val="2"/>
                    <w:bidi w:val="0"/>
                    <w:rPr>
                      <w:rFonts w:hint="default"/>
                      <w:lang w:val="en-US" w:eastAsia="zh-CN"/>
                    </w:rPr>
                  </w:pPr>
                  <w:r>
                    <w:rPr>
                      <w:rFonts w:hint="default"/>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pPr>
                    <w:pStyle w:val="2"/>
                    <w:bidi w:val="0"/>
                    <w:rPr>
                      <w:rFonts w:hint="default"/>
                      <w:lang w:val="en-US" w:eastAsia="zh-CN"/>
                    </w:rPr>
                  </w:pPr>
                </w:p>
              </w:tc>
              <w:tc>
                <w:tcPr>
                  <w:tcW w:w="624" w:type="pct"/>
                  <w:vMerge w:val="continue"/>
                  <w:tcBorders>
                    <w:tl2br w:val="nil"/>
                    <w:tr2bl w:val="nil"/>
                  </w:tcBorders>
                  <w:vAlign w:val="center"/>
                </w:tcPr>
                <w:p>
                  <w:pPr>
                    <w:pStyle w:val="2"/>
                    <w:bidi w:val="0"/>
                    <w:rPr>
                      <w:rFonts w:hint="default"/>
                      <w:lang w:val="en-US" w:eastAsia="zh-CN"/>
                    </w:rPr>
                  </w:pPr>
                </w:p>
              </w:tc>
              <w:tc>
                <w:tcPr>
                  <w:tcW w:w="625" w:type="pct"/>
                  <w:vMerge w:val="continue"/>
                  <w:tcBorders>
                    <w:tl2br w:val="nil"/>
                    <w:tr2bl w:val="nil"/>
                  </w:tcBorders>
                  <w:vAlign w:val="center"/>
                </w:tcPr>
                <w:p>
                  <w:pPr>
                    <w:pStyle w:val="2"/>
                    <w:bidi w:val="0"/>
                    <w:rPr>
                      <w:rFonts w:hint="default"/>
                      <w:lang w:val="en-US" w:eastAsia="zh-CN"/>
                    </w:rPr>
                  </w:pPr>
                </w:p>
              </w:tc>
              <w:tc>
                <w:tcPr>
                  <w:tcW w:w="625" w:type="pct"/>
                  <w:vMerge w:val="continue"/>
                  <w:tcBorders>
                    <w:tl2br w:val="nil"/>
                    <w:tr2bl w:val="nil"/>
                  </w:tcBorders>
                  <w:vAlign w:val="center"/>
                </w:tcPr>
                <w:p>
                  <w:pPr>
                    <w:pStyle w:val="2"/>
                    <w:bidi w:val="0"/>
                    <w:rPr>
                      <w:rFonts w:hint="default"/>
                      <w:lang w:val="en-US" w:eastAsia="zh-CN"/>
                    </w:rPr>
                  </w:pPr>
                </w:p>
              </w:tc>
              <w:tc>
                <w:tcPr>
                  <w:tcW w:w="625" w:type="pct"/>
                  <w:tcBorders>
                    <w:tl2br w:val="nil"/>
                    <w:tr2bl w:val="nil"/>
                  </w:tcBorders>
                  <w:vAlign w:val="center"/>
                </w:tcPr>
                <w:p>
                  <w:pPr>
                    <w:pStyle w:val="2"/>
                    <w:bidi w:val="0"/>
                    <w:rPr>
                      <w:rFonts w:hint="default"/>
                      <w:lang w:val="en-US" w:eastAsia="zh-CN"/>
                    </w:rPr>
                  </w:pPr>
                  <w:r>
                    <w:rPr>
                      <w:rFonts w:hint="default"/>
                      <w:lang w:val="en-US" w:eastAsia="zh-CN"/>
                    </w:rPr>
                    <w:t>数量</w:t>
                  </w:r>
                </w:p>
              </w:tc>
              <w:tc>
                <w:tcPr>
                  <w:tcW w:w="625" w:type="pct"/>
                  <w:tcBorders>
                    <w:tl2br w:val="nil"/>
                    <w:tr2bl w:val="nil"/>
                  </w:tcBorders>
                  <w:vAlign w:val="center"/>
                </w:tcPr>
                <w:p>
                  <w:pPr>
                    <w:pStyle w:val="2"/>
                    <w:bidi w:val="0"/>
                    <w:rPr>
                      <w:rFonts w:hint="default"/>
                      <w:lang w:val="en-US" w:eastAsia="zh-CN"/>
                    </w:rPr>
                  </w:pPr>
                  <w:r>
                    <w:rPr>
                      <w:rFonts w:hint="default"/>
                      <w:lang w:val="en-US" w:eastAsia="zh-CN"/>
                    </w:rPr>
                    <w:t>去向</w:t>
                  </w:r>
                </w:p>
              </w:tc>
              <w:tc>
                <w:tcPr>
                  <w:tcW w:w="625" w:type="pct"/>
                  <w:vMerge w:val="continue"/>
                  <w:tcBorders>
                    <w:tl2br w:val="nil"/>
                    <w:tr2bl w:val="nil"/>
                  </w:tcBorders>
                  <w:vAlign w:val="center"/>
                </w:tcPr>
                <w:p>
                  <w:pPr>
                    <w:pStyle w:val="2"/>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49" w:type="pct"/>
                  <w:tcBorders>
                    <w:tl2br w:val="nil"/>
                    <w:tr2bl w:val="nil"/>
                  </w:tcBorders>
                  <w:vAlign w:val="center"/>
                </w:tcPr>
                <w:p>
                  <w:pPr>
                    <w:pStyle w:val="2"/>
                    <w:bidi w:val="0"/>
                    <w:rPr>
                      <w:rFonts w:hint="default"/>
                      <w:lang w:val="en-US" w:eastAsia="zh-CN"/>
                    </w:rPr>
                  </w:pPr>
                  <w:r>
                    <w:rPr>
                      <w:rFonts w:hint="eastAsia"/>
                      <w:lang w:val="en-US" w:eastAsia="zh-CN"/>
                    </w:rPr>
                    <w:t>项目</w:t>
                  </w:r>
                </w:p>
              </w:tc>
              <w:tc>
                <w:tcPr>
                  <w:tcW w:w="624" w:type="pct"/>
                  <w:tcBorders>
                    <w:tl2br w:val="nil"/>
                    <w:tr2bl w:val="nil"/>
                  </w:tcBorders>
                  <w:vAlign w:val="center"/>
                </w:tcPr>
                <w:p>
                  <w:pPr>
                    <w:pStyle w:val="2"/>
                    <w:bidi w:val="0"/>
                    <w:rPr>
                      <w:rFonts w:hint="default"/>
                      <w:lang w:val="en-US" w:eastAsia="zh-CN"/>
                    </w:rPr>
                  </w:pPr>
                  <w:r>
                    <w:rPr>
                      <w:rFonts w:hint="eastAsia"/>
                      <w:lang w:val="en-US" w:eastAsia="zh-CN"/>
                    </w:rPr>
                    <w:t>4000</w:t>
                  </w:r>
                </w:p>
              </w:tc>
              <w:tc>
                <w:tcPr>
                  <w:tcW w:w="625" w:type="pct"/>
                  <w:tcBorders>
                    <w:tl2br w:val="nil"/>
                    <w:tr2bl w:val="nil"/>
                  </w:tcBorders>
                  <w:vAlign w:val="center"/>
                </w:tcPr>
                <w:p>
                  <w:pPr>
                    <w:pStyle w:val="2"/>
                    <w:bidi w:val="0"/>
                    <w:rPr>
                      <w:rFonts w:hint="default"/>
                      <w:lang w:val="en-US" w:eastAsia="zh-CN"/>
                    </w:rPr>
                  </w:pPr>
                  <w:r>
                    <w:rPr>
                      <w:rFonts w:hint="eastAsia"/>
                      <w:lang w:val="en-US" w:eastAsia="zh-CN"/>
                    </w:rPr>
                    <w:t>0</w:t>
                  </w:r>
                </w:p>
              </w:tc>
              <w:tc>
                <w:tcPr>
                  <w:tcW w:w="922" w:type="dxa"/>
                  <w:tcBorders>
                    <w:tl2br w:val="nil"/>
                    <w:tr2bl w:val="nil"/>
                  </w:tcBorders>
                  <w:vAlign w:val="center"/>
                </w:tcPr>
                <w:p>
                  <w:pPr>
                    <w:pStyle w:val="2"/>
                    <w:bidi w:val="0"/>
                    <w:ind w:firstLine="0" w:firstLineChars="0"/>
                    <w:rPr>
                      <w:rFonts w:hint="default"/>
                      <w:lang w:val="en-US" w:eastAsia="zh-CN"/>
                    </w:rPr>
                  </w:pPr>
                  <w:r>
                    <w:rPr>
                      <w:rFonts w:hint="eastAsia"/>
                      <w:lang w:val="en-US" w:eastAsia="zh-CN"/>
                    </w:rPr>
                    <w:t>4000</w:t>
                  </w:r>
                </w:p>
              </w:tc>
              <w:tc>
                <w:tcPr>
                  <w:tcW w:w="625" w:type="pct"/>
                  <w:tcBorders>
                    <w:tl2br w:val="nil"/>
                    <w:tr2bl w:val="nil"/>
                  </w:tcBorders>
                  <w:vAlign w:val="center"/>
                </w:tcPr>
                <w:p>
                  <w:pPr>
                    <w:pStyle w:val="2"/>
                    <w:bidi w:val="0"/>
                    <w:rPr>
                      <w:rFonts w:hint="default"/>
                      <w:lang w:val="en-US" w:eastAsia="zh-CN"/>
                    </w:rPr>
                  </w:pPr>
                  <w:r>
                    <w:rPr>
                      <w:rFonts w:hint="eastAsia"/>
                      <w:lang w:val="en-US" w:eastAsia="zh-CN"/>
                    </w:rPr>
                    <w:t>0</w:t>
                  </w:r>
                </w:p>
              </w:tc>
              <w:tc>
                <w:tcPr>
                  <w:tcW w:w="625" w:type="pct"/>
                  <w:tcBorders>
                    <w:tl2br w:val="nil"/>
                    <w:tr2bl w:val="nil"/>
                  </w:tcBorders>
                  <w:vAlign w:val="center"/>
                </w:tcPr>
                <w:p>
                  <w:pPr>
                    <w:pStyle w:val="2"/>
                    <w:bidi w:val="0"/>
                    <w:rPr>
                      <w:rFonts w:hint="default"/>
                      <w:lang w:val="en-US" w:eastAsia="zh-CN"/>
                    </w:rPr>
                  </w:pPr>
                  <w:r>
                    <w:rPr>
                      <w:rFonts w:hint="default"/>
                      <w:lang w:val="en-US" w:eastAsia="zh-CN"/>
                    </w:rPr>
                    <w:t>/</w:t>
                  </w:r>
                </w:p>
              </w:tc>
              <w:tc>
                <w:tcPr>
                  <w:tcW w:w="625" w:type="pct"/>
                  <w:tcBorders>
                    <w:tl2br w:val="nil"/>
                    <w:tr2bl w:val="nil"/>
                  </w:tcBorders>
                  <w:vAlign w:val="center"/>
                </w:tcPr>
                <w:p>
                  <w:pPr>
                    <w:pStyle w:val="2"/>
                    <w:bidi w:val="0"/>
                    <w:rPr>
                      <w:rFonts w:hint="default"/>
                      <w:lang w:val="en-US" w:eastAsia="zh-CN"/>
                    </w:rPr>
                  </w:pPr>
                  <w:r>
                    <w:rPr>
                      <w:rFonts w:hint="default"/>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pStyle w:val="2"/>
                    <w:bidi w:val="0"/>
                    <w:rPr>
                      <w:rFonts w:hint="default"/>
                      <w:lang w:val="en-US" w:eastAsia="zh-CN"/>
                    </w:rPr>
                  </w:pPr>
                  <w:r>
                    <w:rPr>
                      <w:rFonts w:hint="default"/>
                      <w:lang w:val="en-US" w:eastAsia="zh-CN"/>
                    </w:rPr>
                    <w:t>合计</w:t>
                  </w:r>
                </w:p>
              </w:tc>
              <w:tc>
                <w:tcPr>
                  <w:tcW w:w="624" w:type="pct"/>
                  <w:tcBorders>
                    <w:tl2br w:val="nil"/>
                    <w:tr2bl w:val="nil"/>
                  </w:tcBorders>
                  <w:shd w:val="clear" w:color="auto" w:fill="auto"/>
                  <w:vAlign w:val="center"/>
                </w:tcPr>
                <w:p>
                  <w:pPr>
                    <w:pStyle w:val="2"/>
                    <w:bidi w:val="0"/>
                    <w:rPr>
                      <w:rFonts w:hint="default"/>
                      <w:lang w:val="en-US" w:eastAsia="zh-CN"/>
                    </w:rPr>
                  </w:pPr>
                  <w:r>
                    <w:rPr>
                      <w:rFonts w:hint="eastAsia"/>
                      <w:lang w:val="en-US" w:eastAsia="zh-CN"/>
                    </w:rPr>
                    <w:t>4000</w:t>
                  </w:r>
                </w:p>
              </w:tc>
              <w:tc>
                <w:tcPr>
                  <w:tcW w:w="625" w:type="pct"/>
                  <w:tcBorders>
                    <w:tl2br w:val="nil"/>
                    <w:tr2bl w:val="nil"/>
                  </w:tcBorders>
                  <w:shd w:val="clear" w:color="auto" w:fill="auto"/>
                  <w:vAlign w:val="center"/>
                </w:tcPr>
                <w:p>
                  <w:pPr>
                    <w:pStyle w:val="2"/>
                    <w:bidi w:val="0"/>
                    <w:rPr>
                      <w:rFonts w:hint="default"/>
                      <w:lang w:val="en-US" w:eastAsia="zh-CN"/>
                    </w:rPr>
                  </w:pPr>
                  <w:r>
                    <w:rPr>
                      <w:rFonts w:hint="eastAsia"/>
                      <w:lang w:val="en-US" w:eastAsia="zh-CN"/>
                    </w:rPr>
                    <w:t>0</w:t>
                  </w:r>
                </w:p>
              </w:tc>
              <w:tc>
                <w:tcPr>
                  <w:tcW w:w="922" w:type="dxa"/>
                  <w:tcBorders>
                    <w:tl2br w:val="nil"/>
                    <w:tr2bl w:val="nil"/>
                  </w:tcBorders>
                  <w:shd w:val="clear" w:color="auto" w:fill="auto"/>
                  <w:vAlign w:val="center"/>
                </w:tcPr>
                <w:p>
                  <w:pPr>
                    <w:pStyle w:val="2"/>
                    <w:bidi w:val="0"/>
                    <w:ind w:firstLine="0" w:firstLineChars="0"/>
                    <w:rPr>
                      <w:rFonts w:hint="default"/>
                      <w:lang w:val="en-US" w:eastAsia="zh-CN"/>
                    </w:rPr>
                  </w:pPr>
                  <w:r>
                    <w:rPr>
                      <w:rFonts w:hint="eastAsia"/>
                      <w:lang w:val="en-US" w:eastAsia="zh-CN"/>
                    </w:rPr>
                    <w:t>4000</w:t>
                  </w:r>
                </w:p>
              </w:tc>
              <w:tc>
                <w:tcPr>
                  <w:tcW w:w="625" w:type="pct"/>
                  <w:tcBorders>
                    <w:tl2br w:val="nil"/>
                    <w:tr2bl w:val="nil"/>
                  </w:tcBorders>
                  <w:shd w:val="clear" w:color="auto" w:fill="auto"/>
                  <w:vAlign w:val="center"/>
                </w:tcPr>
                <w:p>
                  <w:pPr>
                    <w:pStyle w:val="2"/>
                    <w:bidi w:val="0"/>
                    <w:rPr>
                      <w:rFonts w:hint="default"/>
                      <w:lang w:val="en-US" w:eastAsia="zh-CN"/>
                    </w:rPr>
                  </w:pPr>
                  <w:r>
                    <w:rPr>
                      <w:rFonts w:hint="eastAsia"/>
                      <w:lang w:val="en-US" w:eastAsia="zh-CN"/>
                    </w:rPr>
                    <w:t>0</w:t>
                  </w:r>
                </w:p>
              </w:tc>
              <w:tc>
                <w:tcPr>
                  <w:tcW w:w="625" w:type="pct"/>
                  <w:tcBorders>
                    <w:tl2br w:val="nil"/>
                    <w:tr2bl w:val="nil"/>
                  </w:tcBorders>
                  <w:vAlign w:val="center"/>
                </w:tcPr>
                <w:p>
                  <w:pPr>
                    <w:pStyle w:val="2"/>
                    <w:bidi w:val="0"/>
                    <w:rPr>
                      <w:rFonts w:hint="default"/>
                      <w:lang w:val="en-US" w:eastAsia="zh-CN"/>
                    </w:rPr>
                  </w:pPr>
                  <w:r>
                    <w:rPr>
                      <w:rFonts w:hint="default"/>
                      <w:lang w:val="en-US" w:eastAsia="zh-CN"/>
                    </w:rPr>
                    <w:t>/</w:t>
                  </w:r>
                </w:p>
              </w:tc>
              <w:tc>
                <w:tcPr>
                  <w:tcW w:w="625" w:type="pct"/>
                  <w:tcBorders>
                    <w:tl2br w:val="nil"/>
                    <w:tr2bl w:val="nil"/>
                  </w:tcBorders>
                  <w:vAlign w:val="center"/>
                </w:tcPr>
                <w:p>
                  <w:pPr>
                    <w:pStyle w:val="2"/>
                    <w:bidi w:val="0"/>
                    <w:rPr>
                      <w:rFonts w:hint="default"/>
                      <w:lang w:val="en-US" w:eastAsia="zh-CN"/>
                    </w:rPr>
                  </w:pPr>
                </w:p>
              </w:tc>
            </w:tr>
          </w:tbl>
          <w:p>
            <w:pPr>
              <w:pStyle w:val="5"/>
              <w:bidi w:val="0"/>
              <w:rPr>
                <w:rFonts w:hint="eastAsia"/>
                <w:color w:val="auto"/>
                <w:lang w:val="en-US" w:eastAsia="zh-CN"/>
              </w:rPr>
            </w:pPr>
            <w:r>
              <w:rPr>
                <w:rFonts w:hint="eastAsia"/>
                <w:color w:val="auto"/>
                <w:lang w:val="en-US" w:eastAsia="zh-CN"/>
              </w:rPr>
              <w:t>1.3施工时序</w:t>
            </w:r>
          </w:p>
          <w:p>
            <w:pPr>
              <w:ind w:firstLine="480"/>
              <w:rPr>
                <w:color w:val="auto"/>
              </w:rPr>
            </w:pPr>
            <w:r>
              <w:rPr>
                <w:rFonts w:hint="eastAsia"/>
                <w:color w:val="auto"/>
              </w:rPr>
              <w:t>项目预计</w:t>
            </w:r>
            <w:r>
              <w:rPr>
                <w:rFonts w:hint="eastAsia"/>
                <w:color w:val="auto"/>
                <w:lang w:val="en-US" w:eastAsia="zh-CN"/>
              </w:rPr>
              <w:t>矿区</w:t>
            </w:r>
            <w:r>
              <w:rPr>
                <w:rFonts w:hint="eastAsia"/>
                <w:color w:val="auto"/>
              </w:rPr>
              <w:t>开工时间为202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月，预计建成日期为</w:t>
            </w:r>
            <w:r>
              <w:rPr>
                <w:rFonts w:hint="eastAsia"/>
                <w:color w:val="auto"/>
                <w:lang w:val="en-US" w:eastAsia="zh-CN"/>
              </w:rPr>
              <w:t>2026</w:t>
            </w:r>
            <w:r>
              <w:rPr>
                <w:rFonts w:hint="eastAsia"/>
                <w:color w:val="auto"/>
              </w:rPr>
              <w:t>年</w:t>
            </w:r>
            <w:r>
              <w:rPr>
                <w:rFonts w:hint="eastAsia"/>
                <w:color w:val="auto"/>
                <w:lang w:val="en-US" w:eastAsia="zh-CN"/>
              </w:rPr>
              <w:t>5</w:t>
            </w:r>
            <w:r>
              <w:rPr>
                <w:rFonts w:hint="eastAsia"/>
                <w:color w:val="auto"/>
              </w:rPr>
              <w:t>月，</w:t>
            </w:r>
            <w:r>
              <w:rPr>
                <w:color w:val="auto"/>
              </w:rPr>
              <w:t>具体施工组织安排如下：</w:t>
            </w:r>
          </w:p>
          <w:p>
            <w:pPr>
              <w:ind w:firstLine="480"/>
              <w:rPr>
                <w:rFonts w:hint="default" w:eastAsia="宋体"/>
                <w:color w:val="auto"/>
                <w:lang w:val="en-US" w:eastAsia="zh-CN"/>
              </w:rPr>
            </w:pPr>
            <w:r>
              <w:rPr>
                <w:rFonts w:hint="eastAsia"/>
                <w:color w:val="auto"/>
                <w:lang w:val="en-US" w:eastAsia="zh-CN"/>
              </w:rPr>
              <w:t>2025年6—10月：各种手续办理；</w:t>
            </w:r>
          </w:p>
          <w:p>
            <w:pPr>
              <w:ind w:firstLine="480"/>
              <w:rPr>
                <w:color w:val="auto"/>
              </w:rPr>
            </w:pPr>
            <w:r>
              <w:rPr>
                <w:color w:val="auto"/>
              </w:rPr>
              <w:t>202</w:t>
            </w:r>
            <w:r>
              <w:rPr>
                <w:rFonts w:hint="eastAsia"/>
                <w:color w:val="auto"/>
                <w:lang w:val="en-US" w:eastAsia="zh-CN"/>
              </w:rPr>
              <w:t>5</w:t>
            </w:r>
            <w:r>
              <w:rPr>
                <w:color w:val="auto"/>
              </w:rPr>
              <w:t>年</w:t>
            </w:r>
            <w:r>
              <w:rPr>
                <w:rFonts w:hint="eastAsia"/>
                <w:color w:val="auto"/>
                <w:lang w:val="en-US" w:eastAsia="zh-CN"/>
              </w:rPr>
              <w:t>10月</w:t>
            </w:r>
            <w:r>
              <w:rPr>
                <w:color w:val="auto"/>
              </w:rPr>
              <w:t>：矿区道路修建，矿部</w:t>
            </w:r>
            <w:r>
              <w:rPr>
                <w:rFonts w:hint="eastAsia"/>
                <w:color w:val="auto"/>
              </w:rPr>
              <w:t>辅助设施</w:t>
            </w:r>
            <w:r>
              <w:rPr>
                <w:color w:val="auto"/>
              </w:rPr>
              <w:t>建设；</w:t>
            </w:r>
          </w:p>
          <w:p>
            <w:pPr>
              <w:ind w:firstLine="480"/>
              <w:rPr>
                <w:rFonts w:hint="eastAsia"/>
                <w:color w:val="auto"/>
              </w:rPr>
            </w:pPr>
            <w:r>
              <w:rPr>
                <w:color w:val="auto"/>
              </w:rPr>
              <w:t>20</w:t>
            </w:r>
            <w:r>
              <w:rPr>
                <w:rFonts w:hint="eastAsia"/>
                <w:color w:val="auto"/>
              </w:rPr>
              <w:t>2</w:t>
            </w:r>
            <w:r>
              <w:rPr>
                <w:rFonts w:hint="eastAsia"/>
                <w:color w:val="auto"/>
                <w:lang w:val="en-US" w:eastAsia="zh-CN"/>
              </w:rPr>
              <w:t>6</w:t>
            </w:r>
            <w:r>
              <w:rPr>
                <w:color w:val="auto"/>
              </w:rPr>
              <w:t>年</w:t>
            </w:r>
            <w:r>
              <w:rPr>
                <w:rFonts w:hint="eastAsia"/>
                <w:color w:val="auto"/>
                <w:lang w:val="en-US" w:eastAsia="zh-CN"/>
              </w:rPr>
              <w:t>4月—5月</w:t>
            </w:r>
            <w:r>
              <w:rPr>
                <w:color w:val="auto"/>
              </w:rPr>
              <w:t>：</w:t>
            </w:r>
            <w:r>
              <w:rPr>
                <w:rFonts w:hint="eastAsia"/>
                <w:color w:val="auto"/>
                <w:lang w:eastAsia="zh-CN"/>
              </w:rPr>
              <w:t>办公生活区建设；</w:t>
            </w:r>
            <w:r>
              <w:rPr>
                <w:color w:val="auto"/>
              </w:rPr>
              <w:t>矿区生产设施安装</w:t>
            </w:r>
            <w:r>
              <w:rPr>
                <w:rFonts w:hint="eastAsia"/>
                <w:color w:val="auto"/>
              </w:rPr>
              <w:t>。</w:t>
            </w:r>
          </w:p>
          <w:p>
            <w:pPr>
              <w:pStyle w:val="5"/>
              <w:bidi w:val="0"/>
              <w:rPr>
                <w:rFonts w:hint="eastAsia"/>
                <w:color w:val="auto"/>
                <w:lang w:val="en-US" w:eastAsia="zh-CN"/>
              </w:rPr>
            </w:pPr>
            <w:r>
              <w:rPr>
                <w:rFonts w:hint="eastAsia"/>
                <w:color w:val="auto"/>
                <w:lang w:val="en-US" w:eastAsia="zh-CN"/>
              </w:rPr>
              <w:t>2、运营期施工工艺流程</w:t>
            </w:r>
          </w:p>
          <w:p>
            <w:pPr>
              <w:ind w:firstLine="480"/>
              <w:rPr>
                <w:rFonts w:hint="eastAsia" w:eastAsia="宋体"/>
                <w:color w:val="auto"/>
                <w:lang w:eastAsia="zh-CN"/>
              </w:rPr>
            </w:pPr>
            <w:r>
              <w:rPr>
                <w:rFonts w:hint="eastAsia" w:eastAsia="宋体"/>
                <w:color w:val="auto"/>
                <w:lang w:eastAsia="zh-CN"/>
              </w:rPr>
              <w:drawing>
                <wp:inline distT="0" distB="0" distL="114300" distR="114300">
                  <wp:extent cx="4378325" cy="2940685"/>
                  <wp:effectExtent l="0" t="0" r="0" b="0"/>
                  <wp:docPr id="6" name="ECB019B1-382A-4266-B25C-5B523AA43C14-2" descr="C:/Users/Administrator/AppData/Local/Temp/wps.fPykZ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Administrator/AppData/Local/Temp/wps.fPykZCwps"/>
                          <pic:cNvPicPr>
                            <a:picLocks noChangeAspect="1"/>
                          </pic:cNvPicPr>
                        </pic:nvPicPr>
                        <pic:blipFill>
                          <a:blip r:embed="rId10"/>
                          <a:stretch>
                            <a:fillRect/>
                          </a:stretch>
                        </pic:blipFill>
                        <pic:spPr>
                          <a:xfrm>
                            <a:off x="0" y="0"/>
                            <a:ext cx="4378325" cy="2940685"/>
                          </a:xfrm>
                          <a:prstGeom prst="rect">
                            <a:avLst/>
                          </a:prstGeom>
                        </pic:spPr>
                      </pic:pic>
                    </a:graphicData>
                  </a:graphic>
                </wp:inline>
              </w:drawing>
            </w:r>
          </w:p>
          <w:p>
            <w:pPr>
              <w:pStyle w:val="7"/>
              <w:bidi w:val="0"/>
              <w:jc w:val="center"/>
              <w:rPr>
                <w:color w:val="auto"/>
              </w:rPr>
            </w:pPr>
            <w:r>
              <w:rPr>
                <w:rFonts w:hint="eastAsia"/>
                <w:color w:val="auto"/>
              </w:rPr>
              <w:t>图</w:t>
            </w:r>
            <w:r>
              <w:rPr>
                <w:rFonts w:hint="eastAsia"/>
                <w:color w:val="auto"/>
                <w:lang w:val="en-US" w:eastAsia="zh-CN"/>
              </w:rPr>
              <w:t>2-3</w:t>
            </w:r>
            <w:r>
              <w:rPr>
                <w:rFonts w:hint="eastAsia"/>
                <w:color w:val="auto"/>
              </w:rPr>
              <w:t xml:space="preserve"> </w:t>
            </w:r>
            <w:r>
              <w:rPr>
                <w:rFonts w:hint="eastAsia"/>
                <w:color w:val="auto"/>
                <w:lang w:eastAsia="zh-CN"/>
              </w:rPr>
              <w:t>运营期</w:t>
            </w:r>
            <w:r>
              <w:rPr>
                <w:rFonts w:hint="eastAsia"/>
                <w:color w:val="auto"/>
              </w:rPr>
              <w:t>工艺流程及产污环节示意图</w:t>
            </w:r>
          </w:p>
          <w:p>
            <w:pPr>
              <w:bidi w:val="0"/>
              <w:rPr>
                <w:color w:val="auto"/>
              </w:rPr>
            </w:pPr>
            <w:r>
              <w:rPr>
                <w:rFonts w:hint="eastAsia"/>
                <w:color w:val="auto"/>
              </w:rPr>
              <w:t>工艺流程简述：</w:t>
            </w:r>
          </w:p>
          <w:p>
            <w:pPr>
              <w:bidi w:val="0"/>
              <w:rPr>
                <w:rFonts w:hint="eastAsia"/>
                <w:color w:val="auto"/>
              </w:rPr>
            </w:pPr>
            <w:r>
              <w:rPr>
                <w:rFonts w:hint="eastAsia"/>
                <w:color w:val="auto"/>
              </w:rPr>
              <w:t>（1）剥离和铺轨</w:t>
            </w:r>
          </w:p>
          <w:p>
            <w:pPr>
              <w:bidi w:val="0"/>
              <w:rPr>
                <w:rFonts w:hint="eastAsia" w:eastAsia="宋体"/>
                <w:color w:val="auto"/>
                <w:lang w:val="en-US" w:eastAsia="zh-CN"/>
              </w:rPr>
            </w:pPr>
            <w:r>
              <w:rPr>
                <w:rFonts w:hint="eastAsia"/>
                <w:color w:val="auto"/>
              </w:rPr>
              <w:t>首先将矿体表面的</w:t>
            </w:r>
            <w:r>
              <w:rPr>
                <w:rFonts w:hint="eastAsia"/>
                <w:color w:val="auto"/>
                <w:lang w:val="en-US" w:eastAsia="zh-CN"/>
              </w:rPr>
              <w:t>表土</w:t>
            </w:r>
            <w:r>
              <w:rPr>
                <w:rFonts w:hint="eastAsia"/>
                <w:color w:val="auto"/>
              </w:rPr>
              <w:t>进行剥离，剥离</w:t>
            </w:r>
            <w:r>
              <w:rPr>
                <w:rFonts w:hint="eastAsia"/>
                <w:color w:val="auto"/>
                <w:lang w:val="en-US" w:eastAsia="zh-CN"/>
              </w:rPr>
              <w:t>表土</w:t>
            </w:r>
            <w:r>
              <w:rPr>
                <w:rFonts w:hint="eastAsia"/>
                <w:color w:val="auto"/>
              </w:rPr>
              <w:t>采用挖掘机和装载机铲装，自卸汽车运至规划废石堆放场。</w:t>
            </w:r>
            <w:r>
              <w:rPr>
                <w:rFonts w:hint="eastAsia"/>
                <w:color w:val="auto"/>
                <w:lang w:eastAsia="zh-CN"/>
              </w:rPr>
              <w:t>剥离时产生粉尘</w:t>
            </w:r>
            <w:r>
              <w:rPr>
                <w:rFonts w:hint="eastAsia"/>
                <w:color w:val="auto"/>
                <w:lang w:val="en-US" w:eastAsia="zh-CN"/>
              </w:rPr>
              <w:t>G1</w:t>
            </w:r>
            <w:r>
              <w:rPr>
                <w:rFonts w:hint="eastAsia"/>
                <w:color w:val="auto"/>
                <w:lang w:eastAsia="zh-CN"/>
              </w:rPr>
              <w:t>、噪声</w:t>
            </w:r>
            <w:r>
              <w:rPr>
                <w:rFonts w:hint="eastAsia"/>
                <w:color w:val="auto"/>
                <w:lang w:val="en-US" w:eastAsia="zh-CN"/>
              </w:rPr>
              <w:t>N1、固废S1</w:t>
            </w:r>
            <w:r>
              <w:rPr>
                <w:rFonts w:hint="eastAsia"/>
                <w:color w:val="auto"/>
                <w:lang w:eastAsia="zh-CN"/>
              </w:rPr>
              <w:t>。</w:t>
            </w:r>
          </w:p>
          <w:p>
            <w:pPr>
              <w:bidi w:val="0"/>
              <w:rPr>
                <w:rFonts w:hint="default" w:eastAsia="宋体"/>
                <w:color w:val="auto"/>
                <w:lang w:val="en-US" w:eastAsia="zh-CN"/>
              </w:rPr>
            </w:pPr>
            <w:r>
              <w:rPr>
                <w:rFonts w:hint="eastAsia"/>
                <w:color w:val="auto"/>
                <w:lang w:val="en-US" w:eastAsia="zh-CN"/>
              </w:rPr>
              <w:t>表土剥离后</w:t>
            </w:r>
            <w:r>
              <w:rPr>
                <w:rFonts w:hint="eastAsia"/>
                <w:color w:val="auto"/>
              </w:rPr>
              <w:t>，人工铺设圆盘锯石机的行驶轨道，使轨道平直且稳固，设计采用18kg/m导轨，根据荒料规格，采用圆盘锯石机对矿体进行切割、钻眼楔裂法分离</w:t>
            </w:r>
            <w:r>
              <w:rPr>
                <w:rFonts w:hint="eastAsia"/>
                <w:color w:val="auto"/>
                <w:lang w:val="en-US" w:eastAsia="zh-CN"/>
              </w:rPr>
              <w:t>。</w:t>
            </w:r>
          </w:p>
          <w:p>
            <w:pPr>
              <w:bidi w:val="0"/>
              <w:rPr>
                <w:rFonts w:hint="eastAsia"/>
                <w:color w:val="auto"/>
              </w:rPr>
            </w:pPr>
            <w:r>
              <w:rPr>
                <w:rFonts w:hint="eastAsia"/>
                <w:color w:val="auto"/>
              </w:rPr>
              <w:t>（2）锯切</w:t>
            </w:r>
          </w:p>
          <w:p>
            <w:pPr>
              <w:bidi w:val="0"/>
              <w:rPr>
                <w:rFonts w:hint="default" w:eastAsia="宋体"/>
                <w:color w:val="auto"/>
                <w:lang w:val="en-US" w:eastAsia="zh-CN"/>
              </w:rPr>
            </w:pPr>
            <w:r>
              <w:rPr>
                <w:rFonts w:hint="eastAsia"/>
                <w:color w:val="auto"/>
              </w:rPr>
              <w:t>矿山的荒料规格长×宽×高进行切割作业。设计首先沿工作线采用圆盘锯石机沿矿体端面进行切割，然后采用圆盘锯石机在纵向方向将矿体每隔2m</w:t>
            </w:r>
            <w:r>
              <w:rPr>
                <w:rFonts w:hint="eastAsia"/>
                <w:color w:val="auto"/>
                <w:lang w:eastAsia="zh-CN"/>
              </w:rPr>
              <w:t>（根据实际需要规格进行切割）</w:t>
            </w:r>
            <w:r>
              <w:rPr>
                <w:rFonts w:hint="eastAsia"/>
                <w:color w:val="auto"/>
              </w:rPr>
              <w:t>切割形成数条深1.25m的锯缝，在横向方向上每隔1.5m</w:t>
            </w:r>
            <w:r>
              <w:rPr>
                <w:rFonts w:hint="eastAsia"/>
                <w:color w:val="auto"/>
                <w:lang w:eastAsia="zh-CN"/>
              </w:rPr>
              <w:t>（根据实际需要规格进行切割）</w:t>
            </w:r>
            <w:r>
              <w:rPr>
                <w:rFonts w:hint="eastAsia"/>
                <w:color w:val="auto"/>
              </w:rPr>
              <w:t>切割形成数条深1.25m的锯缝。圆盘锯石机主要是在切割矿体端面以及矿体底部时进行使用，然后</w:t>
            </w:r>
            <w:r>
              <w:rPr>
                <w:rFonts w:hint="eastAsia"/>
                <w:color w:val="auto"/>
                <w:lang w:eastAsia="zh-CN"/>
              </w:rPr>
              <w:t>再</w:t>
            </w:r>
            <w:r>
              <w:rPr>
                <w:rFonts w:hint="eastAsia"/>
                <w:color w:val="auto"/>
              </w:rPr>
              <w:t>进行水平切割。</w:t>
            </w:r>
            <w:r>
              <w:rPr>
                <w:rFonts w:hint="eastAsia"/>
                <w:color w:val="auto"/>
                <w:lang w:eastAsia="zh-CN"/>
              </w:rPr>
              <w:t>切割过程中产生粉尘</w:t>
            </w:r>
            <w:r>
              <w:rPr>
                <w:rFonts w:hint="eastAsia"/>
                <w:color w:val="auto"/>
                <w:lang w:val="en-US" w:eastAsia="zh-CN"/>
              </w:rPr>
              <w:t>G2、N2。</w:t>
            </w:r>
          </w:p>
          <w:p>
            <w:pPr>
              <w:bidi w:val="0"/>
              <w:rPr>
                <w:rFonts w:hint="eastAsia" w:eastAsia="宋体"/>
                <w:color w:val="auto"/>
                <w:lang w:eastAsia="zh-CN"/>
              </w:rPr>
            </w:pPr>
            <w:r>
              <w:rPr>
                <w:rFonts w:hint="eastAsia"/>
                <w:color w:val="auto"/>
              </w:rPr>
              <w:t>设计圆盘锯石机的供电电缆采用YJV-3×95+1×25型铠装聚氯乙烯护套电缆。在圆盘锯石机工作过程中，随着锯石机移动而移动，拖曳方式采用人工拖曳电缆线，圆盘锯石机</w:t>
            </w:r>
            <w:r>
              <w:rPr>
                <w:rFonts w:hint="eastAsia"/>
                <w:color w:val="auto"/>
                <w:lang w:val="en-US" w:eastAsia="zh-CN"/>
              </w:rPr>
              <w:t>和绳锯</w:t>
            </w:r>
            <w:r>
              <w:rPr>
                <w:rFonts w:hint="eastAsia"/>
                <w:color w:val="auto"/>
              </w:rPr>
              <w:t>锯切时因刀头与石材的强力冲击磨擦而引起发热，需足量的冷却水冷却。设计采用水管对锯片进行喷淋洒水，由生产供水水管接至作业地点，采用橡胶软管随着锯石机的移动向锯切作业点喷淋洒水。</w:t>
            </w:r>
            <w:r>
              <w:rPr>
                <w:rFonts w:hint="eastAsia"/>
                <w:color w:val="auto"/>
                <w:lang w:eastAsia="zh-CN"/>
              </w:rPr>
              <w:t>喷淋废水</w:t>
            </w:r>
            <w:r>
              <w:rPr>
                <w:rFonts w:hint="eastAsia"/>
                <w:color w:val="auto"/>
                <w:lang w:val="en-US" w:eastAsia="zh-CN"/>
              </w:rPr>
              <w:t>W1</w:t>
            </w:r>
            <w:r>
              <w:rPr>
                <w:rFonts w:hint="eastAsia"/>
                <w:color w:val="auto"/>
                <w:lang w:eastAsia="zh-CN"/>
              </w:rPr>
              <w:t>。</w:t>
            </w:r>
          </w:p>
          <w:p>
            <w:pPr>
              <w:bidi w:val="0"/>
              <w:rPr>
                <w:rFonts w:hint="eastAsia"/>
                <w:color w:val="auto"/>
              </w:rPr>
            </w:pPr>
            <w:r>
              <w:rPr>
                <w:rFonts w:hint="eastAsia"/>
                <w:color w:val="auto"/>
              </w:rPr>
              <w:t>为提高出材率，锯切时，应适时调整锯切深度和锯切速度，减少锯片不必要的磨损。圆盘锯石机在台阶间的转运、检修由叉装车辅助操作；锯切片须定期换装，卸下锯片存放时，为减少变形，应悬挂垂直吊放。锯采工艺所形成的泥浆采用定期洒水冲洗</w:t>
            </w:r>
            <w:r>
              <w:rPr>
                <w:rFonts w:hint="eastAsia"/>
                <w:color w:val="auto"/>
                <w:lang w:eastAsia="zh-CN"/>
              </w:rPr>
              <w:t>进入循环池</w:t>
            </w:r>
            <w:r>
              <w:rPr>
                <w:rFonts w:hint="eastAsia"/>
                <w:color w:val="auto"/>
              </w:rPr>
              <w:t>，防止其干燥后形成粉尘</w:t>
            </w:r>
            <w:r>
              <w:rPr>
                <w:rFonts w:hint="eastAsia"/>
                <w:color w:val="auto"/>
                <w:lang w:eastAsia="zh-CN"/>
              </w:rPr>
              <w:t>，循环池中的废石定期清掏</w:t>
            </w:r>
            <w:r>
              <w:rPr>
                <w:rFonts w:hint="eastAsia"/>
                <w:color w:val="auto"/>
                <w:lang w:val="en-US" w:eastAsia="zh-CN"/>
              </w:rPr>
              <w:t>S2</w:t>
            </w:r>
            <w:r>
              <w:rPr>
                <w:rFonts w:hint="eastAsia"/>
                <w:color w:val="auto"/>
              </w:rPr>
              <w:t>。</w:t>
            </w:r>
          </w:p>
          <w:p>
            <w:pPr>
              <w:bidi w:val="0"/>
              <w:rPr>
                <w:rFonts w:hint="eastAsia"/>
                <w:color w:val="auto"/>
              </w:rPr>
            </w:pPr>
            <w:r>
              <w:rPr>
                <w:rFonts w:hint="eastAsia"/>
                <w:color w:val="auto"/>
              </w:rPr>
              <w:t>（3）分离</w:t>
            </w:r>
          </w:p>
          <w:p>
            <w:pPr>
              <w:bidi w:val="0"/>
              <w:rPr>
                <w:rFonts w:hint="default"/>
                <w:color w:val="auto"/>
                <w:lang w:val="en-US"/>
              </w:rPr>
            </w:pPr>
            <w:r>
              <w:rPr>
                <w:rFonts w:hint="eastAsia"/>
                <w:color w:val="auto"/>
              </w:rPr>
              <w:t>分离指用适当的方法，使荒料脱离原矿体的工艺，一般按照所定的荒料规格进行分离，并适当考虑整形余量。设计矿山采用钻眼楔裂法联合分离方法。设计采用Y18型手持式凿岩机沿矿体底部凿水平眼，钻孔直径d=40mm，钻孔间距为0.2m，孔深1.2m，在矿体顶部凿垂直眼，孔深1m。然后在每个钻孔中插入相应规格的楔子，采用人工捶打的方法将荒料从矿体上分离。</w:t>
            </w:r>
            <w:r>
              <w:rPr>
                <w:rFonts w:hint="eastAsia"/>
                <w:color w:val="auto"/>
                <w:lang w:eastAsia="zh-CN"/>
              </w:rPr>
              <w:t>钻孔时产生粉尘</w:t>
            </w:r>
            <w:r>
              <w:rPr>
                <w:rFonts w:hint="eastAsia"/>
                <w:color w:val="auto"/>
                <w:lang w:val="en-US" w:eastAsia="zh-CN"/>
              </w:rPr>
              <w:t>G3、噪声N4，废水W2，不合格矿石S3。</w:t>
            </w:r>
          </w:p>
          <w:p>
            <w:pPr>
              <w:bidi w:val="0"/>
              <w:rPr>
                <w:rFonts w:hint="eastAsia"/>
                <w:color w:val="auto"/>
              </w:rPr>
            </w:pPr>
            <w:r>
              <w:rPr>
                <w:rFonts w:hint="eastAsia"/>
                <w:color w:val="auto"/>
              </w:rPr>
              <w:t>（4）铲装和运输</w:t>
            </w:r>
          </w:p>
          <w:p>
            <w:pPr>
              <w:bidi w:val="0"/>
              <w:rPr>
                <w:rFonts w:hint="default" w:eastAsia="宋体"/>
                <w:color w:val="auto"/>
                <w:lang w:val="en-US" w:eastAsia="zh-CN"/>
              </w:rPr>
            </w:pPr>
            <w:r>
              <w:rPr>
                <w:rFonts w:hint="eastAsia"/>
                <w:color w:val="auto"/>
              </w:rPr>
              <w:t>从矿体上分离的荒料，由叉装车铲装到自卸汽车，再由自卸汽车运输至规划荒料堆放场，再由汽车运往加工厂进行加工。叉装车、自卸汽车沿出入沟由矿区道路进入采场，并在采坑内部进行铲装和运输作业，叉装车操作者驾驶叉装车接近荒料并操作操纵杆控制叉尖对准并插入事先钻好</w:t>
            </w:r>
            <w:r>
              <w:rPr>
                <w:rFonts w:hint="eastAsia"/>
                <w:color w:val="auto"/>
                <w:lang w:eastAsia="zh-CN"/>
              </w:rPr>
              <w:t>的</w:t>
            </w:r>
            <w:r>
              <w:rPr>
                <w:rFonts w:hint="eastAsia"/>
                <w:color w:val="auto"/>
              </w:rPr>
              <w:t>孔，然后提升动臂，将荒料抬升并运输至荒料堆放场。在铲装和运输过程中，要保证叉装车有足够的动臂提升能力，举升高度、视野和卸载角度，保持荒料的完整性。设计叉装车在铲装和运输作业时应有专人进行指挥，荒料外运均为汽车进行拉运。</w:t>
            </w:r>
            <w:r>
              <w:rPr>
                <w:rFonts w:hint="eastAsia"/>
                <w:color w:val="auto"/>
                <w:lang w:eastAsia="zh-CN"/>
              </w:rPr>
              <w:t>运输过程中产生粉尘</w:t>
            </w:r>
            <w:r>
              <w:rPr>
                <w:rFonts w:hint="eastAsia"/>
                <w:color w:val="auto"/>
                <w:lang w:val="en-US" w:eastAsia="zh-CN"/>
              </w:rPr>
              <w:t>G4、噪声N4。</w:t>
            </w:r>
          </w:p>
          <w:p>
            <w:pPr>
              <w:pStyle w:val="5"/>
              <w:numPr>
                <w:ilvl w:val="0"/>
                <w:numId w:val="2"/>
              </w:numPr>
              <w:rPr>
                <w:rFonts w:hint="eastAsia"/>
                <w:color w:val="auto"/>
              </w:rPr>
            </w:pPr>
            <w:r>
              <w:rPr>
                <w:rFonts w:hint="eastAsia"/>
                <w:color w:val="auto"/>
              </w:rPr>
              <w:t>物料平衡</w:t>
            </w:r>
          </w:p>
          <w:p>
            <w:pPr>
              <w:bidi w:val="0"/>
              <w:rPr>
                <w:color w:val="auto"/>
              </w:rPr>
            </w:pPr>
            <w:r>
              <w:rPr>
                <w:rFonts w:hint="default"/>
                <w:color w:val="auto"/>
              </w:rPr>
              <w:t>物料平衡情况详见表</w:t>
            </w:r>
            <w:r>
              <w:rPr>
                <w:rFonts w:hint="eastAsia"/>
                <w:color w:val="auto"/>
                <w:lang w:val="en-US" w:eastAsia="zh-CN"/>
              </w:rPr>
              <w:t>2-11。</w:t>
            </w:r>
          </w:p>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表2-</w:t>
            </w:r>
            <w:r>
              <w:rPr>
                <w:rFonts w:hint="eastAsia" w:cs="Times New Roman"/>
                <w:color w:val="auto"/>
                <w:lang w:val="en-US" w:eastAsia="zh-CN"/>
              </w:rPr>
              <w:t>11</w:t>
            </w:r>
            <w:r>
              <w:rPr>
                <w:rFonts w:hint="eastAsia" w:ascii="Times New Roman" w:hAnsi="Times New Roman" w:eastAsia="宋体" w:cs="Times New Roman"/>
                <w:color w:val="auto"/>
                <w:lang w:val="en-US" w:eastAsia="zh-CN"/>
              </w:rPr>
              <w:t xml:space="preserve">                     物料平衡一览表</w:t>
            </w:r>
          </w:p>
          <w:tbl>
            <w:tblPr>
              <w:tblStyle w:val="31"/>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949"/>
              <w:gridCol w:w="2629"/>
              <w:gridCol w:w="2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840" w:type="pct"/>
                  <w:gridSpan w:val="2"/>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开采量</w:t>
                  </w:r>
                </w:p>
              </w:tc>
              <w:tc>
                <w:tcPr>
                  <w:tcW w:w="3159" w:type="pct"/>
                  <w:gridSpan w:val="2"/>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产出</w:t>
                  </w:r>
                  <w:r>
                    <w:rPr>
                      <w:rFonts w:hint="eastAsia" w:ascii="Times New Roman" w:hAnsi="Times New Roman" w:cs="Times New Roman"/>
                      <w:color w:val="auto"/>
                      <w:lang w:val="en-US" w:eastAsia="zh-CN"/>
                    </w:rPr>
                    <w:t>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97" w:type="pct"/>
                  <w:noWrap w:val="0"/>
                  <w:vAlign w:val="center"/>
                </w:tcPr>
                <w:p>
                  <w:pPr>
                    <w:pStyle w:val="2"/>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w:t>
                  </w:r>
                </w:p>
              </w:tc>
              <w:tc>
                <w:tcPr>
                  <w:tcW w:w="1242" w:type="pct"/>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用量</w:t>
                  </w:r>
                  <w:r>
                    <w:rPr>
                      <w:rFonts w:hint="eastAsia" w:cs="Times New Roman"/>
                      <w:color w:val="auto"/>
                      <w:lang w:val="en-US" w:eastAsia="zh-CN"/>
                    </w:rPr>
                    <w:t>（万m</w:t>
                  </w:r>
                  <w:r>
                    <w:rPr>
                      <w:rFonts w:hint="eastAsia" w:cs="Times New Roman"/>
                      <w:color w:val="auto"/>
                      <w:vertAlign w:val="superscript"/>
                      <w:lang w:val="en-US" w:eastAsia="zh-CN"/>
                    </w:rPr>
                    <w:t>3</w:t>
                  </w:r>
                  <w:r>
                    <w:rPr>
                      <w:rFonts w:hint="eastAsia" w:cs="Times New Roman"/>
                      <w:color w:val="auto"/>
                      <w:lang w:val="en-US" w:eastAsia="zh-CN"/>
                    </w:rPr>
                    <w:t>/a）</w:t>
                  </w:r>
                </w:p>
              </w:tc>
              <w:tc>
                <w:tcPr>
                  <w:tcW w:w="1677" w:type="pct"/>
                  <w:noWrap w:val="0"/>
                  <w:vAlign w:val="center"/>
                </w:tcPr>
                <w:p>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产品种类</w:t>
                  </w:r>
                </w:p>
              </w:tc>
              <w:tc>
                <w:tcPr>
                  <w:tcW w:w="1482" w:type="pct"/>
                  <w:noWrap w:val="0"/>
                  <w:vAlign w:val="center"/>
                </w:tcPr>
                <w:p>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产量</w:t>
                  </w:r>
                  <w:r>
                    <w:rPr>
                      <w:rFonts w:hint="eastAsia" w:cs="Times New Roman"/>
                      <w:color w:val="auto"/>
                      <w:lang w:val="en-US" w:eastAsia="zh-CN"/>
                    </w:rPr>
                    <w:t>（万m</w:t>
                  </w:r>
                  <w:r>
                    <w:rPr>
                      <w:rFonts w:hint="eastAsia" w:cs="Times New Roman"/>
                      <w:color w:val="auto"/>
                      <w:vertAlign w:val="superscript"/>
                      <w:lang w:val="en-US" w:eastAsia="zh-CN"/>
                    </w:rPr>
                    <w:t>3</w:t>
                  </w:r>
                  <w:r>
                    <w:rPr>
                      <w:rFonts w:hint="eastAsia" w:cs="Times New Roman"/>
                      <w:color w:val="auto"/>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pct"/>
                  <w:noWrap w:val="0"/>
                  <w:vAlign w:val="center"/>
                </w:tcPr>
                <w:p>
                  <w:pPr>
                    <w:pStyle w:val="2"/>
                    <w:rPr>
                      <w:rFonts w:hint="eastAsia" w:ascii="Times New Roman" w:hAnsi="Times New Roman" w:eastAsia="宋体" w:cs="Times New Roman"/>
                      <w:color w:val="auto"/>
                      <w:lang w:val="en-US" w:eastAsia="zh-CN"/>
                    </w:rPr>
                  </w:pPr>
                  <w:r>
                    <w:rPr>
                      <w:rFonts w:hint="eastAsia" w:cs="Times New Roman"/>
                      <w:color w:val="auto"/>
                      <w:lang w:val="en-US" w:eastAsia="zh-CN"/>
                    </w:rPr>
                    <w:t>开采</w:t>
                  </w:r>
                  <w:r>
                    <w:rPr>
                      <w:rFonts w:hint="eastAsia" w:ascii="Times New Roman" w:hAnsi="Times New Roman" w:eastAsia="宋体" w:cs="Times New Roman"/>
                      <w:color w:val="auto"/>
                      <w:lang w:val="en-US" w:eastAsia="zh-CN"/>
                    </w:rPr>
                    <w:t>量</w:t>
                  </w:r>
                </w:p>
              </w:tc>
              <w:tc>
                <w:tcPr>
                  <w:tcW w:w="1242"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8.94</w:t>
                  </w:r>
                </w:p>
              </w:tc>
              <w:tc>
                <w:tcPr>
                  <w:tcW w:w="1677" w:type="pct"/>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荒料</w:t>
                  </w:r>
                </w:p>
              </w:tc>
              <w:tc>
                <w:tcPr>
                  <w:tcW w:w="1482"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pct"/>
                  <w:noWrap w:val="0"/>
                  <w:vAlign w:val="center"/>
                </w:tcPr>
                <w:p>
                  <w:pPr>
                    <w:pStyle w:val="2"/>
                    <w:rPr>
                      <w:rFonts w:hint="eastAsia" w:cs="Times New Roman"/>
                      <w:color w:val="auto"/>
                      <w:lang w:val="en-US" w:eastAsia="zh-CN"/>
                    </w:rPr>
                  </w:pPr>
                </w:p>
              </w:tc>
              <w:tc>
                <w:tcPr>
                  <w:tcW w:w="1242" w:type="pct"/>
                  <w:noWrap w:val="0"/>
                  <w:vAlign w:val="center"/>
                </w:tcPr>
                <w:p>
                  <w:pPr>
                    <w:pStyle w:val="2"/>
                    <w:rPr>
                      <w:rFonts w:hint="eastAsia" w:cs="Times New Roman"/>
                      <w:color w:val="auto"/>
                      <w:lang w:val="en-US" w:eastAsia="zh-CN"/>
                    </w:rPr>
                  </w:pPr>
                </w:p>
              </w:tc>
              <w:tc>
                <w:tcPr>
                  <w:tcW w:w="1677"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矿石（不合格的荒料）</w:t>
                  </w:r>
                </w:p>
              </w:tc>
              <w:tc>
                <w:tcPr>
                  <w:tcW w:w="1482" w:type="pct"/>
                  <w:noWrap w:val="0"/>
                  <w:vAlign w:val="center"/>
                </w:tcPr>
                <w:p>
                  <w:pPr>
                    <w:pStyle w:val="2"/>
                    <w:rPr>
                      <w:rFonts w:hint="default" w:cs="Times New Roman"/>
                      <w:color w:val="auto"/>
                      <w:lang w:val="en-US" w:eastAsia="zh-CN"/>
                    </w:rPr>
                  </w:pPr>
                  <w:r>
                    <w:rPr>
                      <w:rFonts w:hint="eastAsia" w:cs="Times New Roman"/>
                      <w:color w:val="auto"/>
                      <w:lang w:val="en-US" w:eastAsia="zh-CN"/>
                    </w:rPr>
                    <w:t>5.45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97" w:type="pct"/>
                  <w:noWrap w:val="0"/>
                  <w:vAlign w:val="center"/>
                </w:tcPr>
                <w:p>
                  <w:pPr>
                    <w:pStyle w:val="2"/>
                    <w:rPr>
                      <w:rFonts w:hint="eastAsia" w:ascii="Times New Roman" w:hAnsi="Times New Roman" w:eastAsia="宋体" w:cs="Times New Roman"/>
                      <w:color w:val="auto"/>
                      <w:lang w:val="en-US" w:eastAsia="zh-CN"/>
                    </w:rPr>
                  </w:pPr>
                </w:p>
              </w:tc>
              <w:tc>
                <w:tcPr>
                  <w:tcW w:w="1242" w:type="pct"/>
                  <w:noWrap w:val="0"/>
                  <w:vAlign w:val="center"/>
                </w:tcPr>
                <w:p>
                  <w:pPr>
                    <w:pStyle w:val="2"/>
                    <w:rPr>
                      <w:rFonts w:hint="default" w:cs="Times New Roman"/>
                      <w:color w:val="auto"/>
                      <w:lang w:val="en-US" w:eastAsia="zh-CN"/>
                    </w:rPr>
                  </w:pPr>
                </w:p>
              </w:tc>
              <w:tc>
                <w:tcPr>
                  <w:tcW w:w="1677" w:type="pct"/>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废石量</w:t>
                  </w:r>
                </w:p>
              </w:tc>
              <w:tc>
                <w:tcPr>
                  <w:tcW w:w="1482"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1.95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597" w:type="pct"/>
                  <w:noWrap w:val="0"/>
                  <w:vAlign w:val="center"/>
                </w:tcPr>
                <w:p>
                  <w:pPr>
                    <w:pStyle w:val="2"/>
                    <w:rPr>
                      <w:rFonts w:hint="default" w:ascii="Times New Roman" w:hAnsi="Times New Roman" w:eastAsia="宋体" w:cs="Times New Roman"/>
                      <w:color w:val="auto"/>
                      <w:lang w:val="en-US" w:eastAsia="zh-CN"/>
                    </w:rPr>
                  </w:pPr>
                </w:p>
              </w:tc>
              <w:tc>
                <w:tcPr>
                  <w:tcW w:w="1242" w:type="pct"/>
                  <w:noWrap w:val="0"/>
                  <w:vAlign w:val="center"/>
                </w:tcPr>
                <w:p>
                  <w:pPr>
                    <w:pStyle w:val="2"/>
                    <w:rPr>
                      <w:rFonts w:hint="default" w:ascii="Times New Roman" w:hAnsi="Times New Roman" w:eastAsia="宋体" w:cs="Times New Roman"/>
                      <w:color w:val="auto"/>
                      <w:lang w:val="en-US" w:eastAsia="zh-CN"/>
                    </w:rPr>
                  </w:pPr>
                </w:p>
              </w:tc>
              <w:tc>
                <w:tcPr>
                  <w:tcW w:w="1677" w:type="pct"/>
                  <w:noWrap w:val="0"/>
                  <w:vAlign w:val="center"/>
                </w:tcPr>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沉淀泥沙</w:t>
                  </w:r>
                </w:p>
              </w:tc>
              <w:tc>
                <w:tcPr>
                  <w:tcW w:w="1482" w:type="pct"/>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97" w:type="pct"/>
                  <w:noWrap w:val="0"/>
                  <w:vAlign w:val="center"/>
                </w:tcPr>
                <w:p>
                  <w:pPr>
                    <w:pStyle w:val="2"/>
                    <w:rPr>
                      <w:rFonts w:hint="default" w:ascii="Times New Roman" w:hAnsi="Times New Roman" w:eastAsia="宋体" w:cs="Times New Roman"/>
                      <w:color w:val="auto"/>
                      <w:lang w:val="en-US" w:eastAsia="zh-CN"/>
                    </w:rPr>
                  </w:pPr>
                </w:p>
              </w:tc>
              <w:tc>
                <w:tcPr>
                  <w:tcW w:w="1242" w:type="pct"/>
                  <w:noWrap w:val="0"/>
                  <w:vAlign w:val="center"/>
                </w:tcPr>
                <w:p>
                  <w:pPr>
                    <w:pStyle w:val="2"/>
                    <w:rPr>
                      <w:rFonts w:hint="default" w:ascii="Times New Roman" w:hAnsi="Times New Roman" w:eastAsia="宋体" w:cs="Times New Roman"/>
                      <w:color w:val="auto"/>
                      <w:lang w:val="en-US" w:eastAsia="zh-CN"/>
                    </w:rPr>
                  </w:pPr>
                </w:p>
              </w:tc>
              <w:tc>
                <w:tcPr>
                  <w:tcW w:w="1677"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粉尘</w:t>
                  </w:r>
                </w:p>
              </w:tc>
              <w:tc>
                <w:tcPr>
                  <w:tcW w:w="1482" w:type="pct"/>
                  <w:noWrap w:val="0"/>
                  <w:vAlign w:val="center"/>
                </w:tcPr>
                <w:p>
                  <w:pPr>
                    <w:pStyle w:val="2"/>
                    <w:rPr>
                      <w:rFonts w:hint="default" w:ascii="Times New Roman" w:hAnsi="Times New Roman" w:cs="Times New Roman"/>
                      <w:color w:val="auto"/>
                      <w:lang w:val="en-US" w:eastAsia="zh-CN"/>
                    </w:rPr>
                  </w:pPr>
                  <w:r>
                    <w:rPr>
                      <w:rFonts w:hint="eastAsia" w:cs="Times New Roman"/>
                      <w:color w:val="auto"/>
                      <w:lang w:val="en-US" w:eastAsia="zh-CN"/>
                    </w:rPr>
                    <w:t>10.004t/a（忽略不计）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97" w:type="pct"/>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242"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8.94</w:t>
                  </w:r>
                </w:p>
              </w:tc>
              <w:tc>
                <w:tcPr>
                  <w:tcW w:w="1677" w:type="pct"/>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482" w:type="pct"/>
                  <w:noWrap w:val="0"/>
                  <w:vAlign w:val="center"/>
                </w:tcPr>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8.94</w:t>
                  </w:r>
                </w:p>
              </w:tc>
            </w:tr>
          </w:tbl>
          <w:p>
            <w:pPr>
              <w:pStyle w:val="2"/>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23" w:type="dxa"/>
            <w:vAlign w:val="center"/>
          </w:tcPr>
          <w:p>
            <w:pPr>
              <w:ind w:firstLine="480"/>
              <w:rPr>
                <w:rFonts w:ascii="宋体" w:hAnsi="宋体" w:cs="宋体"/>
                <w:color w:val="auto"/>
                <w:kern w:val="0"/>
              </w:rPr>
            </w:pPr>
          </w:p>
          <w:p>
            <w:pPr>
              <w:ind w:firstLine="0" w:firstLineChars="0"/>
              <w:jc w:val="center"/>
              <w:rPr>
                <w:rFonts w:ascii="宋体" w:hAnsi="宋体" w:cs="宋体"/>
                <w:color w:val="auto"/>
                <w:kern w:val="0"/>
              </w:rPr>
            </w:pPr>
            <w:r>
              <w:rPr>
                <w:rFonts w:hint="eastAsia" w:ascii="宋体" w:hAnsi="宋体" w:cs="宋体"/>
                <w:color w:val="auto"/>
                <w:kern w:val="0"/>
              </w:rPr>
              <w:t>其他</w:t>
            </w:r>
          </w:p>
        </w:tc>
        <w:tc>
          <w:tcPr>
            <w:tcW w:w="8099" w:type="dxa"/>
          </w:tcPr>
          <w:p>
            <w:pPr>
              <w:bidi w:val="0"/>
              <w:ind w:left="0" w:leftChars="0" w:firstLine="0" w:firstLineChars="0"/>
              <w:rPr>
                <w:rFonts w:hint="eastAsia"/>
                <w:color w:val="auto"/>
                <w:lang w:val="en-US" w:eastAsia="zh-CN"/>
              </w:rPr>
            </w:pPr>
            <w:r>
              <w:rPr>
                <w:rFonts w:hint="eastAsia"/>
                <w:color w:val="auto"/>
                <w:lang w:val="en-US" w:eastAsia="zh-CN"/>
              </w:rPr>
              <w:t xml:space="preserve">  无</w:t>
            </w:r>
          </w:p>
          <w:p>
            <w:pPr>
              <w:pStyle w:val="42"/>
              <w:rPr>
                <w:rFonts w:hint="eastAsia"/>
                <w:color w:val="auto"/>
                <w:lang w:val="en-US" w:eastAsia="zh-CN"/>
              </w:rPr>
            </w:pPr>
          </w:p>
          <w:p>
            <w:pPr>
              <w:rPr>
                <w:rFonts w:hint="eastAsia"/>
                <w:color w:val="auto"/>
                <w:lang w:val="en-US" w:eastAsia="zh-CN"/>
              </w:rPr>
            </w:pPr>
          </w:p>
          <w:p>
            <w:pPr>
              <w:pStyle w:val="42"/>
              <w:rPr>
                <w:rFonts w:hint="eastAsia"/>
                <w:color w:val="auto"/>
                <w:lang w:val="en-US" w:eastAsia="zh-CN"/>
              </w:rPr>
            </w:pPr>
          </w:p>
          <w:p>
            <w:pPr>
              <w:rPr>
                <w:rFonts w:hint="eastAsia"/>
                <w:color w:val="auto"/>
                <w:lang w:val="en-US" w:eastAsia="zh-CN"/>
              </w:rPr>
            </w:pPr>
          </w:p>
          <w:p>
            <w:pPr>
              <w:pStyle w:val="42"/>
              <w:rPr>
                <w:rFonts w:hint="eastAsia"/>
                <w:color w:val="auto"/>
                <w:lang w:val="en-US" w:eastAsia="zh-CN"/>
              </w:rPr>
            </w:pPr>
          </w:p>
          <w:p>
            <w:pPr>
              <w:rPr>
                <w:rFonts w:hint="eastAsia"/>
                <w:color w:val="auto"/>
                <w:lang w:val="en-US" w:eastAsia="zh-CN"/>
              </w:rPr>
            </w:pPr>
          </w:p>
          <w:p>
            <w:pPr>
              <w:pStyle w:val="42"/>
              <w:rPr>
                <w:rFonts w:hint="eastAsia"/>
                <w:color w:val="auto"/>
                <w:lang w:val="en-US" w:eastAsia="zh-CN"/>
              </w:rPr>
            </w:pPr>
          </w:p>
          <w:p>
            <w:pPr>
              <w:rPr>
                <w:rFonts w:hint="eastAsia"/>
                <w:color w:val="auto"/>
                <w:lang w:val="en-US" w:eastAsia="zh-CN"/>
              </w:rPr>
            </w:pPr>
          </w:p>
          <w:p>
            <w:pPr>
              <w:pStyle w:val="42"/>
              <w:rPr>
                <w:rFonts w:hint="eastAsia"/>
                <w:color w:val="auto"/>
                <w:lang w:val="en-US" w:eastAsia="zh-CN"/>
              </w:rPr>
            </w:pPr>
          </w:p>
          <w:p>
            <w:pPr>
              <w:rPr>
                <w:rFonts w:hint="eastAsia"/>
                <w:color w:val="auto"/>
                <w:lang w:val="en-US" w:eastAsia="zh-CN"/>
              </w:rPr>
            </w:pPr>
          </w:p>
          <w:p>
            <w:pPr>
              <w:pStyle w:val="42"/>
              <w:rPr>
                <w:rFonts w:hint="eastAsia"/>
                <w:color w:val="auto"/>
                <w:lang w:val="en-US" w:eastAsia="zh-CN"/>
              </w:rPr>
            </w:pPr>
          </w:p>
          <w:p>
            <w:pPr>
              <w:rPr>
                <w:rFonts w:hint="eastAsia"/>
                <w:color w:val="auto"/>
                <w:lang w:val="en-US" w:eastAsia="zh-CN"/>
              </w:rPr>
            </w:pPr>
          </w:p>
          <w:p>
            <w:pPr>
              <w:pStyle w:val="42"/>
              <w:rPr>
                <w:rFonts w:hint="eastAsia"/>
                <w:color w:val="auto"/>
                <w:lang w:val="en-US" w:eastAsia="zh-CN"/>
              </w:rPr>
            </w:pPr>
          </w:p>
          <w:p>
            <w:pPr>
              <w:pStyle w:val="42"/>
              <w:ind w:left="0" w:leftChars="0" w:firstLine="0" w:firstLineChars="0"/>
              <w:rPr>
                <w:rFonts w:hint="default"/>
                <w:color w:val="auto"/>
                <w:lang w:val="en-US" w:eastAsia="zh-CN"/>
              </w:rPr>
            </w:pPr>
          </w:p>
          <w:p>
            <w:pPr>
              <w:rPr>
                <w:rFonts w:hint="default"/>
                <w:color w:val="auto"/>
                <w:lang w:val="en-US" w:eastAsia="zh-CN"/>
              </w:rPr>
            </w:pPr>
          </w:p>
          <w:p>
            <w:pPr>
              <w:pStyle w:val="38"/>
              <w:jc w:val="both"/>
              <w:rPr>
                <w:rFonts w:hint="default"/>
                <w:color w:val="auto"/>
                <w:lang w:val="en-US" w:eastAsia="zh-CN"/>
              </w:rPr>
            </w:pPr>
          </w:p>
          <w:p>
            <w:pPr>
              <w:rPr>
                <w:rFonts w:hint="default"/>
                <w:color w:val="auto"/>
                <w:lang w:val="en-US" w:eastAsia="zh-CN"/>
              </w:rPr>
            </w:pPr>
          </w:p>
        </w:tc>
      </w:tr>
    </w:tbl>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2"/>
        <w:jc w:val="center"/>
        <w:textAlignment w:val="auto"/>
        <w:outlineLvl w:val="0"/>
        <w:rPr>
          <w:rFonts w:ascii="黑体" w:hAnsi="黑体" w:eastAsia="黑体"/>
          <w:snapToGrid w:val="0"/>
          <w:color w:val="auto"/>
          <w:sz w:val="30"/>
          <w:szCs w:val="30"/>
        </w:rPr>
      </w:pPr>
      <w:r>
        <w:rPr>
          <w:rFonts w:eastAsia="仿宋_GB2312"/>
          <w:b/>
          <w:bCs/>
          <w:color w:val="auto"/>
        </w:rPr>
        <w:br w:type="page"/>
      </w:r>
      <w:r>
        <w:rPr>
          <w:rFonts w:hint="eastAsia" w:ascii="黑体" w:hAnsi="黑体" w:eastAsia="黑体"/>
          <w:snapToGrid w:val="0"/>
          <w:color w:val="auto"/>
          <w:sz w:val="30"/>
          <w:szCs w:val="30"/>
        </w:rPr>
        <w:t>三、生态环境现状、保护目标及评价标准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vAlign w:val="center"/>
          </w:tcPr>
          <w:p>
            <w:pPr>
              <w:ind w:firstLine="0" w:firstLineChars="0"/>
              <w:rPr>
                <w:rFonts w:ascii="宋体" w:hAnsi="宋体" w:cs="宋体"/>
                <w:color w:val="auto"/>
                <w:kern w:val="0"/>
              </w:rPr>
            </w:pPr>
            <w:r>
              <w:rPr>
                <w:rFonts w:hint="eastAsia" w:ascii="宋体" w:hAnsi="宋体" w:cs="宋体"/>
                <w:color w:val="auto"/>
                <w:kern w:val="0"/>
              </w:rPr>
              <w:t>生态环境现状</w:t>
            </w:r>
          </w:p>
        </w:tc>
        <w:tc>
          <w:tcPr>
            <w:tcW w:w="8080" w:type="dxa"/>
            <w:vAlign w:val="center"/>
          </w:tcPr>
          <w:p>
            <w:pPr>
              <w:pStyle w:val="5"/>
              <w:bidi w:val="0"/>
              <w:rPr>
                <w:color w:val="auto"/>
              </w:rPr>
            </w:pPr>
            <w:bookmarkStart w:id="4" w:name="_Toc19765120"/>
            <w:r>
              <w:rPr>
                <w:rFonts w:hint="eastAsia"/>
                <w:color w:val="auto"/>
                <w:lang w:val="en-US" w:eastAsia="zh-CN"/>
              </w:rPr>
              <w:t>1</w:t>
            </w:r>
            <w:r>
              <w:rPr>
                <w:rFonts w:hint="eastAsia"/>
                <w:color w:val="auto"/>
              </w:rPr>
              <w:t>、生态环境质量现状</w:t>
            </w:r>
          </w:p>
          <w:p>
            <w:pPr>
              <w:pStyle w:val="5"/>
              <w:bidi w:val="0"/>
              <w:rPr>
                <w:rFonts w:hint="eastAsia"/>
                <w:color w:val="auto"/>
                <w:lang w:eastAsia="zh-CN"/>
              </w:rPr>
            </w:pPr>
            <w:r>
              <w:rPr>
                <w:rFonts w:hint="eastAsia"/>
                <w:color w:val="auto"/>
                <w:lang w:val="en-US" w:eastAsia="zh-CN"/>
              </w:rPr>
              <w:t>1</w:t>
            </w:r>
            <w:r>
              <w:rPr>
                <w:rFonts w:hint="eastAsia"/>
                <w:color w:val="auto"/>
              </w:rPr>
              <w:t>.1</w:t>
            </w:r>
            <w:r>
              <w:rPr>
                <w:rFonts w:hint="eastAsia"/>
                <w:color w:val="auto"/>
                <w:lang w:eastAsia="zh-CN"/>
              </w:rPr>
              <w:t>新疆主体功能区</w:t>
            </w:r>
          </w:p>
          <w:p>
            <w:pPr>
              <w:bidi w:val="0"/>
              <w:rPr>
                <w:rFonts w:hint="eastAsia"/>
                <w:color w:val="auto"/>
                <w:lang w:eastAsia="zh-CN"/>
              </w:rPr>
            </w:pPr>
            <w:r>
              <w:rPr>
                <w:rFonts w:hint="eastAsia"/>
                <w:color w:val="auto"/>
              </w:rPr>
              <w:t>根据项目区位置判断本项目属于</w:t>
            </w:r>
            <w:r>
              <w:rPr>
                <w:rFonts w:hint="eastAsia"/>
                <w:color w:val="auto"/>
                <w:lang w:eastAsia="zh-CN"/>
              </w:rPr>
              <w:t>《新疆维吾尔自治区主体功能区规划》中自治区级重点生态功能区－－天山南坡中段山地草原生态功能区，综合评价：</w:t>
            </w:r>
            <w:r>
              <w:rPr>
                <w:rFonts w:hint="eastAsia"/>
                <w:color w:val="auto"/>
                <w:lang w:val="en-US" w:eastAsia="zh-CN"/>
              </w:rPr>
              <w:t>冰川发育，众多河流发源地，拥有全国最大的淡水内陆湖，分布有大面积的芦苇湿地，巴州重要的供水水源地。目前水土流失、土壤侵蚀严重、森林遭到破坏，草原退化，湖水水质污染、湿地萎缩。发展方向：禁止非保护性采伐，合理更新林地。保护天然草原，以草定畜，增加饲草料供给，实施牧民定居。</w:t>
            </w:r>
            <w:r>
              <w:rPr>
                <w:rFonts w:hint="eastAsia"/>
                <w:color w:val="auto"/>
                <w:lang w:eastAsia="zh-CN"/>
              </w:rPr>
              <w:t>本项目为采矿项目，不属于高强度工业化项目。</w:t>
            </w:r>
          </w:p>
          <w:p>
            <w:pPr>
              <w:bidi w:val="0"/>
              <w:rPr>
                <w:color w:val="auto"/>
              </w:rPr>
            </w:pPr>
            <w:r>
              <w:rPr>
                <w:rFonts w:hint="default"/>
                <w:color w:val="auto"/>
                <w:lang w:val="en-US" w:eastAsia="zh-CN"/>
              </w:rPr>
              <w:t>——</w:t>
            </w:r>
            <w:r>
              <w:rPr>
                <w:color w:val="auto"/>
                <w:lang w:val="en-US" w:eastAsia="zh-CN"/>
              </w:rPr>
              <w:t>对各类开发活动严格控制，尽可能减少对生态系</w:t>
            </w:r>
            <w:r>
              <w:rPr>
                <w:rFonts w:hint="eastAsia"/>
                <w:color w:val="auto"/>
                <w:lang w:val="en-US" w:eastAsia="zh-CN"/>
              </w:rPr>
              <w:t xml:space="preserve">统的干扰，不得损害生态系统的稳定和完整性。 </w:t>
            </w:r>
          </w:p>
          <w:p>
            <w:pPr>
              <w:bidi w:val="0"/>
              <w:rPr>
                <w:color w:val="auto"/>
              </w:rPr>
            </w:pPr>
            <w:r>
              <w:rPr>
                <w:rFonts w:hint="default"/>
                <w:color w:val="auto"/>
                <w:lang w:val="en-US" w:eastAsia="zh-CN"/>
              </w:rPr>
              <w:t>——</w:t>
            </w:r>
            <w:r>
              <w:rPr>
                <w:rFonts w:hint="eastAsia"/>
                <w:color w:val="auto"/>
                <w:lang w:val="en-US" w:eastAsia="zh-CN"/>
              </w:rPr>
              <w:t>在重点生态功能区的范围内进一步划定生态红</w:t>
            </w:r>
            <w:r>
              <w:rPr>
                <w:color w:val="auto"/>
                <w:lang w:val="en-US" w:eastAsia="zh-CN"/>
              </w:rPr>
              <w:t>线，生态红线区是产业发展的禁止区，是一切项目开发不</w:t>
            </w:r>
            <w:r>
              <w:rPr>
                <w:rFonts w:hint="eastAsia"/>
                <w:color w:val="auto"/>
                <w:lang w:val="en-US" w:eastAsia="zh-CN"/>
              </w:rPr>
              <w:t xml:space="preserve">能越过的底线。 </w:t>
            </w:r>
          </w:p>
          <w:p>
            <w:pPr>
              <w:bidi w:val="0"/>
              <w:rPr>
                <w:color w:val="auto"/>
              </w:rPr>
            </w:pPr>
            <w:r>
              <w:rPr>
                <w:rFonts w:hint="default"/>
                <w:color w:val="auto"/>
                <w:lang w:val="en-US" w:eastAsia="zh-CN"/>
              </w:rPr>
              <w:t>——</w:t>
            </w:r>
            <w:r>
              <w:rPr>
                <w:rFonts w:hint="eastAsia"/>
                <w:color w:val="auto"/>
                <w:lang w:val="en-US" w:eastAsia="zh-CN"/>
              </w:rPr>
              <w:t>开发矿产资源、发展适宜产业和建设基础设施，都要控制在尽可能小的空间范围之内。做到天然草地、林地、水库水域、河流水面、湖泊水面等绿色生态空间面积不减少，控制新增道路、铁路建设规模，必须新建的，应事先规划好野生动物迁徙通道。在有条件的重点生态功能区之间，要通过水系、绿带等构建生态廊道，避免成为</w:t>
            </w:r>
            <w:r>
              <w:rPr>
                <w:rFonts w:hint="default"/>
                <w:color w:val="auto"/>
                <w:lang w:val="en-US" w:eastAsia="zh-CN"/>
              </w:rPr>
              <w:t>“</w:t>
            </w:r>
            <w:r>
              <w:rPr>
                <w:rFonts w:hint="eastAsia"/>
                <w:color w:val="auto"/>
                <w:lang w:val="en-US" w:eastAsia="zh-CN"/>
              </w:rPr>
              <w:t>生态孤岛</w:t>
            </w:r>
            <w:r>
              <w:rPr>
                <w:rFonts w:hint="default"/>
                <w:color w:val="auto"/>
                <w:lang w:val="en-US" w:eastAsia="zh-CN"/>
              </w:rPr>
              <w:t xml:space="preserve">” </w:t>
            </w:r>
            <w:r>
              <w:rPr>
                <w:rFonts w:hint="eastAsia"/>
                <w:color w:val="auto"/>
                <w:lang w:val="en-US" w:eastAsia="zh-CN"/>
              </w:rPr>
              <w:t xml:space="preserve">。 </w:t>
            </w:r>
          </w:p>
          <w:p>
            <w:pPr>
              <w:bidi w:val="0"/>
              <w:rPr>
                <w:color w:val="auto"/>
              </w:rPr>
            </w:pPr>
            <w:r>
              <w:rPr>
                <w:rFonts w:hint="default"/>
                <w:color w:val="auto"/>
                <w:lang w:val="en-US" w:eastAsia="zh-CN"/>
              </w:rPr>
              <w:t>——</w:t>
            </w:r>
            <w:r>
              <w:rPr>
                <w:rFonts w:hint="eastAsia"/>
                <w:color w:val="auto"/>
                <w:lang w:val="en-US" w:eastAsia="zh-CN"/>
              </w:rPr>
              <w:t>严格控制国土开发强度，逐步减少农村居民点占用的空间，使更多的空间用于保障生态系统的良性循环。城镇建设与工业开发要依托现有资源环境承载能力相对较强的特定区域集中布局、据点式开发，禁止成片蔓延式扩张。原则上不再新建各类开发区和扩大现有工业开发区的面积，已有的工业园区要发展成为低消耗、可循环、少排</w:t>
            </w:r>
            <w:r>
              <w:rPr>
                <w:color w:val="auto"/>
                <w:lang w:val="en-US" w:eastAsia="zh-CN"/>
              </w:rPr>
              <w:t>放、</w:t>
            </w:r>
            <w:r>
              <w:rPr>
                <w:rFonts w:hint="default"/>
                <w:color w:val="auto"/>
                <w:lang w:val="en-US" w:eastAsia="zh-CN"/>
              </w:rPr>
              <w:t>“</w:t>
            </w:r>
            <w:r>
              <w:rPr>
                <w:rFonts w:hint="eastAsia"/>
                <w:color w:val="auto"/>
                <w:lang w:val="en-US" w:eastAsia="zh-CN"/>
              </w:rPr>
              <w:t>零污染</w:t>
            </w:r>
            <w:r>
              <w:rPr>
                <w:rFonts w:hint="default"/>
                <w:color w:val="auto"/>
                <w:lang w:val="en-US" w:eastAsia="zh-CN"/>
              </w:rPr>
              <w:t>”</w:t>
            </w:r>
            <w:r>
              <w:rPr>
                <w:rFonts w:hint="eastAsia"/>
                <w:color w:val="auto"/>
                <w:lang w:val="en-US" w:eastAsia="zh-CN"/>
              </w:rPr>
              <w:t xml:space="preserve">的生态型工业园区。   </w:t>
            </w:r>
          </w:p>
          <w:p>
            <w:pPr>
              <w:bidi w:val="0"/>
              <w:rPr>
                <w:color w:val="auto"/>
              </w:rPr>
            </w:pPr>
            <w:r>
              <w:rPr>
                <w:rFonts w:hint="default"/>
                <w:color w:val="auto"/>
                <w:lang w:val="en-US" w:eastAsia="zh-CN"/>
              </w:rPr>
              <w:t>——</w:t>
            </w:r>
            <w:r>
              <w:rPr>
                <w:rFonts w:hint="eastAsia"/>
                <w:color w:val="auto"/>
                <w:lang w:val="en-US" w:eastAsia="zh-CN"/>
              </w:rPr>
              <w:t xml:space="preserve">根据资源环境承载能力合理布局能源基地和矿产基地，尽可能减少对农业空间、生态空间的占用并同步修复生态环境。 </w:t>
            </w:r>
          </w:p>
          <w:p>
            <w:pPr>
              <w:bidi w:val="0"/>
              <w:rPr>
                <w:color w:val="auto"/>
              </w:rPr>
            </w:pPr>
            <w:r>
              <w:rPr>
                <w:rFonts w:hint="default"/>
                <w:color w:val="auto"/>
                <w:lang w:val="en-US" w:eastAsia="zh-CN"/>
              </w:rPr>
              <w:t>——</w:t>
            </w:r>
            <w:r>
              <w:rPr>
                <w:rFonts w:hint="eastAsia"/>
                <w:color w:val="auto"/>
                <w:lang w:val="en-US" w:eastAsia="zh-CN"/>
              </w:rPr>
              <w:t>节约高效利用水资源，保护水环境，提高水质量。根据水资源的承载能力，合理确定城市经济结构和产业布局。加强流域水资源的管理，合理安排生态、生活和生产用水；应用工程节水技术，推广滴灌等节水灌溉模式，降低农业用水定额；在缺水地区严禁建设高耗水、重污染的工业项目，加强企业节水技术改造，实现冷却水循环利用，</w:t>
            </w:r>
            <w:r>
              <w:rPr>
                <w:color w:val="auto"/>
                <w:lang w:val="en-US" w:eastAsia="zh-CN"/>
              </w:rPr>
              <w:t xml:space="preserve">并按照环境保护标准达标排放。 </w:t>
            </w:r>
          </w:p>
          <w:p>
            <w:pPr>
              <w:pStyle w:val="5"/>
              <w:bidi w:val="0"/>
              <w:rPr>
                <w:color w:val="auto"/>
              </w:rPr>
            </w:pPr>
            <w:r>
              <w:rPr>
                <w:rFonts w:hint="eastAsia"/>
                <w:color w:val="auto"/>
                <w:lang w:val="en-US" w:eastAsia="zh-CN"/>
              </w:rPr>
              <w:t>1.2</w:t>
            </w:r>
            <w:r>
              <w:rPr>
                <w:rFonts w:hint="eastAsia"/>
                <w:color w:val="auto"/>
              </w:rPr>
              <w:t>生态功能区划</w:t>
            </w:r>
          </w:p>
          <w:p>
            <w:pPr>
              <w:bidi w:val="0"/>
              <w:rPr>
                <w:color w:val="auto"/>
              </w:rPr>
            </w:pPr>
            <w:r>
              <w:rPr>
                <w:rFonts w:hint="eastAsia"/>
                <w:color w:val="auto"/>
              </w:rPr>
              <w:t>根据《新疆维吾尔自治区生态功能区划》，评价区属于</w:t>
            </w:r>
            <w:r>
              <w:rPr>
                <w:rFonts w:hint="eastAsia"/>
                <w:color w:val="auto"/>
                <w:lang w:eastAsia="zh-CN"/>
              </w:rPr>
              <w:t>“</w:t>
            </w:r>
            <w:r>
              <w:rPr>
                <w:rFonts w:hint="eastAsia"/>
                <w:color w:val="auto"/>
              </w:rPr>
              <w:t>Ⅲ天山山地温性草原、森林生态区，Ⅲ</w:t>
            </w:r>
            <w:r>
              <w:rPr>
                <w:rFonts w:hint="eastAsia"/>
                <w:color w:val="auto"/>
                <w:vertAlign w:val="subscript"/>
              </w:rPr>
              <w:t>3</w:t>
            </w:r>
            <w:r>
              <w:rPr>
                <w:rFonts w:hint="eastAsia"/>
                <w:color w:val="auto"/>
              </w:rPr>
              <w:t>天山南坡草原牧业、绿洲农业生态亚区</w:t>
            </w:r>
            <w:r>
              <w:rPr>
                <w:rFonts w:hint="eastAsia"/>
                <w:color w:val="auto"/>
                <w:lang w:val="en-US" w:eastAsia="zh-CN"/>
              </w:rPr>
              <w:t>42</w:t>
            </w:r>
            <w:r>
              <w:rPr>
                <w:rFonts w:hint="eastAsia"/>
                <w:color w:val="auto"/>
              </w:rPr>
              <w:t>．托木尔峰和天山南坡中段冰雪水源及生物多样性保护生态功能区</w:t>
            </w:r>
            <w:r>
              <w:rPr>
                <w:rFonts w:hint="eastAsia"/>
                <w:color w:val="auto"/>
                <w:lang w:eastAsia="zh-CN"/>
              </w:rPr>
              <w:t>”</w:t>
            </w:r>
            <w:r>
              <w:rPr>
                <w:color w:val="auto"/>
              </w:rPr>
              <w:t>该功能区主要的特征，见表</w:t>
            </w:r>
            <w:r>
              <w:rPr>
                <w:rFonts w:hint="eastAsia"/>
                <w:color w:val="auto"/>
                <w:lang w:val="en-US" w:eastAsia="zh-CN"/>
              </w:rPr>
              <w:t>3-1</w:t>
            </w:r>
            <w:r>
              <w:rPr>
                <w:color w:val="auto"/>
              </w:rPr>
              <w:t>。</w:t>
            </w:r>
          </w:p>
          <w:p>
            <w:pPr>
              <w:pStyle w:val="44"/>
              <w:spacing w:after="0" w:line="240" w:lineRule="auto"/>
              <w:ind w:firstLine="398" w:firstLineChars="200"/>
              <w:jc w:val="both"/>
              <w:rPr>
                <w:rFonts w:hint="eastAsia" w:ascii="Times New Roman" w:hAnsi="Times New Roman" w:eastAsia="宋体" w:cs="Times New Roman"/>
                <w:b/>
                <w:bCs/>
                <w:color w:val="auto"/>
                <w:spacing w:val="-6"/>
                <w:sz w:val="21"/>
              </w:rPr>
            </w:pPr>
            <w:r>
              <w:rPr>
                <w:rFonts w:hint="eastAsia" w:ascii="Times New Roman" w:hAnsi="Times New Roman" w:eastAsia="宋体" w:cs="Times New Roman"/>
                <w:b/>
                <w:bCs/>
                <w:color w:val="auto"/>
                <w:spacing w:val="-6"/>
                <w:sz w:val="21"/>
              </w:rPr>
              <w:t>表</w:t>
            </w:r>
            <w:r>
              <w:rPr>
                <w:rFonts w:hint="eastAsia" w:cs="Times New Roman"/>
                <w:b/>
                <w:bCs/>
                <w:color w:val="auto"/>
                <w:spacing w:val="-6"/>
                <w:sz w:val="21"/>
                <w:lang w:val="en-US" w:eastAsia="zh-CN"/>
              </w:rPr>
              <w:t xml:space="preserve">3-1                         </w:t>
            </w:r>
            <w:r>
              <w:rPr>
                <w:rFonts w:hint="eastAsia" w:ascii="Times New Roman" w:hAnsi="Times New Roman" w:eastAsia="宋体" w:cs="Times New Roman"/>
                <w:b/>
                <w:bCs/>
                <w:color w:val="auto"/>
                <w:spacing w:val="-6"/>
                <w:sz w:val="21"/>
              </w:rPr>
              <w:t>生态功能区主要特征</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2"/>
              <w:gridCol w:w="5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tcBorders>
                    <w:tl2br w:val="single" w:color="auto" w:sz="4" w:space="0"/>
                  </w:tcBorders>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名称</w:t>
                  </w:r>
                </w:p>
                <w:p>
                  <w:pPr>
                    <w:pStyle w:val="2"/>
                    <w:bidi w:val="0"/>
                    <w:jc w:val="center"/>
                    <w:rPr>
                      <w:rFonts w:hint="eastAsia" w:cs="Times New Roman"/>
                      <w:color w:val="auto"/>
                      <w:lang w:val="en-US" w:eastAsia="zh-CN"/>
                    </w:rPr>
                  </w:pPr>
                  <w:r>
                    <w:rPr>
                      <w:rFonts w:hint="eastAsia" w:cs="Times New Roman"/>
                      <w:color w:val="auto"/>
                      <w:lang w:val="en-US" w:eastAsia="zh-CN"/>
                    </w:rPr>
                    <w:t>内容</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托木尔峰和天山南坡中段冰雪水源及生物多样性保护生态功能区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主要生态服务功能</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水源补给、生物多样性维护、土壤保持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主要生态环境问题</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水土流失、野生动物减少、土壤侵蚀、森林破坏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主要生态敏感因子、敏感程度</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生物多样性及其生境极度敏感，土壤侵蚀轻度敏感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主要保护目标</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保护托木尔峰自然景观、保护高山冰川、保护野生动物、保护森林和草原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主要保护措施</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草地减牧、森林禁伐、禁猎、加强保护区管理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3"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适宜发展方向</w:t>
                  </w:r>
                </w:p>
              </w:tc>
              <w:tc>
                <w:tcPr>
                  <w:tcW w:w="3446" w:type="pct"/>
                  <w:noWrap/>
                  <w:vAlign w:val="center"/>
                </w:tcPr>
                <w:p>
                  <w:pPr>
                    <w:pStyle w:val="2"/>
                    <w:bidi w:val="0"/>
                    <w:jc w:val="center"/>
                    <w:rPr>
                      <w:rFonts w:hint="eastAsia" w:cs="Times New Roman"/>
                      <w:color w:val="auto"/>
                      <w:lang w:val="en-US" w:eastAsia="zh-CN"/>
                    </w:rPr>
                  </w:pPr>
                  <w:r>
                    <w:rPr>
                      <w:rFonts w:hint="eastAsia" w:cs="Times New Roman"/>
                      <w:color w:val="auto"/>
                      <w:lang w:val="en-US" w:eastAsia="zh-CN"/>
                    </w:rPr>
                    <w:t>合理利用天然草地，维护自然景观和生物多样性</w:t>
                  </w:r>
                </w:p>
              </w:tc>
            </w:tr>
          </w:tbl>
          <w:p>
            <w:pPr>
              <w:bidi w:val="0"/>
              <w:rPr>
                <w:rFonts w:hint="eastAsia"/>
                <w:color w:val="auto"/>
                <w:lang w:val="en-US" w:eastAsia="zh-CN"/>
              </w:rPr>
            </w:pPr>
            <w:r>
              <w:rPr>
                <w:rFonts w:hint="eastAsia"/>
                <w:color w:val="auto"/>
                <w:lang w:val="en-US" w:eastAsia="zh-CN"/>
              </w:rPr>
              <w:t>本工程所在的托木尔峰和天山南坡中段冰雪水源及生物多样性保护生态功能区的主要生态环境问题是水土流失、野生动物减少、土壤侵蚀、森林破坏。</w:t>
            </w:r>
          </w:p>
          <w:p>
            <w:pPr>
              <w:pStyle w:val="5"/>
              <w:bidi w:val="0"/>
              <w:rPr>
                <w:color w:val="auto"/>
              </w:rPr>
            </w:pPr>
            <w:r>
              <w:rPr>
                <w:rFonts w:hint="eastAsia"/>
                <w:color w:val="auto"/>
                <w:lang w:val="en-US" w:eastAsia="zh-CN"/>
              </w:rPr>
              <w:t>1.3</w:t>
            </w:r>
            <w:r>
              <w:rPr>
                <w:rFonts w:hint="eastAsia"/>
                <w:color w:val="auto"/>
              </w:rPr>
              <w:t>生态环境影响评价等级</w:t>
            </w:r>
          </w:p>
          <w:p>
            <w:pPr>
              <w:ind w:firstLine="480"/>
              <w:rPr>
                <w:rFonts w:hint="default" w:eastAsiaTheme="minorEastAsia"/>
                <w:color w:val="auto"/>
                <w:highlight w:val="none"/>
                <w:lang w:val="en-US" w:eastAsia="zh-CN"/>
              </w:rPr>
            </w:pPr>
            <w:r>
              <w:rPr>
                <w:rFonts w:hint="eastAsia"/>
                <w:color w:val="auto"/>
                <w:lang w:eastAsia="zh-CN"/>
              </w:rPr>
              <w:t>总</w:t>
            </w:r>
            <w:r>
              <w:rPr>
                <w:rFonts w:hint="eastAsia"/>
                <w:color w:val="auto"/>
                <w:lang w:val="en-US" w:eastAsia="zh-CN"/>
              </w:rPr>
              <w:t>矿区划定范围138.41公顷，</w:t>
            </w:r>
            <w:r>
              <w:rPr>
                <w:rFonts w:hint="eastAsia"/>
                <w:color w:val="auto"/>
                <w:lang w:eastAsia="zh-CN"/>
              </w:rPr>
              <w:t>占地面积</w:t>
            </w:r>
            <w:r>
              <w:rPr>
                <w:color w:val="auto"/>
              </w:rPr>
              <w:t>24.67</w:t>
            </w:r>
            <w:r>
              <w:rPr>
                <w:rFonts w:hint="eastAsia"/>
                <w:color w:val="auto"/>
                <w:lang w:val="en-US" w:eastAsia="zh-CN"/>
              </w:rPr>
              <w:t>公顷。</w:t>
            </w:r>
            <w:r>
              <w:rPr>
                <w:rFonts w:hint="eastAsia"/>
                <w:color w:val="auto"/>
                <w:highlight w:val="none"/>
                <w:lang w:val="en-US" w:eastAsia="zh-CN"/>
              </w:rPr>
              <w:t>依据《环境影响评价技术导则 生态影响》（HJ19-2022）中相关要求：依据建设项目影响区域的生态敏感性和影响程度，评价等级划分为一级、二级和三级，按照以下原则确定评价等级：</w:t>
            </w:r>
          </w:p>
          <w:p>
            <w:pPr>
              <w:numPr>
                <w:ilvl w:val="0"/>
                <w:numId w:val="3"/>
              </w:numPr>
              <w:ind w:firstLine="480"/>
              <w:rPr>
                <w:rFonts w:hint="eastAsia" w:eastAsiaTheme="minorEastAsia"/>
                <w:color w:val="auto"/>
                <w:highlight w:val="none"/>
                <w:lang w:eastAsia="zh-CN"/>
              </w:rPr>
            </w:pPr>
            <w:r>
              <w:rPr>
                <w:rFonts w:hint="eastAsia"/>
                <w:color w:val="auto"/>
                <w:highlight w:val="none"/>
              </w:rPr>
              <w:t>涉及国家公园、自然保护区、世界自然遗产、重要生境时</w:t>
            </w:r>
            <w:r>
              <w:rPr>
                <w:rFonts w:hint="eastAsia"/>
                <w:color w:val="auto"/>
                <w:highlight w:val="none"/>
                <w:lang w:eastAsia="zh-CN"/>
              </w:rPr>
              <w:t>，</w:t>
            </w:r>
            <w:r>
              <w:rPr>
                <w:rFonts w:hint="eastAsia"/>
                <w:color w:val="auto"/>
                <w:highlight w:val="none"/>
              </w:rPr>
              <w:t>评价等级为一级</w:t>
            </w:r>
            <w:r>
              <w:rPr>
                <w:rFonts w:hint="eastAsia"/>
                <w:color w:val="auto"/>
                <w:highlight w:val="none"/>
                <w:lang w:eastAsia="zh-CN"/>
              </w:rPr>
              <w:t>；</w:t>
            </w:r>
          </w:p>
          <w:p>
            <w:pPr>
              <w:ind w:firstLine="480"/>
              <w:rPr>
                <w:rFonts w:hint="eastAsia" w:eastAsiaTheme="minorEastAsia"/>
                <w:color w:val="auto"/>
                <w:highlight w:val="none"/>
                <w:lang w:eastAsia="zh-CN"/>
              </w:rPr>
            </w:pPr>
            <w:r>
              <w:rPr>
                <w:rFonts w:hint="eastAsia"/>
                <w:color w:val="auto"/>
                <w:highlight w:val="none"/>
                <w:lang w:eastAsia="zh-CN"/>
              </w:rPr>
              <w:t>b）</w:t>
            </w:r>
            <w:r>
              <w:rPr>
                <w:rFonts w:hint="eastAsia"/>
                <w:color w:val="auto"/>
                <w:highlight w:val="none"/>
              </w:rPr>
              <w:t xml:space="preserve"> 涉及自然公园时</w:t>
            </w:r>
            <w:r>
              <w:rPr>
                <w:rFonts w:hint="eastAsia"/>
                <w:color w:val="auto"/>
                <w:highlight w:val="none"/>
                <w:lang w:eastAsia="zh-CN"/>
              </w:rPr>
              <w:t>，</w:t>
            </w:r>
            <w:r>
              <w:rPr>
                <w:rFonts w:hint="eastAsia"/>
                <w:color w:val="auto"/>
                <w:highlight w:val="none"/>
              </w:rPr>
              <w:t>评价等级为二级</w:t>
            </w:r>
            <w:r>
              <w:rPr>
                <w:rFonts w:hint="eastAsia"/>
                <w:color w:val="auto"/>
                <w:highlight w:val="none"/>
                <w:lang w:eastAsia="zh-CN"/>
              </w:rPr>
              <w:t>；</w:t>
            </w:r>
          </w:p>
          <w:p>
            <w:pPr>
              <w:ind w:firstLine="480"/>
              <w:rPr>
                <w:rFonts w:hint="eastAsia" w:eastAsiaTheme="minorEastAsia"/>
                <w:color w:val="auto"/>
                <w:highlight w:val="none"/>
                <w:lang w:eastAsia="zh-CN"/>
              </w:rPr>
            </w:pPr>
            <w:r>
              <w:rPr>
                <w:rFonts w:hint="eastAsia"/>
                <w:color w:val="auto"/>
                <w:highlight w:val="none"/>
                <w:lang w:eastAsia="zh-CN"/>
              </w:rPr>
              <w:t>c）</w:t>
            </w:r>
            <w:r>
              <w:rPr>
                <w:rFonts w:hint="eastAsia"/>
                <w:color w:val="auto"/>
                <w:highlight w:val="none"/>
              </w:rPr>
              <w:t xml:space="preserve"> 涉及生态保护红线时</w:t>
            </w:r>
            <w:r>
              <w:rPr>
                <w:rFonts w:hint="eastAsia"/>
                <w:color w:val="auto"/>
                <w:highlight w:val="none"/>
                <w:lang w:eastAsia="zh-CN"/>
              </w:rPr>
              <w:t>，</w:t>
            </w:r>
            <w:r>
              <w:rPr>
                <w:rFonts w:hint="eastAsia"/>
                <w:color w:val="auto"/>
                <w:highlight w:val="none"/>
              </w:rPr>
              <w:t>评价等级不低于二级</w:t>
            </w:r>
            <w:r>
              <w:rPr>
                <w:rFonts w:hint="eastAsia"/>
                <w:color w:val="auto"/>
                <w:highlight w:val="none"/>
                <w:lang w:eastAsia="zh-CN"/>
              </w:rPr>
              <w:t>；</w:t>
            </w:r>
          </w:p>
          <w:p>
            <w:pPr>
              <w:ind w:firstLine="480"/>
              <w:rPr>
                <w:rFonts w:hint="eastAsia" w:eastAsiaTheme="minorEastAsia"/>
                <w:color w:val="auto"/>
                <w:highlight w:val="none"/>
                <w:lang w:eastAsia="zh-CN"/>
              </w:rPr>
            </w:pPr>
            <w:r>
              <w:rPr>
                <w:rFonts w:hint="eastAsia"/>
                <w:color w:val="auto"/>
                <w:highlight w:val="none"/>
                <w:lang w:eastAsia="zh-CN"/>
              </w:rPr>
              <w:t>d）</w:t>
            </w:r>
            <w:r>
              <w:rPr>
                <w:rFonts w:hint="eastAsia"/>
                <w:color w:val="auto"/>
                <w:highlight w:val="none"/>
              </w:rPr>
              <w:t xml:space="preserve"> 根据HJ 2.3判断属于水文要素影响型且地表水评价等级不低于二级的建设项目</w:t>
            </w:r>
            <w:r>
              <w:rPr>
                <w:rFonts w:hint="eastAsia"/>
                <w:color w:val="auto"/>
                <w:highlight w:val="none"/>
                <w:lang w:eastAsia="zh-CN"/>
              </w:rPr>
              <w:t>，</w:t>
            </w:r>
            <w:r>
              <w:rPr>
                <w:rFonts w:hint="eastAsia"/>
                <w:color w:val="auto"/>
                <w:highlight w:val="none"/>
              </w:rPr>
              <w:t>生态影响评价等级不低于二级</w:t>
            </w:r>
            <w:r>
              <w:rPr>
                <w:rFonts w:hint="eastAsia"/>
                <w:color w:val="auto"/>
                <w:highlight w:val="none"/>
                <w:lang w:eastAsia="zh-CN"/>
              </w:rPr>
              <w:t>；</w:t>
            </w:r>
          </w:p>
          <w:p>
            <w:pPr>
              <w:ind w:firstLine="480"/>
              <w:rPr>
                <w:rFonts w:hint="eastAsia" w:eastAsiaTheme="minorEastAsia"/>
                <w:color w:val="auto"/>
                <w:highlight w:val="none"/>
                <w:lang w:eastAsia="zh-CN"/>
              </w:rPr>
            </w:pPr>
            <w:r>
              <w:rPr>
                <w:rFonts w:hint="eastAsia"/>
                <w:color w:val="auto"/>
                <w:highlight w:val="none"/>
                <w:lang w:eastAsia="zh-CN"/>
              </w:rPr>
              <w:t>e）</w:t>
            </w:r>
            <w:r>
              <w:rPr>
                <w:rFonts w:hint="eastAsia"/>
                <w:color w:val="auto"/>
                <w:highlight w:val="none"/>
              </w:rPr>
              <w:t xml:space="preserve"> 根据HJ 610、HJ 964判断地下水水位或土壤影响范围内分布有天然林、公益林、湿地等生态保护目标的建设项目</w:t>
            </w:r>
            <w:r>
              <w:rPr>
                <w:rFonts w:hint="eastAsia"/>
                <w:color w:val="auto"/>
                <w:highlight w:val="none"/>
                <w:lang w:eastAsia="zh-CN"/>
              </w:rPr>
              <w:t>，</w:t>
            </w:r>
            <w:r>
              <w:rPr>
                <w:rFonts w:hint="eastAsia"/>
                <w:color w:val="auto"/>
                <w:highlight w:val="none"/>
              </w:rPr>
              <w:t>生态影响评价等级不低于二级</w:t>
            </w:r>
            <w:r>
              <w:rPr>
                <w:rFonts w:hint="eastAsia"/>
                <w:color w:val="auto"/>
                <w:highlight w:val="none"/>
                <w:lang w:eastAsia="zh-CN"/>
              </w:rPr>
              <w:t>；</w:t>
            </w:r>
          </w:p>
          <w:p>
            <w:pPr>
              <w:ind w:firstLine="480"/>
              <w:rPr>
                <w:rFonts w:hint="eastAsia" w:eastAsiaTheme="minorEastAsia"/>
                <w:color w:val="auto"/>
                <w:highlight w:val="none"/>
                <w:lang w:eastAsia="zh-CN"/>
              </w:rPr>
            </w:pPr>
            <w:r>
              <w:rPr>
                <w:rFonts w:hint="eastAsia"/>
                <w:color w:val="auto"/>
                <w:highlight w:val="none"/>
                <w:lang w:eastAsia="zh-CN"/>
              </w:rPr>
              <w:t>f）</w:t>
            </w:r>
            <w:r>
              <w:rPr>
                <w:rFonts w:hint="eastAsia"/>
                <w:color w:val="auto"/>
                <w:highlight w:val="none"/>
              </w:rPr>
              <w:t xml:space="preserve"> 当工程占地规模大于20km</w:t>
            </w:r>
            <w:r>
              <w:rPr>
                <w:rFonts w:hint="eastAsia"/>
                <w:color w:val="auto"/>
                <w:highlight w:val="none"/>
                <w:vertAlign w:val="superscript"/>
              </w:rPr>
              <w:t>2</w:t>
            </w:r>
            <w:r>
              <w:rPr>
                <w:rFonts w:hint="eastAsia"/>
                <w:color w:val="auto"/>
                <w:highlight w:val="none"/>
              </w:rPr>
              <w:t>时</w:t>
            </w:r>
            <w:r>
              <w:rPr>
                <w:rFonts w:hint="eastAsia"/>
                <w:color w:val="auto"/>
                <w:highlight w:val="none"/>
                <w:lang w:eastAsia="zh-CN"/>
              </w:rPr>
              <w:t>（</w:t>
            </w:r>
            <w:r>
              <w:rPr>
                <w:rFonts w:hint="eastAsia"/>
                <w:color w:val="auto"/>
                <w:highlight w:val="none"/>
              </w:rPr>
              <w:t>包括永久和临时占用陆域和水域</w:t>
            </w:r>
            <w:r>
              <w:rPr>
                <w:rFonts w:hint="eastAsia"/>
                <w:color w:val="auto"/>
                <w:highlight w:val="none"/>
                <w:lang w:eastAsia="zh-CN"/>
              </w:rPr>
              <w:t>），</w:t>
            </w:r>
            <w:r>
              <w:rPr>
                <w:rFonts w:hint="eastAsia"/>
                <w:color w:val="auto"/>
                <w:highlight w:val="none"/>
              </w:rPr>
              <w:t>评价等级不低于二级</w:t>
            </w:r>
            <w:r>
              <w:rPr>
                <w:rFonts w:hint="eastAsia"/>
                <w:color w:val="auto"/>
                <w:highlight w:val="none"/>
                <w:lang w:eastAsia="zh-CN"/>
              </w:rPr>
              <w:t>；</w:t>
            </w:r>
            <w:r>
              <w:rPr>
                <w:rFonts w:hint="eastAsia"/>
                <w:color w:val="auto"/>
                <w:highlight w:val="none"/>
              </w:rPr>
              <w:t>改扩建项目的占地范围以新增占地</w:t>
            </w:r>
            <w:r>
              <w:rPr>
                <w:rFonts w:hint="eastAsia"/>
                <w:color w:val="auto"/>
                <w:highlight w:val="none"/>
                <w:lang w:eastAsia="zh-CN"/>
              </w:rPr>
              <w:t>（</w:t>
            </w:r>
            <w:r>
              <w:rPr>
                <w:rFonts w:hint="eastAsia"/>
                <w:color w:val="auto"/>
                <w:highlight w:val="none"/>
              </w:rPr>
              <w:t>包括陆域和水域</w:t>
            </w:r>
            <w:r>
              <w:rPr>
                <w:rFonts w:hint="eastAsia"/>
                <w:color w:val="auto"/>
                <w:highlight w:val="none"/>
                <w:lang w:eastAsia="zh-CN"/>
              </w:rPr>
              <w:t>）</w:t>
            </w:r>
            <w:r>
              <w:rPr>
                <w:rFonts w:hint="eastAsia"/>
                <w:color w:val="auto"/>
                <w:highlight w:val="none"/>
              </w:rPr>
              <w:t>确定</w:t>
            </w:r>
            <w:r>
              <w:rPr>
                <w:rFonts w:hint="eastAsia"/>
                <w:color w:val="auto"/>
                <w:highlight w:val="none"/>
                <w:lang w:eastAsia="zh-CN"/>
              </w:rPr>
              <w:t>；</w:t>
            </w:r>
          </w:p>
          <w:p>
            <w:pPr>
              <w:ind w:firstLine="480"/>
              <w:rPr>
                <w:rFonts w:hint="eastAsia" w:eastAsiaTheme="minorEastAsia"/>
                <w:color w:val="auto"/>
                <w:highlight w:val="none"/>
                <w:lang w:eastAsia="zh-CN"/>
              </w:rPr>
            </w:pPr>
            <w:r>
              <w:rPr>
                <w:rFonts w:hint="eastAsia"/>
                <w:color w:val="auto"/>
                <w:highlight w:val="none"/>
                <w:lang w:eastAsia="zh-CN"/>
              </w:rPr>
              <w:t>g）</w:t>
            </w:r>
            <w:r>
              <w:rPr>
                <w:rFonts w:hint="eastAsia"/>
                <w:color w:val="auto"/>
                <w:highlight w:val="none"/>
              </w:rPr>
              <w:t xml:space="preserve"> 除本条a)、b</w:t>
            </w:r>
            <w:r>
              <w:rPr>
                <w:rFonts w:hint="eastAsia"/>
                <w:color w:val="auto"/>
                <w:highlight w:val="none"/>
                <w:lang w:eastAsia="zh-CN"/>
              </w:rPr>
              <w:t>）</w:t>
            </w:r>
            <w:r>
              <w:rPr>
                <w:rFonts w:hint="eastAsia"/>
                <w:color w:val="auto"/>
                <w:highlight w:val="none"/>
              </w:rPr>
              <w:t>、c</w:t>
            </w:r>
            <w:r>
              <w:rPr>
                <w:rFonts w:hint="eastAsia"/>
                <w:color w:val="auto"/>
                <w:highlight w:val="none"/>
                <w:lang w:eastAsia="zh-CN"/>
              </w:rPr>
              <w:t>）</w:t>
            </w:r>
            <w:r>
              <w:rPr>
                <w:rFonts w:hint="eastAsia"/>
                <w:color w:val="auto"/>
                <w:highlight w:val="none"/>
              </w:rPr>
              <w:t>、d</w:t>
            </w:r>
            <w:r>
              <w:rPr>
                <w:rFonts w:hint="eastAsia"/>
                <w:color w:val="auto"/>
                <w:highlight w:val="none"/>
                <w:lang w:eastAsia="zh-CN"/>
              </w:rPr>
              <w:t>）</w:t>
            </w:r>
            <w:r>
              <w:rPr>
                <w:rFonts w:hint="eastAsia"/>
                <w:color w:val="auto"/>
                <w:highlight w:val="none"/>
              </w:rPr>
              <w:t>、e</w:t>
            </w:r>
            <w:r>
              <w:rPr>
                <w:rFonts w:hint="eastAsia"/>
                <w:color w:val="auto"/>
                <w:highlight w:val="none"/>
                <w:lang w:eastAsia="zh-CN"/>
              </w:rPr>
              <w:t>）</w:t>
            </w:r>
            <w:r>
              <w:rPr>
                <w:rFonts w:hint="eastAsia"/>
                <w:color w:val="auto"/>
                <w:highlight w:val="none"/>
              </w:rPr>
              <w:t>、f</w:t>
            </w:r>
            <w:r>
              <w:rPr>
                <w:rFonts w:hint="eastAsia"/>
                <w:color w:val="auto"/>
                <w:highlight w:val="none"/>
                <w:lang w:eastAsia="zh-CN"/>
              </w:rPr>
              <w:t>）</w:t>
            </w:r>
            <w:r>
              <w:rPr>
                <w:rFonts w:hint="eastAsia"/>
                <w:color w:val="auto"/>
                <w:highlight w:val="none"/>
              </w:rPr>
              <w:t>以外的情况</w:t>
            </w:r>
            <w:r>
              <w:rPr>
                <w:rFonts w:hint="eastAsia"/>
                <w:color w:val="auto"/>
                <w:highlight w:val="none"/>
                <w:lang w:eastAsia="zh-CN"/>
              </w:rPr>
              <w:t>，</w:t>
            </w:r>
            <w:r>
              <w:rPr>
                <w:rFonts w:hint="eastAsia"/>
                <w:color w:val="auto"/>
                <w:highlight w:val="none"/>
              </w:rPr>
              <w:t>评价等级为三级</w:t>
            </w:r>
            <w:r>
              <w:rPr>
                <w:rFonts w:hint="eastAsia"/>
                <w:color w:val="auto"/>
                <w:highlight w:val="none"/>
                <w:lang w:eastAsia="zh-CN"/>
              </w:rPr>
              <w:t>；</w:t>
            </w:r>
          </w:p>
          <w:p>
            <w:pPr>
              <w:ind w:firstLine="480"/>
              <w:rPr>
                <w:rFonts w:hint="eastAsia"/>
                <w:color w:val="auto"/>
                <w:highlight w:val="none"/>
              </w:rPr>
            </w:pPr>
            <w:r>
              <w:rPr>
                <w:rFonts w:hint="eastAsia"/>
                <w:color w:val="auto"/>
                <w:highlight w:val="none"/>
                <w:lang w:eastAsia="zh-CN"/>
              </w:rPr>
              <w:t>h）</w:t>
            </w:r>
            <w:r>
              <w:rPr>
                <w:rFonts w:hint="eastAsia"/>
                <w:color w:val="auto"/>
                <w:highlight w:val="none"/>
              </w:rPr>
              <w:t xml:space="preserve"> 当评价等级判定同时符合上述多种情况时</w:t>
            </w:r>
            <w:r>
              <w:rPr>
                <w:rFonts w:hint="eastAsia"/>
                <w:color w:val="auto"/>
                <w:highlight w:val="none"/>
                <w:lang w:eastAsia="zh-CN"/>
              </w:rPr>
              <w:t>，</w:t>
            </w:r>
            <w:r>
              <w:rPr>
                <w:rFonts w:hint="eastAsia"/>
                <w:color w:val="auto"/>
                <w:highlight w:val="none"/>
              </w:rPr>
              <w:t>应采用其中最高的评价等级。</w:t>
            </w:r>
          </w:p>
          <w:p>
            <w:pPr>
              <w:bidi w:val="0"/>
              <w:rPr>
                <w:rFonts w:hint="eastAsia"/>
                <w:color w:val="auto"/>
                <w:lang w:val="en-US" w:eastAsia="zh-CN"/>
              </w:rPr>
            </w:pPr>
            <w:r>
              <w:rPr>
                <w:rFonts w:hint="eastAsia"/>
                <w:color w:val="auto"/>
                <w:lang w:val="en-US" w:eastAsia="zh-CN"/>
              </w:rPr>
              <w:t>根据</w:t>
            </w:r>
            <w:r>
              <w:rPr>
                <w:rFonts w:hint="eastAsia"/>
                <w:color w:val="auto"/>
                <w:highlight w:val="none"/>
              </w:rPr>
              <w:t>HJ 964</w:t>
            </w:r>
            <w:r>
              <w:rPr>
                <w:rFonts w:hint="eastAsia"/>
                <w:color w:val="auto"/>
                <w:highlight w:val="none"/>
                <w:lang w:eastAsia="zh-CN"/>
              </w:rPr>
              <w:t>判定，</w:t>
            </w:r>
            <w:r>
              <w:rPr>
                <w:rFonts w:hint="eastAsia"/>
                <w:color w:val="auto"/>
                <w:highlight w:val="none"/>
                <w:lang w:val="en-US" w:eastAsia="zh-CN"/>
              </w:rPr>
              <w:t>本项目不涉及</w:t>
            </w:r>
            <w:r>
              <w:rPr>
                <w:rFonts w:hint="eastAsia"/>
                <w:color w:val="auto"/>
                <w:highlight w:val="none"/>
              </w:rPr>
              <w:t>a)、b</w:t>
            </w:r>
            <w:r>
              <w:rPr>
                <w:rFonts w:hint="eastAsia"/>
                <w:color w:val="auto"/>
                <w:highlight w:val="none"/>
                <w:lang w:eastAsia="zh-CN"/>
              </w:rPr>
              <w:t>）</w:t>
            </w:r>
            <w:r>
              <w:rPr>
                <w:rFonts w:hint="eastAsia"/>
                <w:color w:val="auto"/>
                <w:highlight w:val="none"/>
              </w:rPr>
              <w:t>、c</w:t>
            </w:r>
            <w:r>
              <w:rPr>
                <w:rFonts w:hint="eastAsia"/>
                <w:color w:val="auto"/>
                <w:highlight w:val="none"/>
                <w:lang w:eastAsia="zh-CN"/>
              </w:rPr>
              <w:t>）</w:t>
            </w:r>
            <w:r>
              <w:rPr>
                <w:rFonts w:hint="eastAsia"/>
                <w:color w:val="auto"/>
                <w:highlight w:val="none"/>
              </w:rPr>
              <w:t>、d</w:t>
            </w:r>
            <w:r>
              <w:rPr>
                <w:rFonts w:hint="eastAsia"/>
                <w:color w:val="auto"/>
                <w:highlight w:val="none"/>
                <w:lang w:eastAsia="zh-CN"/>
              </w:rPr>
              <w:t>）</w:t>
            </w:r>
            <w:r>
              <w:rPr>
                <w:rFonts w:hint="eastAsia"/>
                <w:color w:val="auto"/>
                <w:highlight w:val="none"/>
              </w:rPr>
              <w:t>、e</w:t>
            </w:r>
            <w:r>
              <w:rPr>
                <w:rFonts w:hint="eastAsia"/>
                <w:color w:val="auto"/>
                <w:highlight w:val="none"/>
                <w:lang w:eastAsia="zh-CN"/>
              </w:rPr>
              <w:t>）</w:t>
            </w:r>
            <w:r>
              <w:rPr>
                <w:rFonts w:hint="eastAsia"/>
                <w:color w:val="auto"/>
                <w:highlight w:val="none"/>
              </w:rPr>
              <w:t>、f</w:t>
            </w:r>
            <w:r>
              <w:rPr>
                <w:rFonts w:hint="eastAsia"/>
                <w:color w:val="auto"/>
                <w:highlight w:val="none"/>
                <w:lang w:eastAsia="zh-CN"/>
              </w:rPr>
              <w:t>）</w:t>
            </w:r>
            <w:r>
              <w:rPr>
                <w:rFonts w:hint="eastAsia"/>
                <w:color w:val="auto"/>
                <w:highlight w:val="none"/>
                <w:lang w:val="en-US" w:eastAsia="zh-CN"/>
              </w:rPr>
              <w:t>的情况</w:t>
            </w:r>
            <w:r>
              <w:rPr>
                <w:rFonts w:hint="eastAsia"/>
                <w:color w:val="auto"/>
                <w:lang w:val="en-US" w:eastAsia="zh-CN"/>
              </w:rPr>
              <w:t>，故本项目评价等级为三级评价。</w:t>
            </w:r>
          </w:p>
          <w:p>
            <w:pPr>
              <w:pStyle w:val="5"/>
              <w:bidi w:val="0"/>
              <w:rPr>
                <w:rFonts w:hint="default"/>
                <w:color w:val="auto"/>
                <w:lang w:val="en-US" w:eastAsia="zh-CN"/>
              </w:rPr>
            </w:pPr>
            <w:r>
              <w:rPr>
                <w:rFonts w:hint="eastAsia"/>
                <w:color w:val="auto"/>
                <w:lang w:val="en-US" w:eastAsia="zh-CN"/>
              </w:rPr>
              <w:t>1</w:t>
            </w:r>
            <w:r>
              <w:rPr>
                <w:color w:val="auto"/>
              </w:rPr>
              <w:t>.</w:t>
            </w:r>
            <w:r>
              <w:rPr>
                <w:rFonts w:hint="eastAsia"/>
                <w:color w:val="auto"/>
                <w:lang w:val="en-US" w:eastAsia="zh-CN"/>
              </w:rPr>
              <w:t>4植被现状调查及评价</w:t>
            </w:r>
          </w:p>
          <w:p>
            <w:pPr>
              <w:bidi w:val="0"/>
              <w:rPr>
                <w:rFonts w:hint="default"/>
                <w:color w:val="auto"/>
                <w:lang w:val="en-US" w:eastAsia="zh-CN"/>
              </w:rPr>
            </w:pPr>
            <w:r>
              <w:rPr>
                <w:rFonts w:hint="eastAsia"/>
                <w:color w:val="auto"/>
              </w:rPr>
              <w:t>根据现场调查</w:t>
            </w:r>
            <w:r>
              <w:rPr>
                <w:rFonts w:hint="eastAsia"/>
                <w:color w:val="auto"/>
                <w:lang w:eastAsia="zh-CN"/>
              </w:rPr>
              <w:t>，</w:t>
            </w:r>
            <w:r>
              <w:rPr>
                <w:color w:val="auto"/>
              </w:rPr>
              <w:t>矿区位于霍拉沟以北的山区，属西天山东段，</w:t>
            </w:r>
            <w:r>
              <w:rPr>
                <w:rFonts w:hint="eastAsia"/>
                <w:color w:val="auto"/>
                <w:lang w:eastAsia="zh-CN"/>
              </w:rPr>
              <w:t>海拔</w:t>
            </w:r>
            <w:r>
              <w:rPr>
                <w:color w:val="auto"/>
              </w:rPr>
              <w:t>为2348～2440米，最低点位于矿区东部（2348米），最高点位于矿区西部（2440米），总体地势西高东低，地形地势较为平坦，地形坡度5-20°</w:t>
            </w:r>
            <w:r>
              <w:rPr>
                <w:rFonts w:hint="eastAsia"/>
                <w:color w:val="auto"/>
                <w:lang w:eastAsia="zh-CN"/>
              </w:rPr>
              <w:t>，</w:t>
            </w:r>
            <w:r>
              <w:rPr>
                <w:color w:val="auto"/>
              </w:rPr>
              <w:t>局部达到25°以上，属中高山地貌单元。山顶、山脊基岩裸露，基岩裸露区风化强烈，以残坡积物为主，沟内多被风积沙土和植被覆盖</w:t>
            </w:r>
            <w:r>
              <w:rPr>
                <w:rFonts w:hint="default"/>
                <w:color w:val="auto"/>
              </w:rPr>
              <w:t>，植被发育程度弱，在矿区西侧低洼处分布有第四系上更新</w:t>
            </w:r>
            <w:r>
              <w:rPr>
                <w:rFonts w:hint="eastAsia"/>
                <w:color w:val="auto"/>
                <w:lang w:eastAsia="zh-CN"/>
              </w:rPr>
              <w:t>－</w:t>
            </w:r>
            <w:r>
              <w:rPr>
                <w:rFonts w:hint="default"/>
                <w:color w:val="auto"/>
              </w:rPr>
              <w:t>全新统冲洪积物（Q3-4apl），其上偶见</w:t>
            </w:r>
            <w:r>
              <w:rPr>
                <w:rFonts w:hint="default" w:ascii="Times New Roman" w:hAnsi="Times New Roman" w:eastAsia="宋体" w:cs="Times New Roman"/>
                <w:color w:val="auto"/>
                <w:lang w:eastAsia="zh-CN"/>
              </w:rPr>
              <w:t>早熟禾</w:t>
            </w:r>
            <w:r>
              <w:rPr>
                <w:rFonts w:hint="default"/>
                <w:color w:val="auto"/>
              </w:rPr>
              <w:t>，</w:t>
            </w:r>
            <w:r>
              <w:rPr>
                <w:rFonts w:hint="default" w:ascii="Times New Roman" w:hAnsi="Times New Roman" w:eastAsia="宋体" w:cs="Times New Roman"/>
                <w:color w:val="auto"/>
                <w:lang w:eastAsia="zh-CN"/>
              </w:rPr>
              <w:t>珠芽蓼</w:t>
            </w:r>
            <w:r>
              <w:rPr>
                <w:rFonts w:hint="default"/>
                <w:color w:val="auto"/>
              </w:rPr>
              <w:t>等耐旱植物生长。地表植被属天然植被，分布不均匀，群落单一，多呈点状、簇状、片状分布，矿区总体植被覆盖度</w:t>
            </w:r>
            <w:r>
              <w:rPr>
                <w:rFonts w:hint="eastAsia"/>
                <w:color w:val="auto"/>
                <w:lang w:val="en-US" w:eastAsia="zh-CN"/>
              </w:rPr>
              <w:t>30</w:t>
            </w:r>
            <w:r>
              <w:rPr>
                <w:rFonts w:hint="default"/>
                <w:color w:val="auto"/>
              </w:rPr>
              <w:t>％</w:t>
            </w:r>
            <w:r>
              <w:rPr>
                <w:rFonts w:hint="eastAsia"/>
                <w:color w:val="auto"/>
                <w:lang w:eastAsia="zh-CN"/>
              </w:rPr>
              <w:t>～</w:t>
            </w:r>
            <w:r>
              <w:rPr>
                <w:rFonts w:hint="eastAsia"/>
                <w:color w:val="auto"/>
                <w:lang w:val="en-US" w:eastAsia="zh-CN"/>
              </w:rPr>
              <w:t>60%</w:t>
            </w:r>
            <w:r>
              <w:rPr>
                <w:rFonts w:hint="default"/>
                <w:color w:val="auto"/>
              </w:rPr>
              <w:t>，植物高度多小于30cm，矿区无人工植被</w:t>
            </w:r>
            <w:r>
              <w:rPr>
                <w:rFonts w:hint="eastAsia"/>
                <w:color w:val="auto"/>
                <w:lang w:eastAsia="zh-CN"/>
              </w:rPr>
              <w:t>，</w:t>
            </w:r>
            <w:r>
              <w:rPr>
                <w:rFonts w:hint="eastAsia"/>
                <w:color w:val="auto"/>
                <w:lang w:val="en-US" w:eastAsia="zh-CN"/>
              </w:rPr>
              <w:t>详见附图8</w:t>
            </w:r>
            <w:r>
              <w:rPr>
                <w:rFonts w:hint="default"/>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3-2</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主要植物名录</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2"/>
              <w:gridCol w:w="3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val="en-US" w:eastAsia="zh-CN"/>
                    </w:rPr>
                  </w:pPr>
                  <w:r>
                    <w:rPr>
                      <w:rFonts w:hint="default"/>
                      <w:color w:val="auto"/>
                      <w:lang w:val="en-US" w:eastAsia="zh-CN"/>
                    </w:rPr>
                    <w:t>中文名</w:t>
                  </w:r>
                </w:p>
              </w:tc>
              <w:tc>
                <w:tcPr>
                  <w:tcW w:w="2500" w:type="pct"/>
                  <w:tcBorders>
                    <w:tl2br w:val="nil"/>
                    <w:tr2bl w:val="nil"/>
                  </w:tcBorders>
                  <w:noWrap w:val="0"/>
                  <w:vAlign w:val="center"/>
                </w:tcPr>
                <w:p>
                  <w:pPr>
                    <w:pStyle w:val="2"/>
                    <w:bidi w:val="0"/>
                    <w:rPr>
                      <w:rFonts w:hint="default"/>
                      <w:color w:val="auto"/>
                      <w:lang w:val="en-US" w:eastAsia="zh-CN"/>
                    </w:rPr>
                  </w:pPr>
                  <w:r>
                    <w:rPr>
                      <w:rFonts w:hint="default"/>
                      <w:color w:val="auto"/>
                      <w:lang w:val="en-US" w:eastAsia="zh-CN"/>
                    </w:rPr>
                    <w:t>拉丁名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早熟禾</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Poa annua 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珠芽蓼</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Bistorta vivipara (L.) Gray</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委陵菜</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Potentilla chinensis Ser.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棘豆</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Oxytropis kansuensis Bunge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凤毛菊</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Saussurea japonica (Thunb.) DC.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黄芪</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Astragalus membranaceus (Fisch.) Bunge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节节草</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Equisetum ramosissimum Desf.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3" w:hRule="atLeast"/>
                <w:jc w:val="center"/>
              </w:trPr>
              <w:tc>
                <w:tcPr>
                  <w:tcW w:w="2500" w:type="pct"/>
                  <w:tcBorders>
                    <w:tl2br w:val="nil"/>
                    <w:tr2bl w:val="nil"/>
                  </w:tcBorders>
                  <w:noWrap w:val="0"/>
                  <w:vAlign w:val="center"/>
                </w:tcPr>
                <w:p>
                  <w:pPr>
                    <w:pStyle w:val="2"/>
                    <w:bidi w:val="0"/>
                    <w:rPr>
                      <w:rFonts w:hint="default"/>
                      <w:color w:val="auto"/>
                      <w:lang w:eastAsia="zh-CN"/>
                    </w:rPr>
                  </w:pPr>
                  <w:r>
                    <w:rPr>
                      <w:rFonts w:hint="default"/>
                      <w:color w:val="auto"/>
                      <w:lang w:eastAsia="zh-CN"/>
                    </w:rPr>
                    <w:t>火绒草</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Leontopodium leontopodioides (Willd.) Beauverd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2"/>
                    <w:bidi w:val="0"/>
                    <w:rPr>
                      <w:rFonts w:hint="default"/>
                      <w:color w:val="auto"/>
                      <w:lang w:val="en-US" w:eastAsia="zh-CN"/>
                    </w:rPr>
                  </w:pPr>
                  <w:r>
                    <w:rPr>
                      <w:rFonts w:hint="default"/>
                      <w:color w:val="auto"/>
                      <w:lang w:eastAsia="zh-CN"/>
                    </w:rPr>
                    <w:t>金雀梅</w:t>
                  </w:r>
                </w:p>
              </w:tc>
              <w:tc>
                <w:tcPr>
                  <w:tcW w:w="2500" w:type="pct"/>
                  <w:tcBorders>
                    <w:tl2br w:val="nil"/>
                    <w:tr2bl w:val="nil"/>
                  </w:tcBorders>
                  <w:noWrap w:val="0"/>
                  <w:vAlign w:val="center"/>
                </w:tcPr>
                <w:p>
                  <w:pPr>
                    <w:pStyle w:val="2"/>
                    <w:bidi w:val="0"/>
                    <w:rPr>
                      <w:rFonts w:hint="default"/>
                      <w:i/>
                      <w:iCs/>
                      <w:color w:val="auto"/>
                      <w:lang w:val="en-US" w:eastAsia="zh-CN"/>
                    </w:rPr>
                  </w:pPr>
                  <w:r>
                    <w:rPr>
                      <w:rFonts w:hint="default"/>
                      <w:i/>
                      <w:iCs/>
                      <w:color w:val="auto"/>
                    </w:rPr>
                    <w:t>Caragana frutex(L.)K.Koch</w:t>
                  </w:r>
                </w:p>
              </w:tc>
            </w:tr>
          </w:tbl>
          <w:p>
            <w:pPr>
              <w:pStyle w:val="5"/>
              <w:bidi w:val="0"/>
              <w:rPr>
                <w:rFonts w:hint="default"/>
                <w:color w:val="auto"/>
                <w:lang w:val="en-US" w:eastAsia="zh-CN"/>
              </w:rPr>
            </w:pPr>
            <w:r>
              <w:rPr>
                <w:rFonts w:hint="eastAsia"/>
                <w:color w:val="auto"/>
                <w:lang w:val="en-US" w:eastAsia="zh-CN"/>
              </w:rPr>
              <w:t>1.5动物分布情况</w:t>
            </w:r>
          </w:p>
          <w:p>
            <w:pPr>
              <w:bidi w:val="0"/>
              <w:rPr>
                <w:color w:val="auto"/>
              </w:rPr>
            </w:pPr>
            <w:r>
              <w:rPr>
                <w:rFonts w:hint="eastAsia"/>
                <w:color w:val="auto"/>
              </w:rPr>
              <w:t>按中国动物地理区划的分级标准，本工程地处天山隆起带南部的低中山区，在动物区划上将其归属于古北界—中亚亚界—蒙新区—天山山地亚区—南天山山区—高地森林草原、草甸草原寒源动物群。野生动物的栖息生境极为简单，主要为</w:t>
            </w:r>
            <w:r>
              <w:rPr>
                <w:rFonts w:hint="eastAsia"/>
                <w:color w:val="auto"/>
                <w:lang w:eastAsia="zh-CN"/>
              </w:rPr>
              <w:t>荒漠草场</w:t>
            </w:r>
            <w:r>
              <w:rPr>
                <w:rFonts w:hint="eastAsia"/>
                <w:color w:val="auto"/>
              </w:rPr>
              <w:t>。</w:t>
            </w:r>
            <w:r>
              <w:rPr>
                <w:rFonts w:hint="eastAsia"/>
                <w:color w:val="auto"/>
                <w:lang w:val="en-US" w:eastAsia="zh-CN"/>
              </w:rPr>
              <w:t>霍拉山</w:t>
            </w:r>
            <w:r>
              <w:rPr>
                <w:rFonts w:ascii="瀹嬩綋" w:hAnsi="瀹嬩綋" w:eastAsia="瀹嬩綋" w:cs="瀹嬩綋"/>
                <w:color w:val="auto"/>
                <w:kern w:val="0"/>
                <w:sz w:val="24"/>
                <w:szCs w:val="24"/>
                <w:lang w:val="en-US" w:eastAsia="zh-CN" w:bidi="ar"/>
              </w:rPr>
              <w:t>主要</w:t>
            </w:r>
            <w:r>
              <w:rPr>
                <w:rFonts w:hint="eastAsia" w:ascii="瀹嬩綋" w:hAnsi="瀹嬩綋" w:eastAsia="瀹嬩綋" w:cs="瀹嬩綋"/>
                <w:color w:val="auto"/>
                <w:kern w:val="0"/>
                <w:sz w:val="24"/>
                <w:szCs w:val="24"/>
                <w:lang w:val="en-US" w:eastAsia="zh-CN" w:bidi="ar"/>
              </w:rPr>
              <w:t>分布</w:t>
            </w:r>
            <w:r>
              <w:rPr>
                <w:rFonts w:ascii="瀹嬩綋" w:hAnsi="瀹嬩綋" w:eastAsia="瀹嬩綋" w:cs="瀹嬩綋"/>
                <w:color w:val="auto"/>
                <w:kern w:val="0"/>
                <w:sz w:val="24"/>
                <w:szCs w:val="24"/>
                <w:lang w:val="en-US" w:eastAsia="zh-CN" w:bidi="ar"/>
              </w:rPr>
              <w:t>的野生动物有鹅喉羚、黄羊、棕熊、狼、</w:t>
            </w:r>
            <w:r>
              <w:rPr>
                <w:rFonts w:hint="eastAsia"/>
                <w:color w:val="auto"/>
                <w:lang w:val="en-US" w:eastAsia="zh-CN"/>
              </w:rPr>
              <w:t>草兔</w:t>
            </w:r>
            <w:r>
              <w:rPr>
                <w:rFonts w:ascii="瀹嬩綋" w:hAnsi="瀹嬩綋" w:eastAsia="瀹嬩綋" w:cs="瀹嬩綋"/>
                <w:color w:val="auto"/>
                <w:kern w:val="0"/>
                <w:sz w:val="24"/>
                <w:szCs w:val="24"/>
                <w:lang w:val="en-US" w:eastAsia="zh-CN" w:bidi="ar"/>
              </w:rPr>
              <w:t>、</w:t>
            </w:r>
            <w:r>
              <w:rPr>
                <w:rFonts w:hint="default" w:ascii="瀹嬩綋" w:hAnsi="瀹嬩綋" w:eastAsia="瀹嬩綋" w:cs="瀹嬩綋"/>
                <w:color w:val="auto"/>
                <w:kern w:val="0"/>
                <w:sz w:val="24"/>
                <w:szCs w:val="24"/>
                <w:lang w:val="en-US" w:eastAsia="zh-CN" w:bidi="ar"/>
              </w:rPr>
              <w:t>乌鸦、雪鸡、猫头鹰、斑鸿、</w:t>
            </w:r>
            <w:r>
              <w:rPr>
                <w:rFonts w:hint="eastAsia"/>
                <w:color w:val="auto"/>
                <w:lang w:val="en-US" w:eastAsia="zh-CN"/>
              </w:rPr>
              <w:t>子午沙鼠</w:t>
            </w:r>
            <w:r>
              <w:rPr>
                <w:rFonts w:hint="default" w:ascii="瀹嬩綋" w:hAnsi="瀹嬩綋" w:eastAsia="瀹嬩綋" w:cs="瀹嬩綋"/>
                <w:color w:val="auto"/>
                <w:kern w:val="0"/>
                <w:sz w:val="24"/>
                <w:szCs w:val="24"/>
                <w:lang w:val="en-US" w:eastAsia="zh-CN" w:bidi="ar"/>
              </w:rPr>
              <w:t>等，</w:t>
            </w:r>
            <w:r>
              <w:rPr>
                <w:rFonts w:hint="eastAsia" w:ascii="瀹嬩綋" w:hAnsi="瀹嬩綋" w:eastAsia="瀹嬩綋" w:cs="瀹嬩綋"/>
                <w:color w:val="auto"/>
                <w:kern w:val="0"/>
                <w:sz w:val="24"/>
                <w:szCs w:val="24"/>
                <w:lang w:val="en-US" w:eastAsia="zh-CN" w:bidi="ar"/>
              </w:rPr>
              <w:t>本项目</w:t>
            </w:r>
            <w:r>
              <w:rPr>
                <w:rFonts w:hint="eastAsia"/>
                <w:color w:val="auto"/>
                <w:lang w:val="en-US" w:eastAsia="zh-CN"/>
              </w:rPr>
              <w:t>由于周围存在正在开采的矿山，受人为活动的影响导致没有大型哺乳动物</w:t>
            </w:r>
            <w:r>
              <w:rPr>
                <w:rFonts w:hint="default" w:ascii="瀹嬩綋" w:hAnsi="瀹嬩綋" w:eastAsia="瀹嬩綋" w:cs="瀹嬩綋"/>
                <w:color w:val="auto"/>
                <w:kern w:val="0"/>
                <w:sz w:val="24"/>
                <w:szCs w:val="24"/>
                <w:lang w:val="en-US" w:eastAsia="zh-CN" w:bidi="ar"/>
              </w:rPr>
              <w:t>，</w:t>
            </w:r>
            <w:r>
              <w:rPr>
                <w:rFonts w:hint="eastAsia" w:ascii="瀹嬩綋" w:hAnsi="瀹嬩綋" w:eastAsia="瀹嬩綋" w:cs="瀹嬩綋"/>
                <w:color w:val="auto"/>
                <w:kern w:val="0"/>
                <w:sz w:val="24"/>
                <w:szCs w:val="24"/>
                <w:lang w:val="en-US" w:eastAsia="zh-CN" w:bidi="ar"/>
              </w:rPr>
              <w:t>项目区内</w:t>
            </w:r>
            <w:r>
              <w:rPr>
                <w:rFonts w:hint="default" w:ascii="瀹嬩綋" w:hAnsi="瀹嬩綋" w:eastAsia="瀹嬩綋" w:cs="瀹嬩綋"/>
                <w:color w:val="auto"/>
                <w:kern w:val="0"/>
                <w:sz w:val="24"/>
                <w:szCs w:val="24"/>
                <w:lang w:val="en-US" w:eastAsia="zh-CN" w:bidi="ar"/>
              </w:rPr>
              <w:t>主要为</w:t>
            </w:r>
            <w:r>
              <w:rPr>
                <w:rFonts w:hint="eastAsia"/>
                <w:color w:val="auto"/>
                <w:lang w:val="en-US" w:eastAsia="zh-CN"/>
              </w:rPr>
              <w:t>草兔、子午沙鼠、黑顶麻雀、乌鸦、斑鸠</w:t>
            </w:r>
            <w:r>
              <w:rPr>
                <w:rFonts w:hint="default" w:ascii="瀹嬩綋" w:hAnsi="瀹嬩綋" w:eastAsia="瀹嬩綋" w:cs="瀹嬩綋"/>
                <w:color w:val="auto"/>
                <w:kern w:val="0"/>
                <w:sz w:val="24"/>
                <w:szCs w:val="24"/>
                <w:lang w:val="en-US" w:eastAsia="zh-CN" w:bidi="ar"/>
              </w:rPr>
              <w:t>等</w:t>
            </w:r>
            <w:r>
              <w:rPr>
                <w:rFonts w:hint="eastAsia" w:ascii="瀹嬩綋" w:hAnsi="瀹嬩綋" w:eastAsia="瀹嬩綋" w:cs="瀹嬩綋"/>
                <w:color w:val="auto"/>
                <w:kern w:val="0"/>
                <w:sz w:val="24"/>
                <w:szCs w:val="24"/>
                <w:lang w:val="en-US" w:eastAsia="zh-CN" w:bidi="ar"/>
              </w:rPr>
              <w:t>。</w:t>
            </w:r>
            <w:r>
              <w:rPr>
                <w:rFonts w:hint="default" w:ascii="瀹嬩綋" w:hAnsi="瀹嬩綋" w:eastAsia="瀹嬩綋" w:cs="瀹嬩綋"/>
                <w:color w:val="auto"/>
                <w:kern w:val="0"/>
                <w:sz w:val="24"/>
                <w:szCs w:val="24"/>
                <w:lang w:val="en-US" w:eastAsia="zh-CN" w:bidi="ar"/>
              </w:rPr>
              <w:t xml:space="preserve"> </w:t>
            </w:r>
            <w:r>
              <w:rPr>
                <w:rFonts w:hint="eastAsia"/>
                <w:color w:val="auto"/>
              </w:rPr>
              <w:t>项目区内无国家和自治区保护动物分布</w:t>
            </w:r>
            <w:r>
              <w:rPr>
                <w:rFonts w:hint="eastAsia"/>
                <w:color w:val="auto"/>
                <w:lang w:eastAsia="zh-CN"/>
              </w:rPr>
              <w:t>，</w:t>
            </w:r>
            <w:r>
              <w:rPr>
                <w:rFonts w:hint="eastAsia"/>
                <w:color w:val="auto"/>
              </w:rPr>
              <w:t>区域</w:t>
            </w:r>
            <w:r>
              <w:rPr>
                <w:rFonts w:hint="eastAsia"/>
                <w:color w:val="auto"/>
                <w:lang w:eastAsia="zh-CN"/>
              </w:rPr>
              <w:t>内</w:t>
            </w:r>
            <w:r>
              <w:rPr>
                <w:rFonts w:hint="eastAsia"/>
                <w:color w:val="auto"/>
              </w:rPr>
              <w:t>主要动物名录见表3</w:t>
            </w:r>
            <w:r>
              <w:rPr>
                <w:rFonts w:hint="eastAsia"/>
                <w:color w:val="auto"/>
                <w:lang w:val="en-US" w:eastAsia="zh-CN"/>
              </w:rPr>
              <w:t>-3</w:t>
            </w:r>
            <w:r>
              <w:rPr>
                <w:rFonts w:hint="eastAsia"/>
                <w:color w:val="auto"/>
              </w:rPr>
              <w:t>。</w:t>
            </w:r>
          </w:p>
          <w:p>
            <w:pPr>
              <w:pStyle w:val="7"/>
              <w:bidi w:val="0"/>
              <w:rPr>
                <w:color w:val="auto"/>
              </w:rPr>
            </w:pPr>
            <w:r>
              <w:rPr>
                <w:rFonts w:hint="eastAsia"/>
                <w:color w:val="auto"/>
              </w:rPr>
              <w:t>表3-</w:t>
            </w:r>
            <w:r>
              <w:rPr>
                <w:rFonts w:hint="eastAsia"/>
                <w:color w:val="auto"/>
                <w:lang w:val="en-US" w:eastAsia="zh-CN"/>
              </w:rPr>
              <w:t>3</w:t>
            </w:r>
            <w:r>
              <w:rPr>
                <w:rFonts w:hint="eastAsia"/>
                <w:color w:val="auto"/>
              </w:rPr>
              <w:t xml:space="preserve">                   项目区动物名录</w:t>
            </w:r>
          </w:p>
          <w:tbl>
            <w:tblPr>
              <w:tblStyle w:val="31"/>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2907"/>
              <w:gridCol w:w="3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pct"/>
                  <w:tcBorders>
                    <w:tl2br w:val="nil"/>
                    <w:tr2bl w:val="nil"/>
                  </w:tcBorders>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类别</w:t>
                  </w:r>
                </w:p>
              </w:tc>
              <w:tc>
                <w:tcPr>
                  <w:tcW w:w="1873" w:type="pct"/>
                  <w:tcBorders>
                    <w:tl2br w:val="nil"/>
                    <w:tr2bl w:val="nil"/>
                  </w:tcBorders>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名称</w:t>
                  </w:r>
                </w:p>
              </w:tc>
              <w:tc>
                <w:tcPr>
                  <w:tcW w:w="2255"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拉丁名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pct"/>
                  <w:vMerge w:val="restar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啮齿类</w:t>
                  </w:r>
                </w:p>
              </w:tc>
              <w:tc>
                <w:tcPr>
                  <w:tcW w:w="1873"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草兔</w:t>
                  </w:r>
                </w:p>
              </w:tc>
              <w:tc>
                <w:tcPr>
                  <w:tcW w:w="2255"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i/>
                      <w:iCs/>
                      <w:color w:val="auto"/>
                      <w:lang w:val="en-US" w:eastAsia="zh-CN"/>
                    </w:rPr>
                  </w:pPr>
                  <w:r>
                    <w:rPr>
                      <w:rFonts w:hint="eastAsia"/>
                      <w:i/>
                      <w:iCs/>
                      <w:color w:val="auto"/>
                      <w:lang w:val="en-US" w:eastAsia="zh-CN"/>
                    </w:rPr>
                    <w:t>Lepus capensis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pct"/>
                  <w:vMerge w:val="continue"/>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p>
              </w:tc>
              <w:tc>
                <w:tcPr>
                  <w:tcW w:w="1873"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子午沙鼠</w:t>
                  </w:r>
                </w:p>
              </w:tc>
              <w:tc>
                <w:tcPr>
                  <w:tcW w:w="2255"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i/>
                      <w:iCs/>
                      <w:color w:val="auto"/>
                      <w:lang w:val="en-US" w:eastAsia="zh-CN"/>
                    </w:rPr>
                  </w:pPr>
                  <w:r>
                    <w:rPr>
                      <w:rFonts w:hint="eastAsia"/>
                      <w:i/>
                      <w:iCs/>
                      <w:color w:val="auto"/>
                      <w:lang w:val="en-US" w:eastAsia="zh-CN"/>
                    </w:rPr>
                    <w:t>Euchoreutes naso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pct"/>
                  <w:vMerge w:val="restar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鸟类</w:t>
                  </w:r>
                </w:p>
              </w:tc>
              <w:tc>
                <w:tcPr>
                  <w:tcW w:w="1873"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黑顶麻雀</w:t>
                  </w:r>
                </w:p>
              </w:tc>
              <w:tc>
                <w:tcPr>
                  <w:tcW w:w="2255"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i/>
                      <w:iCs/>
                      <w:color w:val="auto"/>
                      <w:lang w:val="en-US" w:eastAsia="zh-CN"/>
                    </w:rPr>
                  </w:pPr>
                  <w:r>
                    <w:rPr>
                      <w:rFonts w:hint="eastAsia"/>
                      <w:i/>
                      <w:iCs/>
                      <w:color w:val="auto"/>
                      <w:lang w:val="en-US" w:eastAsia="zh-CN"/>
                    </w:rPr>
                    <w:t>Passer ammodendri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pct"/>
                  <w:vMerge w:val="continue"/>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p>
              </w:tc>
              <w:tc>
                <w:tcPr>
                  <w:tcW w:w="1873"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斑鸠</w:t>
                  </w:r>
                </w:p>
              </w:tc>
              <w:tc>
                <w:tcPr>
                  <w:tcW w:w="2255"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i/>
                      <w:iCs/>
                      <w:color w:val="auto"/>
                      <w:lang w:val="en-US" w:eastAsia="zh-CN"/>
                    </w:rPr>
                  </w:pPr>
                  <w:r>
                    <w:rPr>
                      <w:rFonts w:hint="eastAsia"/>
                      <w:i/>
                      <w:iCs/>
                      <w:color w:val="auto"/>
                      <w:lang w:val="en-US" w:eastAsia="zh-CN"/>
                    </w:rPr>
                    <w:t>Streptopelia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pct"/>
                  <w:vMerge w:val="continue"/>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p>
              </w:tc>
              <w:tc>
                <w:tcPr>
                  <w:tcW w:w="1873"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color w:val="auto"/>
                      <w:lang w:val="en-US" w:eastAsia="zh-CN"/>
                    </w:rPr>
                  </w:pPr>
                  <w:r>
                    <w:rPr>
                      <w:rFonts w:hint="eastAsia"/>
                      <w:color w:val="auto"/>
                      <w:lang w:val="en-US" w:eastAsia="zh-CN"/>
                    </w:rPr>
                    <w:t>乌鸦</w:t>
                  </w:r>
                </w:p>
              </w:tc>
              <w:tc>
                <w:tcPr>
                  <w:tcW w:w="2255" w:type="pct"/>
                  <w:tcBorders>
                    <w:tl2br w:val="nil"/>
                    <w:tr2bl w:val="nil"/>
                  </w:tcBorders>
                  <w:vAlign w:val="center"/>
                </w:tcPr>
                <w:p>
                  <w:pPr>
                    <w:pStyle w:val="47"/>
                    <w:keepNext w:val="0"/>
                    <w:keepLines w:val="0"/>
                    <w:pageBreakBefore w:val="0"/>
                    <w:widowControl/>
                    <w:kinsoku/>
                    <w:wordWrap/>
                    <w:overflowPunct w:val="0"/>
                    <w:topLinePunct w:val="0"/>
                    <w:autoSpaceDE w:val="0"/>
                    <w:autoSpaceDN w:val="0"/>
                    <w:bidi w:val="0"/>
                    <w:adjustRightInd w:val="0"/>
                    <w:snapToGrid w:val="0"/>
                    <w:spacing w:before="0" w:after="0" w:line="240" w:lineRule="auto"/>
                    <w:ind w:firstLine="0" w:firstLineChars="0"/>
                    <w:jc w:val="center"/>
                    <w:textAlignment w:val="center"/>
                    <w:rPr>
                      <w:rFonts w:hint="eastAsia"/>
                      <w:i/>
                      <w:iCs/>
                      <w:color w:val="auto"/>
                      <w:lang w:val="en-US" w:eastAsia="zh-CN"/>
                    </w:rPr>
                  </w:pPr>
                  <w:r>
                    <w:rPr>
                      <w:rFonts w:hint="eastAsia"/>
                      <w:i/>
                      <w:iCs/>
                      <w:color w:val="auto"/>
                      <w:lang w:val="en-US" w:eastAsia="zh-CN"/>
                    </w:rPr>
                    <w:t>Corvidae</w:t>
                  </w:r>
                </w:p>
              </w:tc>
            </w:tr>
          </w:tbl>
          <w:p>
            <w:pPr>
              <w:pStyle w:val="5"/>
              <w:bidi w:val="0"/>
              <w:rPr>
                <w:rFonts w:hint="eastAsia"/>
                <w:color w:val="auto"/>
                <w:lang w:eastAsia="zh-CN"/>
              </w:rPr>
            </w:pPr>
            <w:r>
              <w:rPr>
                <w:rFonts w:hint="eastAsia"/>
                <w:color w:val="auto"/>
                <w:lang w:val="en-US" w:eastAsia="zh-CN"/>
              </w:rPr>
              <w:t>1.6</w:t>
            </w:r>
            <w:r>
              <w:rPr>
                <w:rFonts w:hint="eastAsia"/>
                <w:color w:val="auto"/>
                <w:lang w:eastAsia="zh-CN"/>
              </w:rPr>
              <w:t>土地利用现状</w:t>
            </w:r>
          </w:p>
          <w:p>
            <w:pPr>
              <w:bidi w:val="0"/>
              <w:rPr>
                <w:rFonts w:hint="eastAsia"/>
                <w:color w:val="auto"/>
                <w:lang w:eastAsia="zh-CN"/>
              </w:rPr>
            </w:pPr>
            <w:r>
              <w:rPr>
                <w:rFonts w:hint="eastAsia"/>
                <w:color w:val="auto"/>
              </w:rPr>
              <w:t>经现场实地调查，</w:t>
            </w:r>
            <w:r>
              <w:rPr>
                <w:rFonts w:hint="eastAsia"/>
                <w:color w:val="auto"/>
                <w:lang w:val="en-US" w:eastAsia="zh-CN"/>
              </w:rPr>
              <w:t>矿区</w:t>
            </w:r>
            <w:r>
              <w:rPr>
                <w:rFonts w:hint="eastAsia"/>
                <w:color w:val="auto"/>
              </w:rPr>
              <w:t>现状地面设施</w:t>
            </w:r>
            <w:r>
              <w:rPr>
                <w:rFonts w:hint="eastAsia"/>
                <w:color w:val="auto"/>
                <w:lang w:val="en-US" w:eastAsia="zh-CN"/>
              </w:rPr>
              <w:t>未建设</w:t>
            </w:r>
            <w:r>
              <w:rPr>
                <w:rFonts w:hint="eastAsia"/>
                <w:color w:val="auto"/>
              </w:rPr>
              <w:t>，</w:t>
            </w:r>
            <w:r>
              <w:rPr>
                <w:rFonts w:hint="eastAsia"/>
                <w:color w:val="auto"/>
                <w:lang w:val="en-US" w:eastAsia="zh-CN"/>
              </w:rPr>
              <w:t>现状</w:t>
            </w:r>
            <w:r>
              <w:rPr>
                <w:rFonts w:hint="eastAsia"/>
                <w:color w:val="auto"/>
              </w:rPr>
              <w:t>没有进行过采矿有关的活动，根据</w:t>
            </w:r>
            <w:r>
              <w:rPr>
                <w:rFonts w:hint="eastAsia"/>
                <w:color w:val="auto"/>
                <w:lang w:val="en-US" w:eastAsia="zh-CN"/>
              </w:rPr>
              <w:t>焉耆县</w:t>
            </w:r>
            <w:r>
              <w:rPr>
                <w:rFonts w:hint="eastAsia"/>
                <w:color w:val="auto"/>
              </w:rPr>
              <w:t>自然资源局提供的</w:t>
            </w:r>
            <w:r>
              <w:rPr>
                <w:rFonts w:hint="eastAsia"/>
                <w:color w:val="auto"/>
                <w:lang w:eastAsia="zh-CN"/>
              </w:rPr>
              <w:t>焉耆富华石业有限公司新疆焉耆县霍拉山14号饰面石材用花岗岩矿</w:t>
            </w:r>
            <w:r>
              <w:rPr>
                <w:rFonts w:hint="eastAsia"/>
                <w:color w:val="auto"/>
              </w:rPr>
              <w:t>土地利用现状图及权属证明文件，结合《土地利用现状分类》（GB/T21010-2017），地面工程布局占用土地类型为</w:t>
            </w:r>
            <w:r>
              <w:rPr>
                <w:rFonts w:hint="eastAsia"/>
                <w:color w:val="auto"/>
                <w:lang w:val="en-US" w:eastAsia="zh-CN"/>
              </w:rPr>
              <w:t>草地，</w:t>
            </w:r>
            <w:r>
              <w:rPr>
                <w:rFonts w:hint="eastAsia"/>
                <w:color w:val="auto"/>
                <w:lang w:eastAsia="zh-CN"/>
              </w:rPr>
              <w:t>总</w:t>
            </w:r>
            <w:r>
              <w:rPr>
                <w:rFonts w:hint="eastAsia"/>
                <w:color w:val="auto"/>
                <w:lang w:val="en-US" w:eastAsia="zh-CN"/>
              </w:rPr>
              <w:t>矿区划定范围138.41公顷，</w:t>
            </w:r>
            <w:r>
              <w:rPr>
                <w:rFonts w:hint="eastAsia"/>
                <w:color w:val="auto"/>
                <w:lang w:eastAsia="zh-CN"/>
              </w:rPr>
              <w:t>占地面积</w:t>
            </w:r>
            <w:r>
              <w:rPr>
                <w:color w:val="auto"/>
              </w:rPr>
              <w:t>24.67</w:t>
            </w:r>
            <w:r>
              <w:rPr>
                <w:rFonts w:hint="eastAsia"/>
                <w:color w:val="auto"/>
                <w:lang w:val="en-US" w:eastAsia="zh-CN"/>
              </w:rPr>
              <w:t>公顷</w:t>
            </w:r>
            <w:r>
              <w:rPr>
                <w:rFonts w:hint="eastAsia"/>
                <w:color w:val="auto"/>
                <w:lang w:eastAsia="zh-CN"/>
              </w:rPr>
              <w:t>，</w:t>
            </w:r>
            <w:r>
              <w:rPr>
                <w:rFonts w:hint="eastAsia"/>
                <w:color w:val="auto"/>
              </w:rPr>
              <w:t>土地权属为国有</w:t>
            </w:r>
            <w:r>
              <w:rPr>
                <w:rFonts w:hint="eastAsia"/>
                <w:color w:val="auto"/>
                <w:lang w:eastAsia="zh-CN"/>
              </w:rPr>
              <w:t>，</w:t>
            </w:r>
            <w:r>
              <w:rPr>
                <w:rFonts w:hint="eastAsia"/>
                <w:color w:val="auto"/>
                <w:lang w:val="en-US" w:eastAsia="zh-CN"/>
              </w:rPr>
              <w:t>详见附图10</w:t>
            </w:r>
            <w:r>
              <w:rPr>
                <w:rFonts w:hint="eastAsia"/>
                <w:color w:val="auto"/>
                <w:lang w:eastAsia="zh-CN"/>
              </w:rPr>
              <w:t>。</w:t>
            </w:r>
          </w:p>
          <w:p>
            <w:pPr>
              <w:pStyle w:val="5"/>
              <w:bidi w:val="0"/>
              <w:rPr>
                <w:rFonts w:hint="default" w:eastAsia="宋体"/>
                <w:color w:val="auto"/>
                <w:lang w:val="en-US" w:eastAsia="zh-CN"/>
              </w:rPr>
            </w:pPr>
            <w:r>
              <w:rPr>
                <w:rFonts w:hint="eastAsia"/>
                <w:color w:val="auto"/>
                <w:lang w:val="en-US" w:eastAsia="zh-CN"/>
              </w:rPr>
              <w:t>1.7</w:t>
            </w:r>
            <w:r>
              <w:rPr>
                <w:rFonts w:hint="default"/>
                <w:color w:val="auto"/>
              </w:rPr>
              <w:t>水土流失现状</w:t>
            </w:r>
            <w:r>
              <w:rPr>
                <w:rFonts w:hint="eastAsia"/>
                <w:color w:val="auto"/>
                <w:lang w:val="en-US" w:eastAsia="zh-CN"/>
              </w:rPr>
              <w:t>与评价</w:t>
            </w:r>
          </w:p>
          <w:p>
            <w:pPr>
              <w:bidi w:val="0"/>
              <w:rPr>
                <w:rFonts w:hint="default"/>
                <w:color w:val="auto"/>
                <w:lang w:val="en-US" w:eastAsia="zh-CN"/>
              </w:rPr>
            </w:pPr>
            <w:r>
              <w:rPr>
                <w:rFonts w:hint="eastAsia"/>
                <w:color w:val="auto"/>
                <w:lang w:val="en-US" w:eastAsia="zh-CN"/>
              </w:rPr>
              <w:t>本项目位于新疆维吾尔自治区巴音郭楞蒙古自治州焉耆回族自治县，根据水利部办公厅关于印发《全国水土保持规划国家级水土流失重点预防区和重点治理区复核划分成果的通知》（办水保〔2013〕188号）和新疆维吾尔自治区水利厅关于印发《新疆自治区级水土流失重点预防区和重点治理区复核划分成果的通知》（新水水保〔2019〕4号），本项目不属于水土流失重点预防区和重点治理区。同时结合新疆维吾尔自治区2023年水土流失动态监测年报，2024年焉耆回族自治县水土流失面积329.37km</w:t>
            </w:r>
            <w:r>
              <w:rPr>
                <w:rFonts w:hint="eastAsia"/>
                <w:color w:val="auto"/>
                <w:vertAlign w:val="superscript"/>
                <w:lang w:val="en-US" w:eastAsia="zh-CN"/>
              </w:rPr>
              <w:t>2</w:t>
            </w:r>
            <w:r>
              <w:rPr>
                <w:rFonts w:hint="eastAsia"/>
                <w:color w:val="auto"/>
                <w:lang w:val="en-US" w:eastAsia="zh-CN"/>
              </w:rPr>
              <w:t>，占全县土地总面积13.56%。其中水力侵蚀面积为291.85km</w:t>
            </w:r>
            <w:r>
              <w:rPr>
                <w:rFonts w:hint="eastAsia"/>
                <w:color w:val="auto"/>
                <w:vertAlign w:val="superscript"/>
                <w:lang w:val="en-US" w:eastAsia="zh-CN"/>
              </w:rPr>
              <w:t>2</w:t>
            </w:r>
            <w:r>
              <w:rPr>
                <w:rFonts w:hint="eastAsia"/>
                <w:color w:val="auto"/>
                <w:lang w:val="en-US" w:eastAsia="zh-CN"/>
              </w:rPr>
              <w:t>，占水土流失面积的88.61%；风力侵蚀面积为37.52km</w:t>
            </w:r>
            <w:r>
              <w:rPr>
                <w:rFonts w:hint="eastAsia"/>
                <w:color w:val="auto"/>
                <w:vertAlign w:val="superscript"/>
                <w:lang w:val="en-US" w:eastAsia="zh-CN"/>
              </w:rPr>
              <w:t>2</w:t>
            </w:r>
            <w:r>
              <w:rPr>
                <w:rFonts w:hint="eastAsia"/>
                <w:color w:val="auto"/>
                <w:lang w:val="en-US" w:eastAsia="zh-CN"/>
              </w:rPr>
              <w:t>，占水土流失面积的11.39%。焉耆回族自治县2024年水土流失面积比2023年减少了3.23km</w:t>
            </w:r>
            <w:r>
              <w:rPr>
                <w:rFonts w:hint="eastAsia"/>
                <w:color w:val="auto"/>
                <w:vertAlign w:val="superscript"/>
                <w:lang w:val="en-US" w:eastAsia="zh-CN"/>
              </w:rPr>
              <w:t>2</w:t>
            </w:r>
            <w:r>
              <w:rPr>
                <w:rFonts w:hint="eastAsia"/>
                <w:color w:val="auto"/>
                <w:lang w:val="en-US" w:eastAsia="zh-CN"/>
              </w:rPr>
              <w:t>，本项目位于轻度侵蚀区域。</w:t>
            </w:r>
          </w:p>
          <w:p>
            <w:pPr>
              <w:pStyle w:val="5"/>
              <w:rPr>
                <w:color w:val="auto"/>
              </w:rPr>
            </w:pPr>
            <w:r>
              <w:rPr>
                <w:rFonts w:hint="eastAsia"/>
                <w:color w:val="auto"/>
                <w:lang w:val="en-US" w:eastAsia="zh-CN"/>
              </w:rPr>
              <w:t>2、</w:t>
            </w:r>
            <w:r>
              <w:rPr>
                <w:color w:val="auto"/>
              </w:rPr>
              <w:t>大气环境质量现状</w:t>
            </w:r>
          </w:p>
          <w:bookmarkEnd w:id="4"/>
          <w:p>
            <w:pPr>
              <w:pStyle w:val="5"/>
              <w:rPr>
                <w:color w:val="auto"/>
              </w:rPr>
            </w:pPr>
            <w:r>
              <w:rPr>
                <w:rFonts w:hint="eastAsia"/>
                <w:color w:val="auto"/>
                <w:lang w:val="en-US" w:eastAsia="zh-CN"/>
              </w:rPr>
              <w:t>2</w:t>
            </w:r>
            <w:r>
              <w:rPr>
                <w:rFonts w:hint="eastAsia"/>
                <w:color w:val="auto"/>
              </w:rPr>
              <w:t>.1基本污染物达标区判定</w:t>
            </w:r>
          </w:p>
          <w:p>
            <w:pPr>
              <w:ind w:firstLine="480"/>
              <w:rPr>
                <w:color w:val="auto"/>
              </w:rPr>
            </w:pPr>
            <w:r>
              <w:rPr>
                <w:rFonts w:hint="eastAsia"/>
                <w:color w:val="auto"/>
              </w:rPr>
              <w:t>根据《巴音郭楞蒙古自治州2024年生态环境状况公报》中的空气环境质量：2024年，全州空气质量综合指数为5.22，同比下降7.9%，空气质量明显好于2023年。全州平均优良天数比例为62%，同比增加15.7%，PM</w:t>
            </w:r>
            <w:r>
              <w:rPr>
                <w:rFonts w:hint="eastAsia"/>
                <w:color w:val="auto"/>
                <w:vertAlign w:val="subscript"/>
              </w:rPr>
              <w:t>10</w:t>
            </w:r>
            <w:r>
              <w:rPr>
                <w:rFonts w:hint="eastAsia"/>
                <w:color w:val="auto"/>
              </w:rPr>
              <w:t>为首要污染物，未出现PM</w:t>
            </w:r>
            <w:r>
              <w:rPr>
                <w:rFonts w:hint="eastAsia"/>
                <w:color w:val="auto"/>
                <w:vertAlign w:val="subscript"/>
              </w:rPr>
              <w:t>2.5</w:t>
            </w:r>
            <w:r>
              <w:rPr>
                <w:rFonts w:hint="eastAsia"/>
                <w:color w:val="auto"/>
              </w:rPr>
              <w:t>、O</w:t>
            </w:r>
            <w:r>
              <w:rPr>
                <w:rFonts w:hint="eastAsia"/>
                <w:color w:val="auto"/>
                <w:vertAlign w:val="subscript"/>
              </w:rPr>
              <w:t>3</w:t>
            </w:r>
            <w:r>
              <w:rPr>
                <w:rFonts w:hint="eastAsia"/>
                <w:color w:val="auto"/>
              </w:rPr>
              <w:t>-8h、SO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、CO为首要污染物的超标天。因此判断本项目所在区域为不达标区，不达标因子为PM</w:t>
            </w:r>
            <w:r>
              <w:rPr>
                <w:rFonts w:hint="eastAsia"/>
                <w:color w:val="auto"/>
                <w:vertAlign w:val="subscript"/>
              </w:rPr>
              <w:t>10</w:t>
            </w:r>
            <w:r>
              <w:rPr>
                <w:color w:val="auto"/>
              </w:rPr>
              <w:t>。</w:t>
            </w:r>
          </w:p>
          <w:p>
            <w:pPr>
              <w:pStyle w:val="5"/>
              <w:rPr>
                <w:color w:val="auto"/>
              </w:rPr>
            </w:pPr>
            <w:r>
              <w:rPr>
                <w:rFonts w:hint="eastAsia"/>
                <w:color w:val="auto"/>
                <w:lang w:val="en-US" w:eastAsia="zh-CN"/>
              </w:rPr>
              <w:t>2</w:t>
            </w:r>
            <w:r>
              <w:rPr>
                <w:rFonts w:hint="eastAsia"/>
                <w:color w:val="auto"/>
              </w:rPr>
              <w:t>.2</w:t>
            </w:r>
            <w:r>
              <w:rPr>
                <w:color w:val="auto"/>
              </w:rPr>
              <w:t>其他污染物质量现状</w:t>
            </w:r>
          </w:p>
          <w:p>
            <w:pPr>
              <w:ind w:firstLine="480"/>
              <w:rPr>
                <w:color w:val="auto"/>
              </w:rPr>
            </w:pPr>
            <w:r>
              <w:rPr>
                <w:color w:val="auto"/>
              </w:rPr>
              <w:t>根据《</w:t>
            </w:r>
            <w:r>
              <w:rPr>
                <w:rFonts w:hint="eastAsia"/>
                <w:color w:val="auto"/>
                <w:lang w:eastAsia="zh-CN"/>
              </w:rPr>
              <w:t>建设项目环境影响报告表编制技术指南</w:t>
            </w:r>
            <w:r>
              <w:rPr>
                <w:color w:val="auto"/>
              </w:rPr>
              <w:t>》（</w:t>
            </w:r>
            <w:r>
              <w:rPr>
                <w:rFonts w:hint="eastAsia"/>
                <w:color w:val="auto"/>
                <w:lang w:eastAsia="zh-CN"/>
              </w:rPr>
              <w:t>污染类</w:t>
            </w:r>
            <w:r>
              <w:rPr>
                <w:color w:val="auto"/>
              </w:rPr>
              <w:t>）</w:t>
            </w:r>
            <w:r>
              <w:rPr>
                <w:rFonts w:hint="eastAsia"/>
                <w:color w:val="auto"/>
                <w:lang w:eastAsia="zh-CN"/>
              </w:rPr>
              <w:t>（试行）</w:t>
            </w:r>
            <w:r>
              <w:rPr>
                <w:color w:val="auto"/>
              </w:rPr>
              <w:t>要求，</w:t>
            </w:r>
            <w:r>
              <w:rPr>
                <w:rFonts w:hint="eastAsia"/>
                <w:color w:val="auto"/>
                <w:lang w:val="en-US" w:eastAsia="zh-CN"/>
              </w:rPr>
              <w:t>本项目引用新疆焉者县霍拉山13号花岗岩矿建设项目环境质量现状监测数据</w:t>
            </w:r>
            <w:r>
              <w:rPr>
                <w:color w:val="auto"/>
              </w:rPr>
              <w:t>。</w:t>
            </w:r>
          </w:p>
          <w:p>
            <w:pPr>
              <w:ind w:firstLine="480"/>
              <w:rPr>
                <w:color w:val="auto"/>
              </w:rPr>
            </w:pPr>
            <w:r>
              <w:rPr>
                <w:color w:val="auto"/>
              </w:rPr>
              <w:t>（1）监测地点、监测因子</w:t>
            </w:r>
          </w:p>
          <w:p>
            <w:pPr>
              <w:bidi w:val="0"/>
              <w:rPr>
                <w:color w:val="auto"/>
              </w:rPr>
            </w:pPr>
            <w:r>
              <w:rPr>
                <w:color w:val="auto"/>
              </w:rPr>
              <w:t>监测地点：</w:t>
            </w:r>
            <w:r>
              <w:rPr>
                <w:rFonts w:hint="eastAsia"/>
                <w:color w:val="auto"/>
              </w:rPr>
              <w:t>东经：</w:t>
            </w:r>
            <w:r>
              <w:rPr>
                <w:rFonts w:hint="default" w:ascii="Times New Roman" w:hAnsi="Times New Roman" w:cs="Times New Roman"/>
                <w:color w:val="auto"/>
              </w:rPr>
              <w:t>85°48'52.93"</w:t>
            </w:r>
            <w:r>
              <w:rPr>
                <w:rFonts w:hint="eastAsia"/>
                <w:color w:val="auto"/>
              </w:rPr>
              <w:t>，北纬：</w:t>
            </w:r>
            <w:r>
              <w:rPr>
                <w:rFonts w:hint="default" w:ascii="Times New Roman" w:hAnsi="Times New Roman" w:cs="Times New Roman"/>
                <w:color w:val="auto"/>
              </w:rPr>
              <w:t>42°05'51.84"</w:t>
            </w:r>
            <w:r>
              <w:rPr>
                <w:rFonts w:hint="eastAsia"/>
                <w:color w:val="auto"/>
                <w:lang w:eastAsia="zh-CN"/>
              </w:rPr>
              <w:t>，</w:t>
            </w:r>
            <w:r>
              <w:rPr>
                <w:rFonts w:hint="eastAsia"/>
                <w:color w:val="auto"/>
                <w:lang w:val="en-US" w:eastAsia="zh-CN"/>
              </w:rPr>
              <w:t>位于本项目北侧1.5km处，</w:t>
            </w:r>
            <w:r>
              <w:rPr>
                <w:color w:val="auto"/>
              </w:rPr>
              <w:t>监测点位详见附图</w:t>
            </w:r>
            <w:r>
              <w:rPr>
                <w:rFonts w:hint="eastAsia"/>
                <w:color w:val="auto"/>
                <w:lang w:val="en-US" w:eastAsia="zh-CN"/>
              </w:rPr>
              <w:t>7</w:t>
            </w:r>
            <w:r>
              <w:rPr>
                <w:color w:val="auto"/>
              </w:rPr>
              <w:t>。</w:t>
            </w:r>
          </w:p>
          <w:p>
            <w:pPr>
              <w:bidi w:val="0"/>
              <w:rPr>
                <w:color w:val="auto"/>
              </w:rPr>
            </w:pPr>
            <w:r>
              <w:rPr>
                <w:color w:val="auto"/>
              </w:rPr>
              <w:t>其他污染因子：</w:t>
            </w:r>
            <w:r>
              <w:rPr>
                <w:rFonts w:hint="eastAsia"/>
                <w:color w:val="auto"/>
                <w:lang w:eastAsia="zh-CN"/>
              </w:rPr>
              <w:t>总悬浮颗粒物</w:t>
            </w:r>
          </w:p>
          <w:p>
            <w:pPr>
              <w:bidi w:val="0"/>
              <w:rPr>
                <w:color w:val="auto"/>
              </w:rPr>
            </w:pPr>
            <w:r>
              <w:rPr>
                <w:color w:val="auto"/>
              </w:rPr>
              <w:t>（2）采样及分析方法</w:t>
            </w:r>
          </w:p>
          <w:p>
            <w:pPr>
              <w:ind w:firstLine="480"/>
              <w:rPr>
                <w:color w:val="auto"/>
              </w:rPr>
            </w:pPr>
            <w:r>
              <w:rPr>
                <w:color w:val="auto"/>
              </w:rPr>
              <w:t>采样方法和分析方法《环境空气 总悬浮颗粒物的测定 重量法》（GB/T15432-1995）。</w:t>
            </w:r>
          </w:p>
          <w:p>
            <w:pPr>
              <w:bidi w:val="0"/>
              <w:rPr>
                <w:color w:val="auto"/>
              </w:rPr>
            </w:pPr>
            <w:r>
              <w:rPr>
                <w:color w:val="auto"/>
              </w:rPr>
              <w:t>（3）监测时间及频率</w:t>
            </w:r>
          </w:p>
          <w:p>
            <w:pPr>
              <w:bidi w:val="0"/>
              <w:rPr>
                <w:color w:val="auto"/>
              </w:rPr>
            </w:pPr>
            <w:r>
              <w:rPr>
                <w:color w:val="auto"/>
              </w:rPr>
              <w:t>监测频率：</w:t>
            </w:r>
            <w:r>
              <w:rPr>
                <w:rFonts w:hint="eastAsia"/>
                <w:color w:val="auto"/>
                <w:lang w:eastAsia="zh-CN"/>
              </w:rPr>
              <w:t>总悬浮颗粒物</w:t>
            </w:r>
            <w:r>
              <w:rPr>
                <w:color w:val="auto"/>
              </w:rPr>
              <w:t>连续检测</w:t>
            </w:r>
            <w:r>
              <w:rPr>
                <w:rFonts w:hint="eastAsia"/>
                <w:color w:val="auto"/>
              </w:rPr>
              <w:t>3</w:t>
            </w:r>
            <w:r>
              <w:rPr>
                <w:color w:val="auto"/>
              </w:rPr>
              <w:t>天。</w:t>
            </w:r>
          </w:p>
          <w:p>
            <w:pPr>
              <w:bidi w:val="0"/>
              <w:rPr>
                <w:color w:val="auto"/>
              </w:rPr>
            </w:pPr>
            <w:r>
              <w:rPr>
                <w:color w:val="auto"/>
                <w:lang w:val="de-DE"/>
              </w:rPr>
              <w:t>监测时间：</w:t>
            </w:r>
            <w:r>
              <w:rPr>
                <w:rFonts w:hint="eastAsia"/>
                <w:color w:val="auto"/>
                <w:lang w:val="de-DE" w:eastAsia="zh-CN"/>
              </w:rPr>
              <w:t>2023年</w:t>
            </w:r>
            <w:r>
              <w:rPr>
                <w:rFonts w:hint="eastAsia"/>
                <w:color w:val="auto"/>
                <w:lang w:val="en-US" w:eastAsia="zh-CN"/>
              </w:rPr>
              <w:t>7</w:t>
            </w:r>
            <w:r>
              <w:rPr>
                <w:rFonts w:hint="eastAsia"/>
                <w:color w:val="auto"/>
                <w:lang w:val="de-DE" w:eastAsia="zh-CN"/>
              </w:rPr>
              <w:t>月</w:t>
            </w:r>
            <w:r>
              <w:rPr>
                <w:rFonts w:hint="eastAsia"/>
                <w:color w:val="auto"/>
                <w:lang w:val="en-US" w:eastAsia="zh-CN"/>
              </w:rPr>
              <w:t>28</w:t>
            </w:r>
            <w:r>
              <w:rPr>
                <w:rFonts w:hint="eastAsia"/>
                <w:color w:val="auto"/>
                <w:lang w:val="de-DE" w:eastAsia="zh-CN"/>
              </w:rPr>
              <w:t>日</w:t>
            </w:r>
            <w:r>
              <w:rPr>
                <w:color w:val="auto"/>
                <w:lang w:val="de-DE"/>
              </w:rPr>
              <w:t>～</w:t>
            </w:r>
            <w:r>
              <w:rPr>
                <w:rFonts w:hint="eastAsia"/>
                <w:color w:val="auto"/>
                <w:lang w:val="en-US" w:eastAsia="zh-CN"/>
              </w:rPr>
              <w:t>7</w:t>
            </w:r>
            <w:r>
              <w:rPr>
                <w:rFonts w:hint="eastAsia"/>
                <w:color w:val="auto"/>
                <w:lang w:val="de-DE" w:eastAsia="zh-CN"/>
              </w:rPr>
              <w:t>月</w:t>
            </w:r>
            <w:r>
              <w:rPr>
                <w:rFonts w:hint="eastAsia"/>
                <w:color w:val="auto"/>
                <w:lang w:val="en-US" w:eastAsia="zh-CN"/>
              </w:rPr>
              <w:t>30</w:t>
            </w:r>
            <w:r>
              <w:rPr>
                <w:rFonts w:hint="eastAsia"/>
                <w:color w:val="auto"/>
                <w:lang w:val="de-DE" w:eastAsia="zh-CN"/>
              </w:rPr>
              <w:t>日</w:t>
            </w:r>
            <w:r>
              <w:rPr>
                <w:color w:val="auto"/>
                <w:lang w:val="de-DE"/>
              </w:rPr>
              <w:t>。</w:t>
            </w:r>
          </w:p>
          <w:p>
            <w:pPr>
              <w:bidi w:val="0"/>
              <w:rPr>
                <w:color w:val="auto"/>
              </w:rPr>
            </w:pPr>
            <w:bookmarkStart w:id="5" w:name="_Toc28617"/>
            <w:r>
              <w:rPr>
                <w:color w:val="auto"/>
              </w:rPr>
              <w:t>（4）评价标准</w:t>
            </w:r>
            <w:bookmarkEnd w:id="5"/>
          </w:p>
          <w:p>
            <w:pPr>
              <w:bidi w:val="0"/>
              <w:rPr>
                <w:rFonts w:ascii="Times New Roman" w:hAnsi="Times New Roman" w:eastAsia="宋体" w:cs="Times New Roman"/>
                <w:color w:val="auto"/>
              </w:rPr>
            </w:pPr>
            <w:bookmarkStart w:id="6" w:name="_Toc311744203"/>
            <w:r>
              <w:rPr>
                <w:rFonts w:hint="eastAsia" w:ascii="Times New Roman" w:hAnsi="Times New Roman" w:eastAsia="宋体" w:cs="Times New Roman"/>
                <w:color w:val="auto"/>
                <w:lang w:eastAsia="zh-CN"/>
              </w:rPr>
              <w:t>总悬浮颗粒物</w:t>
            </w:r>
            <w:r>
              <w:rPr>
                <w:rFonts w:ascii="Times New Roman" w:hAnsi="Times New Roman" w:eastAsia="宋体" w:cs="Times New Roman"/>
                <w:color w:val="auto"/>
              </w:rPr>
              <w:t>执行《环境空气质量标准》（GB3095-2012）二级标准限值。</w:t>
            </w:r>
          </w:p>
          <w:p>
            <w:pPr>
              <w:bidi w:val="0"/>
              <w:rPr>
                <w:color w:val="auto"/>
              </w:rPr>
            </w:pPr>
            <w:bookmarkStart w:id="7" w:name="_Toc12004"/>
            <w:r>
              <w:rPr>
                <w:color w:val="auto"/>
              </w:rPr>
              <w:t>（5）评价方法</w:t>
            </w:r>
            <w:bookmarkEnd w:id="7"/>
          </w:p>
          <w:p>
            <w:pPr>
              <w:ind w:firstLine="480"/>
              <w:rPr>
                <w:rFonts w:hint="eastAsia"/>
                <w:color w:val="auto"/>
              </w:rPr>
            </w:pPr>
            <w:r>
              <w:rPr>
                <w:rFonts w:hint="eastAsia"/>
                <w:color w:val="auto"/>
              </w:rPr>
              <w:t>采用最大占标百分比，计算公式为：</w:t>
            </w:r>
          </w:p>
          <w:p>
            <w:pPr>
              <w:ind w:firstLine="480"/>
              <w:jc w:val="center"/>
              <w:rPr>
                <w:rFonts w:hint="eastAsia"/>
                <w:color w:val="auto"/>
              </w:rPr>
            </w:pPr>
            <w:r>
              <w:rPr>
                <w:rFonts w:hint="eastAsia"/>
                <w:color w:val="auto"/>
              </w:rPr>
              <w:t>P</w:t>
            </w:r>
            <w:r>
              <w:rPr>
                <w:rFonts w:hint="eastAsia"/>
                <w:color w:val="auto"/>
                <w:vertAlign w:val="subscript"/>
              </w:rPr>
              <w:t>i</w:t>
            </w:r>
            <w:r>
              <w:rPr>
                <w:rFonts w:hint="eastAsia"/>
                <w:color w:val="auto"/>
              </w:rPr>
              <w:t xml:space="preserve"> = C</w:t>
            </w:r>
            <w:r>
              <w:rPr>
                <w:rFonts w:hint="eastAsia"/>
                <w:color w:val="auto"/>
                <w:vertAlign w:val="subscript"/>
              </w:rPr>
              <w:t>i</w:t>
            </w:r>
            <w:r>
              <w:rPr>
                <w:rFonts w:hint="eastAsia"/>
                <w:color w:val="auto"/>
              </w:rPr>
              <w:t>/ C</w:t>
            </w:r>
            <w:r>
              <w:rPr>
                <w:rFonts w:hint="eastAsia"/>
                <w:color w:val="auto"/>
                <w:vertAlign w:val="subscript"/>
              </w:rPr>
              <w:t>oi</w:t>
            </w:r>
            <w:r>
              <w:rPr>
                <w:rFonts w:hint="eastAsia"/>
                <w:color w:val="auto"/>
              </w:rPr>
              <w:t>×100%</w:t>
            </w:r>
          </w:p>
          <w:p>
            <w:pPr>
              <w:ind w:firstLine="480"/>
              <w:rPr>
                <w:rFonts w:hint="eastAsia"/>
                <w:color w:val="auto"/>
              </w:rPr>
            </w:pPr>
            <w:r>
              <w:rPr>
                <w:rFonts w:hint="eastAsia"/>
                <w:color w:val="auto"/>
              </w:rPr>
              <w:t>式中P</w:t>
            </w:r>
            <w:r>
              <w:rPr>
                <w:rFonts w:hint="eastAsia"/>
                <w:color w:val="auto"/>
                <w:vertAlign w:val="subscript"/>
              </w:rPr>
              <w:t>i</w:t>
            </w:r>
            <w:r>
              <w:rPr>
                <w:rFonts w:hint="eastAsia"/>
                <w:color w:val="auto"/>
              </w:rPr>
              <w:t>——i评价因子最大占标百分比，%；</w:t>
            </w:r>
          </w:p>
          <w:p>
            <w:pPr>
              <w:ind w:firstLine="480"/>
              <w:rPr>
                <w:rFonts w:hint="eastAsia"/>
                <w:color w:val="auto"/>
              </w:rPr>
            </w:pPr>
            <w:r>
              <w:rPr>
                <w:rFonts w:hint="eastAsia"/>
                <w:color w:val="auto"/>
              </w:rPr>
              <w:t xml:space="preserve">    C</w:t>
            </w:r>
            <w:r>
              <w:rPr>
                <w:rFonts w:hint="eastAsia"/>
                <w:color w:val="auto"/>
                <w:vertAlign w:val="subscript"/>
              </w:rPr>
              <w:t>i</w:t>
            </w:r>
            <w:r>
              <w:rPr>
                <w:rFonts w:hint="eastAsia"/>
                <w:color w:val="auto"/>
              </w:rPr>
              <w:t>——i评价因子最大监测浓度，mg/m</w:t>
            </w:r>
            <w:r>
              <w:rPr>
                <w:rFonts w:hint="eastAsia"/>
                <w:color w:val="auto"/>
                <w:vertAlign w:val="superscript"/>
              </w:rPr>
              <w:t>3</w:t>
            </w:r>
            <w:r>
              <w:rPr>
                <w:rFonts w:hint="eastAsia"/>
                <w:color w:val="auto"/>
              </w:rPr>
              <w:t>；</w:t>
            </w:r>
          </w:p>
          <w:p>
            <w:pPr>
              <w:ind w:firstLine="480"/>
              <w:rPr>
                <w:rFonts w:hint="eastAsia"/>
                <w:color w:val="auto"/>
              </w:rPr>
            </w:pPr>
            <w:r>
              <w:rPr>
                <w:rFonts w:hint="eastAsia"/>
                <w:color w:val="auto"/>
              </w:rPr>
              <w:t xml:space="preserve">    C</w:t>
            </w:r>
            <w:r>
              <w:rPr>
                <w:rFonts w:hint="eastAsia"/>
                <w:color w:val="auto"/>
                <w:vertAlign w:val="subscript"/>
              </w:rPr>
              <w:t>oi</w:t>
            </w:r>
            <w:r>
              <w:rPr>
                <w:rFonts w:hint="eastAsia"/>
                <w:color w:val="auto"/>
              </w:rPr>
              <w:t>——i评价因子评价标准，mg/m</w:t>
            </w:r>
            <w:r>
              <w:rPr>
                <w:rFonts w:hint="eastAsia"/>
                <w:color w:val="auto"/>
                <w:vertAlign w:val="superscript"/>
              </w:rPr>
              <w:t>3</w:t>
            </w:r>
            <w:r>
              <w:rPr>
                <w:rFonts w:hint="eastAsia"/>
                <w:color w:val="auto"/>
              </w:rPr>
              <w:t>；</w:t>
            </w:r>
          </w:p>
          <w:p>
            <w:pPr>
              <w:ind w:firstLine="480"/>
              <w:rPr>
                <w:color w:val="auto"/>
              </w:rPr>
            </w:pPr>
            <w:r>
              <w:rPr>
                <w:rFonts w:hint="eastAsia"/>
                <w:color w:val="auto"/>
              </w:rPr>
              <w:t>根据结果，当Pi≤1时，表示大气中该污染物浓度不超标；当Pi＞1时，表示大气中该污染物浓度超过评价标准</w:t>
            </w:r>
            <w:r>
              <w:rPr>
                <w:color w:val="auto"/>
              </w:rPr>
              <w:t>。</w:t>
            </w:r>
          </w:p>
          <w:p>
            <w:pPr>
              <w:ind w:firstLine="480"/>
              <w:rPr>
                <w:color w:val="auto"/>
              </w:rPr>
            </w:pPr>
            <w:r>
              <w:rPr>
                <w:color w:val="auto"/>
              </w:rPr>
              <w:t>（6）评价结果及结论</w:t>
            </w:r>
          </w:p>
          <w:bookmarkEnd w:id="6"/>
          <w:p>
            <w:pPr>
              <w:pStyle w:val="7"/>
              <w:bidi w:val="0"/>
              <w:rPr>
                <w:color w:val="auto"/>
              </w:rPr>
            </w:pPr>
            <w:r>
              <w:rPr>
                <w:color w:val="auto"/>
              </w:rPr>
              <w:t>表</w:t>
            </w:r>
            <w:r>
              <w:rPr>
                <w:rFonts w:hint="eastAsia"/>
                <w:color w:val="auto"/>
                <w:lang w:val="en-US" w:eastAsia="zh-CN"/>
              </w:rPr>
              <w:t>3-4</w:t>
            </w:r>
            <w:r>
              <w:rPr>
                <w:rFonts w:hint="eastAsia"/>
                <w:color w:val="auto"/>
              </w:rPr>
              <w:t xml:space="preserve">  </w:t>
            </w:r>
            <w:r>
              <w:rPr>
                <w:color w:val="auto"/>
              </w:rPr>
              <w:t xml:space="preserve">       </w:t>
            </w:r>
            <w:r>
              <w:rPr>
                <w:rFonts w:hint="eastAsia"/>
                <w:color w:val="auto"/>
              </w:rPr>
              <w:t xml:space="preserve">    </w:t>
            </w:r>
            <w:r>
              <w:rPr>
                <w:color w:val="auto"/>
              </w:rPr>
              <w:t xml:space="preserve">  项目区环境空气质量评价结果统计表</w:t>
            </w:r>
          </w:p>
          <w:tbl>
            <w:tblPr>
              <w:tblStyle w:val="31"/>
              <w:tblW w:w="78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059"/>
              <w:gridCol w:w="1194"/>
              <w:gridCol w:w="671"/>
              <w:gridCol w:w="701"/>
              <w:gridCol w:w="1056"/>
              <w:gridCol w:w="1174"/>
              <w:gridCol w:w="649"/>
              <w:gridCol w:w="573"/>
              <w:gridCol w:w="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0"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监测点位</w:t>
                  </w:r>
                </w:p>
              </w:tc>
              <w:tc>
                <w:tcPr>
                  <w:tcW w:w="2253" w:type="dxa"/>
                  <w:gridSpan w:val="2"/>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监测点位坐标/m</w:t>
                  </w:r>
                </w:p>
              </w:tc>
              <w:tc>
                <w:tcPr>
                  <w:tcW w:w="671"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w:t>
                  </w:r>
                </w:p>
              </w:tc>
              <w:tc>
                <w:tcPr>
                  <w:tcW w:w="701"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平均时间</w:t>
                  </w:r>
                </w:p>
              </w:tc>
              <w:tc>
                <w:tcPr>
                  <w:tcW w:w="1056"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评价</w:t>
                  </w:r>
                  <w:r>
                    <w:rPr>
                      <w:rFonts w:hint="eastAsia" w:ascii="Times New Roman" w:hAnsi="Times New Roman" w:eastAsia="宋体" w:cs="Times New Roman"/>
                      <w:color w:val="auto"/>
                      <w:lang w:val="en-US" w:eastAsia="zh-CN"/>
                    </w:rPr>
                    <w:t>标准/（m</w:t>
                  </w:r>
                  <w:r>
                    <w:rPr>
                      <w:rFonts w:hint="default" w:ascii="Times New Roman" w:hAnsi="Times New Roman" w:eastAsia="宋体" w:cs="Times New Roman"/>
                      <w:color w:val="auto"/>
                      <w:lang w:val="en-US" w:eastAsia="zh-CN"/>
                    </w:rPr>
                    <w:t>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tc>
              <w:tc>
                <w:tcPr>
                  <w:tcW w:w="1174"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监测浓度范围/（m</w:t>
                  </w:r>
                  <w:r>
                    <w:rPr>
                      <w:rFonts w:hint="default" w:ascii="Times New Roman" w:hAnsi="Times New Roman" w:eastAsia="宋体" w:cs="Times New Roman"/>
                      <w:color w:val="auto"/>
                      <w:lang w:val="en-US" w:eastAsia="zh-CN"/>
                    </w:rPr>
                    <w:t>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tc>
              <w:tc>
                <w:tcPr>
                  <w:tcW w:w="649"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最大浓度</w:t>
                  </w:r>
                  <w:r>
                    <w:rPr>
                      <w:rFonts w:hint="default" w:ascii="Times New Roman" w:hAnsi="Times New Roman" w:eastAsia="宋体" w:cs="Times New Roman"/>
                      <w:color w:val="auto"/>
                      <w:lang w:val="en-US" w:eastAsia="zh-CN"/>
                    </w:rPr>
                    <w:t>占标率</w:t>
                  </w:r>
                  <w:r>
                    <w:rPr>
                      <w:rFonts w:hint="eastAsia" w:ascii="Times New Roman" w:hAnsi="Times New Roman" w:eastAsia="宋体" w:cs="Times New Roman"/>
                      <w:color w:val="auto"/>
                      <w:lang w:val="en-US" w:eastAsia="zh-CN"/>
                    </w:rPr>
                    <w:t>%</w:t>
                  </w:r>
                </w:p>
              </w:tc>
              <w:tc>
                <w:tcPr>
                  <w:tcW w:w="573"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超标</w:t>
                  </w:r>
                  <w:r>
                    <w:rPr>
                      <w:rFonts w:hint="eastAsia" w:ascii="Times New Roman" w:hAnsi="Times New Roman" w:eastAsia="宋体" w:cs="Times New Roman"/>
                      <w:color w:val="auto"/>
                      <w:lang w:val="en-US" w:eastAsia="zh-CN"/>
                    </w:rPr>
                    <w:t>率%</w:t>
                  </w:r>
                </w:p>
              </w:tc>
              <w:tc>
                <w:tcPr>
                  <w:tcW w:w="411" w:type="dxa"/>
                  <w:vMerge w:val="restart"/>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0" w:type="dxa"/>
                  <w:vMerge w:val="continue"/>
                  <w:tcBorders>
                    <w:tl2br w:val="nil"/>
                    <w:tr2bl w:val="nil"/>
                  </w:tcBorders>
                  <w:noWrap w:val="0"/>
                  <w:vAlign w:val="center"/>
                </w:tcPr>
                <w:p>
                  <w:pPr>
                    <w:pStyle w:val="2"/>
                    <w:rPr>
                      <w:rFonts w:hint="eastAsia" w:ascii="Times New Roman" w:hAnsi="Times New Roman" w:eastAsia="宋体" w:cs="Times New Roman"/>
                      <w:color w:val="auto"/>
                      <w:lang w:val="en-US" w:eastAsia="zh-CN"/>
                    </w:rPr>
                  </w:pPr>
                </w:p>
              </w:tc>
              <w:tc>
                <w:tcPr>
                  <w:tcW w:w="1059"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经度</w:t>
                  </w:r>
                </w:p>
              </w:tc>
              <w:tc>
                <w:tcPr>
                  <w:tcW w:w="1194"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纬度</w:t>
                  </w:r>
                </w:p>
              </w:tc>
              <w:tc>
                <w:tcPr>
                  <w:tcW w:w="671" w:type="dxa"/>
                  <w:vMerge w:val="continue"/>
                  <w:tcBorders>
                    <w:tl2br w:val="nil"/>
                    <w:tr2bl w:val="nil"/>
                  </w:tcBorders>
                  <w:noWrap w:val="0"/>
                  <w:vAlign w:val="center"/>
                </w:tcPr>
                <w:p>
                  <w:pPr>
                    <w:pStyle w:val="2"/>
                    <w:rPr>
                      <w:rFonts w:hint="eastAsia" w:ascii="Times New Roman" w:hAnsi="Times New Roman" w:eastAsia="宋体" w:cs="Times New Roman"/>
                      <w:color w:val="auto"/>
                      <w:lang w:val="en-US" w:eastAsia="zh-CN"/>
                    </w:rPr>
                  </w:pPr>
                </w:p>
              </w:tc>
              <w:tc>
                <w:tcPr>
                  <w:tcW w:w="701" w:type="dxa"/>
                  <w:vMerge w:val="continue"/>
                  <w:tcBorders>
                    <w:tl2br w:val="nil"/>
                    <w:tr2bl w:val="nil"/>
                  </w:tcBorders>
                  <w:noWrap w:val="0"/>
                  <w:vAlign w:val="center"/>
                </w:tcPr>
                <w:p>
                  <w:pPr>
                    <w:pStyle w:val="2"/>
                    <w:rPr>
                      <w:rFonts w:hint="eastAsia" w:ascii="Times New Roman" w:hAnsi="Times New Roman" w:eastAsia="宋体" w:cs="Times New Roman"/>
                      <w:color w:val="auto"/>
                      <w:lang w:val="en-US" w:eastAsia="zh-CN"/>
                    </w:rPr>
                  </w:pPr>
                </w:p>
              </w:tc>
              <w:tc>
                <w:tcPr>
                  <w:tcW w:w="1056" w:type="dxa"/>
                  <w:vMerge w:val="continue"/>
                  <w:tcBorders>
                    <w:tl2br w:val="nil"/>
                    <w:tr2bl w:val="nil"/>
                  </w:tcBorders>
                  <w:noWrap w:val="0"/>
                  <w:vAlign w:val="center"/>
                </w:tcPr>
                <w:p>
                  <w:pPr>
                    <w:pStyle w:val="2"/>
                    <w:rPr>
                      <w:rFonts w:hint="default" w:ascii="Times New Roman" w:hAnsi="Times New Roman" w:eastAsia="宋体" w:cs="Times New Roman"/>
                      <w:color w:val="auto"/>
                      <w:lang w:val="en-US" w:eastAsia="zh-CN"/>
                    </w:rPr>
                  </w:pPr>
                </w:p>
              </w:tc>
              <w:tc>
                <w:tcPr>
                  <w:tcW w:w="1174" w:type="dxa"/>
                  <w:vMerge w:val="continue"/>
                  <w:tcBorders>
                    <w:tl2br w:val="nil"/>
                    <w:tr2bl w:val="nil"/>
                  </w:tcBorders>
                  <w:noWrap w:val="0"/>
                  <w:vAlign w:val="center"/>
                </w:tcPr>
                <w:p>
                  <w:pPr>
                    <w:pStyle w:val="2"/>
                    <w:rPr>
                      <w:rFonts w:hint="eastAsia" w:ascii="Times New Roman" w:hAnsi="Times New Roman" w:eastAsia="宋体" w:cs="Times New Roman"/>
                      <w:color w:val="auto"/>
                      <w:lang w:val="en-US" w:eastAsia="zh-CN"/>
                    </w:rPr>
                  </w:pPr>
                </w:p>
              </w:tc>
              <w:tc>
                <w:tcPr>
                  <w:tcW w:w="649" w:type="dxa"/>
                  <w:vMerge w:val="continue"/>
                  <w:tcBorders>
                    <w:tl2br w:val="nil"/>
                    <w:tr2bl w:val="nil"/>
                  </w:tcBorders>
                  <w:noWrap w:val="0"/>
                  <w:vAlign w:val="center"/>
                </w:tcPr>
                <w:p>
                  <w:pPr>
                    <w:pStyle w:val="2"/>
                    <w:rPr>
                      <w:rFonts w:hint="eastAsia" w:ascii="Times New Roman" w:hAnsi="Times New Roman" w:eastAsia="宋体" w:cs="Times New Roman"/>
                      <w:color w:val="auto"/>
                      <w:lang w:val="en-US" w:eastAsia="zh-CN"/>
                    </w:rPr>
                  </w:pPr>
                </w:p>
              </w:tc>
              <w:tc>
                <w:tcPr>
                  <w:tcW w:w="573" w:type="dxa"/>
                  <w:vMerge w:val="continue"/>
                  <w:tcBorders>
                    <w:tl2br w:val="nil"/>
                    <w:tr2bl w:val="nil"/>
                  </w:tcBorders>
                  <w:noWrap w:val="0"/>
                  <w:vAlign w:val="center"/>
                </w:tcPr>
                <w:p>
                  <w:pPr>
                    <w:pStyle w:val="2"/>
                    <w:rPr>
                      <w:rFonts w:hint="default" w:ascii="Times New Roman" w:hAnsi="Times New Roman" w:eastAsia="宋体" w:cs="Times New Roman"/>
                      <w:color w:val="auto"/>
                      <w:lang w:val="en-US" w:eastAsia="zh-CN"/>
                    </w:rPr>
                  </w:pPr>
                </w:p>
              </w:tc>
              <w:tc>
                <w:tcPr>
                  <w:tcW w:w="411" w:type="dxa"/>
                  <w:vMerge w:val="continue"/>
                  <w:tcBorders>
                    <w:tl2br w:val="nil"/>
                    <w:tr2bl w:val="nil"/>
                  </w:tcBorders>
                  <w:noWrap w:val="0"/>
                  <w:vAlign w:val="center"/>
                </w:tcPr>
                <w:p>
                  <w:pPr>
                    <w:pStyle w:val="2"/>
                    <w:rPr>
                      <w:rFonts w:hint="eastAsia"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0"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项目区北侧</w:t>
                  </w:r>
                </w:p>
              </w:tc>
              <w:tc>
                <w:tcPr>
                  <w:tcW w:w="1059"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color w:val="auto"/>
                      <w:lang w:val="en-US" w:eastAsia="zh-CN"/>
                    </w:rPr>
                    <w:t>8</w:t>
                  </w:r>
                  <w:r>
                    <w:rPr>
                      <w:rFonts w:hint="eastAsia"/>
                      <w:color w:val="auto"/>
                    </w:rPr>
                    <w:t>5°48'52.93"</w:t>
                  </w:r>
                </w:p>
              </w:tc>
              <w:tc>
                <w:tcPr>
                  <w:tcW w:w="1194"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color w:val="auto"/>
                    </w:rPr>
                    <w:t>42°05'51.84"</w:t>
                  </w:r>
                </w:p>
              </w:tc>
              <w:tc>
                <w:tcPr>
                  <w:tcW w:w="671"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总悬浮颗粒物</w:t>
                  </w:r>
                </w:p>
              </w:tc>
              <w:tc>
                <w:tcPr>
                  <w:tcW w:w="701"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24h</w:t>
                  </w:r>
                </w:p>
              </w:tc>
              <w:tc>
                <w:tcPr>
                  <w:tcW w:w="1056"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174"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0.136-0.147</w:t>
                  </w:r>
                </w:p>
              </w:tc>
              <w:tc>
                <w:tcPr>
                  <w:tcW w:w="649"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w:t>
                  </w:r>
                </w:p>
              </w:tc>
              <w:tc>
                <w:tcPr>
                  <w:tcW w:w="573"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411" w:type="dxa"/>
                  <w:tcBorders>
                    <w:tl2br w:val="nil"/>
                    <w:tr2bl w:val="nil"/>
                  </w:tcBorders>
                  <w:noWrap w:val="0"/>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达标</w:t>
                  </w:r>
                </w:p>
              </w:tc>
            </w:tr>
          </w:tbl>
          <w:p>
            <w:pPr>
              <w:ind w:firstLine="480"/>
              <w:rPr>
                <w:color w:val="auto"/>
                <w:highlight w:val="none"/>
              </w:rPr>
            </w:pPr>
            <w:r>
              <w:rPr>
                <w:color w:val="auto"/>
                <w:highlight w:val="none"/>
              </w:rPr>
              <w:t>从表</w:t>
            </w:r>
            <w:r>
              <w:rPr>
                <w:rFonts w:hint="eastAsia"/>
                <w:color w:val="auto"/>
                <w:highlight w:val="none"/>
                <w:lang w:val="en-US" w:eastAsia="zh-CN"/>
              </w:rPr>
              <w:t>3-4</w:t>
            </w:r>
            <w:r>
              <w:rPr>
                <w:color w:val="auto"/>
                <w:highlight w:val="none"/>
              </w:rPr>
              <w:t>的分析结果可知，监测期间</w:t>
            </w:r>
            <w:r>
              <w:rPr>
                <w:rFonts w:hint="eastAsia"/>
                <w:color w:val="auto"/>
                <w:highlight w:val="none"/>
                <w:lang w:eastAsia="zh-CN"/>
              </w:rPr>
              <w:t>总悬浮颗粒物</w:t>
            </w:r>
            <w:r>
              <w:rPr>
                <w:rFonts w:hint="eastAsia"/>
                <w:color w:val="auto"/>
                <w:highlight w:val="none"/>
              </w:rPr>
              <w:t>满足</w:t>
            </w:r>
            <w:r>
              <w:rPr>
                <w:color w:val="auto"/>
                <w:highlight w:val="none"/>
              </w:rPr>
              <w:t>《环境空气质量标准》（GB3095-2012）二级标准。</w:t>
            </w:r>
          </w:p>
          <w:p>
            <w:pPr>
              <w:pStyle w:val="5"/>
              <w:rPr>
                <w:color w:val="auto"/>
              </w:rPr>
            </w:pPr>
            <w:r>
              <w:rPr>
                <w:rFonts w:hint="eastAsia"/>
                <w:color w:val="auto"/>
                <w:lang w:val="en-US" w:eastAsia="zh-CN"/>
              </w:rPr>
              <w:t>3</w:t>
            </w:r>
            <w:r>
              <w:rPr>
                <w:rFonts w:hint="eastAsia"/>
                <w:color w:val="auto"/>
              </w:rPr>
              <w:t>、地表水环境质量</w:t>
            </w:r>
          </w:p>
          <w:p>
            <w:pPr>
              <w:bidi w:val="0"/>
              <w:rPr>
                <w:rFonts w:hint="default"/>
                <w:color w:val="auto"/>
                <w:lang w:val="en-US" w:eastAsia="zh-CN"/>
              </w:rPr>
            </w:pPr>
            <w:r>
              <w:rPr>
                <w:rFonts w:hint="default"/>
                <w:color w:val="auto"/>
                <w:lang w:val="en-US" w:eastAsia="zh-CN"/>
              </w:rPr>
              <w:t>根据《2024年巴音郭楞蒙古自治州生态环境状况公报》可知：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w:t>
            </w:r>
          </w:p>
          <w:p>
            <w:pPr>
              <w:ind w:firstLine="480"/>
              <w:rPr>
                <w:color w:val="auto"/>
              </w:rPr>
            </w:pPr>
            <w:r>
              <w:rPr>
                <w:rFonts w:hint="eastAsia"/>
                <w:color w:val="auto"/>
              </w:rPr>
              <w:t>距离本项目最近的河流为</w:t>
            </w:r>
            <w:r>
              <w:rPr>
                <w:rFonts w:hint="eastAsia"/>
                <w:color w:val="auto"/>
                <w:lang w:eastAsia="zh-CN"/>
              </w:rPr>
              <w:t>霍拉沟</w:t>
            </w:r>
            <w:r>
              <w:rPr>
                <w:rFonts w:hint="eastAsia"/>
                <w:color w:val="auto"/>
              </w:rPr>
              <w:t>河，水环境</w:t>
            </w:r>
            <w:r>
              <w:rPr>
                <w:rFonts w:hint="eastAsia"/>
                <w:color w:val="auto"/>
                <w:lang w:eastAsia="zh-CN"/>
              </w:rPr>
              <w:t>功能区</w:t>
            </w:r>
            <w:r>
              <w:rPr>
                <w:rFonts w:hint="eastAsia"/>
                <w:color w:val="auto"/>
              </w:rPr>
              <w:t>为Ⅰ</w:t>
            </w:r>
            <w:r>
              <w:rPr>
                <w:color w:val="auto"/>
              </w:rPr>
              <w:t>类</w:t>
            </w:r>
            <w:r>
              <w:rPr>
                <w:rFonts w:hint="eastAsia"/>
                <w:color w:val="auto"/>
              </w:rPr>
              <w:t>，</w:t>
            </w:r>
            <w:r>
              <w:rPr>
                <w:rFonts w:hint="eastAsia"/>
                <w:color w:val="auto"/>
                <w:lang w:eastAsia="zh-CN"/>
              </w:rPr>
              <w:t>位于项目区</w:t>
            </w:r>
            <w:r>
              <w:rPr>
                <w:rFonts w:hint="eastAsia"/>
                <w:color w:val="auto"/>
                <w:lang w:val="en-US" w:eastAsia="zh-CN"/>
              </w:rPr>
              <w:t>南</w:t>
            </w:r>
            <w:r>
              <w:rPr>
                <w:rFonts w:hint="eastAsia"/>
                <w:color w:val="auto"/>
                <w:lang w:eastAsia="zh-CN"/>
              </w:rPr>
              <w:t>侧</w:t>
            </w:r>
            <w:r>
              <w:rPr>
                <w:rFonts w:hint="eastAsia"/>
                <w:color w:val="auto"/>
                <w:lang w:val="en-US" w:eastAsia="zh-CN"/>
              </w:rPr>
              <w:t>1.4km处，</w:t>
            </w:r>
            <w:r>
              <w:rPr>
                <w:rFonts w:hint="eastAsia"/>
                <w:color w:val="auto"/>
                <w:lang w:eastAsia="zh-CN"/>
              </w:rPr>
              <w:t>本项目</w:t>
            </w:r>
            <w:r>
              <w:rPr>
                <w:rFonts w:hint="eastAsia"/>
                <w:color w:val="auto"/>
              </w:rPr>
              <w:t>不与地表水体产生水力联系，不会对项目区地表水水体造成影响。</w:t>
            </w:r>
          </w:p>
          <w:p>
            <w:pPr>
              <w:pStyle w:val="5"/>
              <w:rPr>
                <w:color w:val="auto"/>
              </w:rPr>
            </w:pPr>
            <w:r>
              <w:rPr>
                <w:rFonts w:hint="eastAsia"/>
                <w:color w:val="auto"/>
                <w:lang w:val="en-US" w:eastAsia="zh-CN"/>
              </w:rPr>
              <w:t>4</w:t>
            </w:r>
            <w:r>
              <w:rPr>
                <w:color w:val="auto"/>
              </w:rPr>
              <w:t>、地下水</w:t>
            </w:r>
            <w:r>
              <w:rPr>
                <w:rFonts w:hint="eastAsia"/>
                <w:color w:val="auto"/>
              </w:rPr>
              <w:t>环境质量</w:t>
            </w:r>
          </w:p>
          <w:p>
            <w:pPr>
              <w:ind w:firstLine="480"/>
              <w:rPr>
                <w:color w:val="auto"/>
              </w:rPr>
            </w:pPr>
            <w:r>
              <w:rPr>
                <w:color w:val="auto"/>
              </w:rPr>
              <w:t>根据《环境影响评价技术导则</w:t>
            </w:r>
            <w:r>
              <w:rPr>
                <w:rFonts w:hint="eastAsia"/>
                <w:color w:val="auto"/>
                <w:lang w:val="en-US" w:eastAsia="zh-CN"/>
              </w:rPr>
              <w:t xml:space="preserve"> </w:t>
            </w:r>
            <w:r>
              <w:rPr>
                <w:color w:val="auto"/>
              </w:rPr>
              <w:t>地下水环境》</w:t>
            </w:r>
            <w:r>
              <w:rPr>
                <w:rFonts w:hint="eastAsia"/>
                <w:color w:val="auto"/>
              </w:rPr>
              <w:t>（</w:t>
            </w:r>
            <w:r>
              <w:rPr>
                <w:color w:val="auto"/>
              </w:rPr>
              <w:t>HJ610-2016</w:t>
            </w:r>
            <w:r>
              <w:rPr>
                <w:rFonts w:hint="eastAsia"/>
                <w:color w:val="auto"/>
              </w:rPr>
              <w:t>）</w:t>
            </w:r>
            <w:r>
              <w:rPr>
                <w:color w:val="auto"/>
              </w:rPr>
              <w:t>附录A《地下水环境影响评价行业分类表》本项目行业类别为：J非金属矿采选及制品制造，54、土开采，地下水环境影响评价项目类别为Ⅳ类。</w:t>
            </w:r>
          </w:p>
          <w:p>
            <w:pPr>
              <w:ind w:firstLine="480"/>
              <w:rPr>
                <w:color w:val="auto"/>
              </w:rPr>
            </w:pPr>
            <w:r>
              <w:rPr>
                <w:color w:val="auto"/>
              </w:rPr>
              <w:t>根据中华人民共和国国家环境保护标准《环境影响评价技术导则地下水环境》</w:t>
            </w:r>
            <w:r>
              <w:rPr>
                <w:rFonts w:hint="eastAsia"/>
                <w:color w:val="auto"/>
              </w:rPr>
              <w:t>（</w:t>
            </w:r>
            <w:r>
              <w:rPr>
                <w:color w:val="auto"/>
              </w:rPr>
              <w:t>HJ610-2016</w:t>
            </w:r>
            <w:r>
              <w:rPr>
                <w:rFonts w:hint="eastAsia"/>
                <w:color w:val="auto"/>
              </w:rPr>
              <w:t>）</w:t>
            </w:r>
            <w:r>
              <w:rPr>
                <w:color w:val="auto"/>
              </w:rPr>
              <w:t>4.1一般性原则，Ⅳ类建设项目不开展地下水环境影响评价，故本项目不对地下水进行环境影响评价。</w:t>
            </w:r>
          </w:p>
          <w:p>
            <w:pPr>
              <w:pStyle w:val="5"/>
              <w:bidi w:val="0"/>
              <w:rPr>
                <w:rFonts w:hint="eastAsia"/>
                <w:color w:val="auto"/>
                <w:lang w:val="en-US" w:eastAsia="zh-CN"/>
              </w:rPr>
            </w:pPr>
            <w:r>
              <w:rPr>
                <w:rFonts w:hint="eastAsia"/>
                <w:color w:val="auto"/>
                <w:lang w:val="en-US" w:eastAsia="zh-CN"/>
              </w:rPr>
              <w:t>5</w:t>
            </w:r>
            <w:r>
              <w:rPr>
                <w:rFonts w:hint="eastAsia"/>
                <w:color w:val="auto"/>
              </w:rPr>
              <w:t>、土壤环境质量现状</w:t>
            </w:r>
          </w:p>
          <w:p>
            <w:pPr>
              <w:rPr>
                <w:rFonts w:hint="eastAsia"/>
                <w:color w:val="auto"/>
                <w:lang w:val="en-US" w:eastAsia="zh-CN"/>
              </w:rPr>
            </w:pPr>
            <w:r>
              <w:rPr>
                <w:rFonts w:hint="eastAsia"/>
                <w:color w:val="auto"/>
                <w:lang w:val="en-US" w:eastAsia="zh-CN"/>
              </w:rPr>
              <w:t>本项目土壤类型为淡棕钙土，详见附图9。</w:t>
            </w:r>
          </w:p>
          <w:p>
            <w:pPr>
              <w:bidi w:val="0"/>
              <w:rPr>
                <w:rFonts w:hint="eastAsia"/>
                <w:color w:val="auto"/>
                <w:lang w:val="en-US" w:eastAsia="zh-CN"/>
              </w:rPr>
            </w:pPr>
            <w:r>
              <w:rPr>
                <w:rFonts w:hint="eastAsia"/>
                <w:color w:val="auto"/>
                <w:lang w:val="en-US" w:eastAsia="zh-CN"/>
              </w:rPr>
              <w:t>棕钙土的形成是以草原土壤腐殖质积累作用和钙积作用为主，并有荒漠成土过程的一些特点。棕钙土发育于温带荒漠草原植被下的土壤。地表多砂砾石，剖面上部呈褐棕色，下部为粉末层状或斑块状灰白色钙积层。棕钙土主要分布于欧亚大陆温带荒漠草原地区，位于栗钙土与漠土之间，从西、北、东三面环绕于漠土外围。中国内蒙古高原和鄂尔多斯高原的中西部、准噶尔盆地的北部、塔城盆地外缘以及中部天山北麓山前洪积扇的上部等地都有分布。</w:t>
            </w:r>
          </w:p>
          <w:p>
            <w:pPr>
              <w:bidi w:val="0"/>
              <w:rPr>
                <w:rFonts w:hint="eastAsia"/>
                <w:color w:val="auto"/>
                <w:lang w:eastAsia="zh-CN"/>
              </w:rPr>
            </w:pPr>
            <w:r>
              <w:rPr>
                <w:rFonts w:hint="eastAsia"/>
                <w:color w:val="auto"/>
                <w:lang w:val="en-US" w:eastAsia="zh-CN"/>
              </w:rPr>
              <w:t>根据《环境影响评价技术导则 土壤环境（试行）》（HJ964-2018）中7.4.3现状监测要求，本项目区内监测3个表层样点，</w:t>
            </w:r>
            <w:r>
              <w:rPr>
                <w:color w:val="auto"/>
              </w:rPr>
              <w:t>本次委托</w:t>
            </w:r>
            <w:r>
              <w:rPr>
                <w:rFonts w:hint="eastAsia"/>
                <w:color w:val="auto"/>
                <w:lang w:val="en-US" w:eastAsia="zh-CN"/>
              </w:rPr>
              <w:t>新疆广宇众联环境监测有限公司</w:t>
            </w:r>
            <w:r>
              <w:rPr>
                <w:color w:val="auto"/>
              </w:rPr>
              <w:t>对</w:t>
            </w:r>
            <w:r>
              <w:rPr>
                <w:rFonts w:hint="eastAsia"/>
                <w:color w:val="auto"/>
                <w:lang w:eastAsia="zh-CN"/>
              </w:rPr>
              <w:t>土壤</w:t>
            </w:r>
            <w:r>
              <w:rPr>
                <w:color w:val="auto"/>
              </w:rPr>
              <w:t>质量现状进行了监测</w:t>
            </w:r>
            <w:r>
              <w:rPr>
                <w:rFonts w:hint="eastAsia"/>
                <w:color w:val="auto"/>
                <w:lang w:eastAsia="zh-CN"/>
              </w:rPr>
              <w:t>。</w:t>
            </w:r>
          </w:p>
          <w:p>
            <w:pPr>
              <w:spacing w:line="360" w:lineRule="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监测项目和分析方法</w:t>
            </w:r>
          </w:p>
          <w:p>
            <w:pPr>
              <w:keepNext w:val="0"/>
              <w:keepLines w:val="0"/>
              <w:pageBreakBefore w:val="0"/>
              <w:numPr>
                <w:ilvl w:val="0"/>
                <w:numId w:val="0"/>
              </w:numPr>
              <w:tabs>
                <w:tab w:val="left" w:pos="3296"/>
              </w:tabs>
              <w:kinsoku/>
              <w:wordWrap/>
              <w:topLinePunct w:val="0"/>
              <w:bidi w:val="0"/>
              <w:adjustRightInd w:val="0"/>
              <w:snapToGrid w:val="0"/>
              <w:spacing w:line="240" w:lineRule="auto"/>
              <w:ind w:firstLine="422" w:firstLineChars="200"/>
              <w:jc w:val="left"/>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表</w:t>
            </w:r>
            <w:r>
              <w:rPr>
                <w:rFonts w:hint="eastAsia" w:ascii="Times New Roman" w:hAnsi="Times New Roman" w:eastAsia="宋体" w:cs="Times New Roman"/>
                <w:b/>
                <w:bCs/>
                <w:color w:val="auto"/>
                <w:sz w:val="21"/>
                <w:szCs w:val="21"/>
                <w:highlight w:val="none"/>
                <w:vertAlign w:val="baseline"/>
                <w:lang w:val="en-US" w:eastAsia="zh-CN"/>
              </w:rPr>
              <w:t>3-</w:t>
            </w:r>
            <w:r>
              <w:rPr>
                <w:rFonts w:hint="eastAsia" w:cs="Times New Roman"/>
                <w:b/>
                <w:bCs/>
                <w:color w:val="auto"/>
                <w:sz w:val="21"/>
                <w:szCs w:val="21"/>
                <w:highlight w:val="none"/>
                <w:vertAlign w:val="baseline"/>
                <w:lang w:val="en-US" w:eastAsia="zh-CN"/>
              </w:rPr>
              <w:t>5</w:t>
            </w:r>
            <w:r>
              <w:rPr>
                <w:rFonts w:hint="default" w:ascii="Times New Roman" w:hAnsi="Times New Roman" w:eastAsia="宋体" w:cs="Times New Roman"/>
                <w:b/>
                <w:bCs/>
                <w:color w:val="auto"/>
                <w:sz w:val="21"/>
                <w:szCs w:val="21"/>
                <w:highlight w:val="none"/>
                <w:vertAlign w:val="baseline"/>
                <w:lang w:val="en-US" w:eastAsia="zh-CN"/>
              </w:rPr>
              <w:t xml:space="preserve">                   </w:t>
            </w:r>
            <w:r>
              <w:rPr>
                <w:rFonts w:hint="eastAsia" w:ascii="Times New Roman" w:hAnsi="Times New Roman" w:eastAsia="宋体" w:cs="Times New Roman"/>
                <w:b/>
                <w:bCs/>
                <w:color w:val="auto"/>
                <w:sz w:val="21"/>
                <w:szCs w:val="21"/>
                <w:highlight w:val="none"/>
                <w:vertAlign w:val="baseline"/>
                <w:lang w:val="en-US" w:eastAsia="zh-CN"/>
              </w:rPr>
              <w:t xml:space="preserve">   </w:t>
            </w:r>
            <w:r>
              <w:rPr>
                <w:rFonts w:hint="default" w:ascii="Times New Roman" w:hAnsi="Times New Roman" w:eastAsia="宋体" w:cs="Times New Roman"/>
                <w:b/>
                <w:bCs/>
                <w:color w:val="auto"/>
                <w:sz w:val="21"/>
                <w:szCs w:val="21"/>
                <w:highlight w:val="none"/>
                <w:vertAlign w:val="baseline"/>
                <w:lang w:val="en-US" w:eastAsia="zh-CN"/>
              </w:rPr>
              <w:t xml:space="preserve">  土壤监测布点一览表</w:t>
            </w:r>
          </w:p>
          <w:tbl>
            <w:tblPr>
              <w:tblStyle w:val="30"/>
              <w:tblW w:w="79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195"/>
              <w:gridCol w:w="1129"/>
              <w:gridCol w:w="1669"/>
              <w:gridCol w:w="3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监测日期</w:t>
                  </w:r>
                </w:p>
              </w:tc>
              <w:tc>
                <w:tcPr>
                  <w:tcW w:w="7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监测位置</w:t>
                  </w:r>
                </w:p>
              </w:tc>
              <w:tc>
                <w:tcPr>
                  <w:tcW w:w="70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土壤监测点名称</w:t>
                  </w:r>
                </w:p>
              </w:tc>
              <w:tc>
                <w:tcPr>
                  <w:tcW w:w="104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监测测点坐标</w:t>
                  </w:r>
                </w:p>
              </w:tc>
              <w:tc>
                <w:tcPr>
                  <w:tcW w:w="19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2023年7月28日</w:t>
                  </w:r>
                </w:p>
              </w:tc>
              <w:tc>
                <w:tcPr>
                  <w:tcW w:w="7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项目区占地范围内</w:t>
                  </w:r>
                </w:p>
              </w:tc>
              <w:tc>
                <w:tcPr>
                  <w:tcW w:w="70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项目区内1个表层样点</w:t>
                  </w:r>
                </w:p>
              </w:tc>
              <w:tc>
                <w:tcPr>
                  <w:tcW w:w="1046" w:type="pct"/>
                  <w:noWrap w:val="0"/>
                  <w:vAlign w:val="center"/>
                </w:tcPr>
                <w:p>
                  <w:pPr>
                    <w:pStyle w:val="2"/>
                    <w:bidi w:val="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lang w:val="en-US" w:eastAsia="zh-CN"/>
                    </w:rPr>
                    <w:t>E</w:t>
                  </w:r>
                  <w:r>
                    <w:rPr>
                      <w:rFonts w:hint="eastAsia" w:cs="Times New Roman"/>
                      <w:color w:val="auto"/>
                      <w:lang w:val="en-US" w:eastAsia="zh-CN"/>
                    </w:rPr>
                    <w:t>：</w:t>
                  </w:r>
                  <w:r>
                    <w:rPr>
                      <w:rFonts w:hint="default" w:ascii="Times New Roman" w:hAnsi="Times New Roman" w:cs="Times New Roman"/>
                      <w:color w:val="auto"/>
                      <w:lang w:val="en-US" w:eastAsia="zh-CN"/>
                    </w:rPr>
                    <w:t>85°48'25.04"</w:t>
                  </w:r>
                  <w:r>
                    <w:rPr>
                      <w:rFonts w:hint="eastAsia" w:cs="Times New Roman"/>
                      <w:color w:val="auto"/>
                      <w:lang w:val="en-US" w:eastAsia="zh-CN"/>
                    </w:rPr>
                    <w:t xml:space="preserve">, </w:t>
                  </w:r>
                  <w:r>
                    <w:rPr>
                      <w:rFonts w:hint="default" w:ascii="Times New Roman" w:hAnsi="Times New Roman" w:cs="Times New Roman"/>
                      <w:color w:val="auto"/>
                      <w:lang w:val="en-US" w:eastAsia="zh-CN"/>
                    </w:rPr>
                    <w:t>N</w:t>
                  </w:r>
                  <w:r>
                    <w:rPr>
                      <w:rFonts w:hint="eastAsia" w:cs="Times New Roman"/>
                      <w:color w:val="auto"/>
                      <w:lang w:val="en-US" w:eastAsia="zh-CN"/>
                    </w:rPr>
                    <w:t>：</w:t>
                  </w:r>
                  <w:r>
                    <w:rPr>
                      <w:rFonts w:hint="default" w:ascii="Times New Roman" w:hAnsi="Times New Roman" w:cs="Times New Roman"/>
                      <w:color w:val="auto"/>
                      <w:lang w:val="en-US" w:eastAsia="zh-CN"/>
                    </w:rPr>
                    <w:t>42°05'01.56"</w:t>
                  </w:r>
                </w:p>
              </w:tc>
              <w:tc>
                <w:tcPr>
                  <w:tcW w:w="19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砷、镉、铬（六价）、铜、铅、汞、镍、四氯化碳、氯仿、氯甲烷、1，1-二氯乙烷、1，2-二氯乙烷、1，1-二氯乙烯、顺-1，2-二氯乙烯、反-1，2-二氯乙烯、二氯甲烷、1，2-二氯丙烷、1，1，1，2-四氯乙烷、1，1，2，2-四氯乙烷、四氯乙烯、1，1，1-三氯乙烯、1，1，2-三氯乙烷、三氯乙烯、1，2，3-三氯丙烷、氯乙烯、苯、氯苯、1，2-二氯苯、1，4-二氯苯、乙苯、苯乙烯、甲苯、间二甲苯+对二甲苯、邻二甲苯、硝基苯、苯胺、2-氯酚、苯并[a]蒽、苯并[a]芘、苯并[b]荧蒽、苯并[K]荧蒽、䓛、二苯并[a，h]蒽、茚并[1，2，3-cd]芘、萘、</w:t>
                  </w:r>
                  <w:r>
                    <w:rPr>
                      <w:rFonts w:hint="eastAsia" w:cs="Times New Roman"/>
                      <w:color w:val="auto"/>
                      <w:kern w:val="0"/>
                      <w:sz w:val="21"/>
                      <w:szCs w:val="21"/>
                      <w:highlight w:val="none"/>
                      <w:lang w:val="en-US" w:eastAsia="zh-CN"/>
                    </w:rPr>
                    <w:t>pH</w:t>
                  </w:r>
                  <w:r>
                    <w:rPr>
                      <w:rFonts w:hint="eastAsia" w:ascii="Times New Roman" w:hAnsi="Times New Roman" w:eastAsia="宋体" w:cs="Times New Roman"/>
                      <w:color w:val="auto"/>
                      <w:kern w:val="0"/>
                      <w:sz w:val="21"/>
                      <w:szCs w:val="21"/>
                      <w:highlight w:val="none"/>
                      <w:lang w:val="en-US" w:eastAsia="zh-CN"/>
                    </w:rPr>
                    <w:t>、含盐量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2023年7月28日</w:t>
                  </w:r>
                </w:p>
              </w:tc>
              <w:tc>
                <w:tcPr>
                  <w:tcW w:w="7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w:t>
                  </w:r>
                  <w:r>
                    <w:rPr>
                      <w:rFonts w:hint="eastAsia" w:ascii="Times New Roman" w:hAnsi="Times New Roman" w:eastAsia="宋体" w:cs="Times New Roman"/>
                      <w:color w:val="auto"/>
                      <w:kern w:val="0"/>
                      <w:sz w:val="21"/>
                      <w:szCs w:val="21"/>
                      <w:highlight w:val="none"/>
                      <w:lang w:val="en-US" w:eastAsia="zh-CN"/>
                    </w:rPr>
                    <w:t>区占地范围内</w:t>
                  </w:r>
                </w:p>
              </w:tc>
              <w:tc>
                <w:tcPr>
                  <w:tcW w:w="70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项目区内1个表层样点</w:t>
                  </w:r>
                </w:p>
              </w:tc>
              <w:tc>
                <w:tcPr>
                  <w:tcW w:w="104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18"/>
                      <w:lang w:val="en-US" w:eastAsia="zh-CN" w:bidi="ar-SA"/>
                    </w:rPr>
                  </w:pPr>
                  <w:r>
                    <w:rPr>
                      <w:rFonts w:hint="default" w:ascii="Times New Roman" w:hAnsi="Times New Roman" w:eastAsia="宋体" w:cs="Times New Roman"/>
                      <w:color w:val="auto"/>
                      <w:kern w:val="0"/>
                      <w:sz w:val="21"/>
                      <w:szCs w:val="18"/>
                      <w:lang w:val="en-US" w:eastAsia="zh-CN" w:bidi="ar-SA"/>
                    </w:rPr>
                    <w:t>E</w:t>
                  </w:r>
                  <w:r>
                    <w:rPr>
                      <w:rFonts w:hint="eastAsia" w:cs="Times New Roman"/>
                      <w:color w:val="auto"/>
                      <w:kern w:val="0"/>
                      <w:sz w:val="21"/>
                      <w:szCs w:val="18"/>
                      <w:lang w:val="en-US" w:eastAsia="zh-CN" w:bidi="ar-SA"/>
                    </w:rPr>
                    <w:t>：</w:t>
                  </w:r>
                  <w:r>
                    <w:rPr>
                      <w:rFonts w:hint="default" w:ascii="Times New Roman" w:hAnsi="Times New Roman" w:eastAsia="宋体" w:cs="Times New Roman"/>
                      <w:color w:val="auto"/>
                      <w:kern w:val="0"/>
                      <w:sz w:val="21"/>
                      <w:szCs w:val="18"/>
                      <w:lang w:val="en-US" w:eastAsia="zh-CN" w:bidi="ar-SA"/>
                    </w:rPr>
                    <w:t>85°48'40.76"</w:t>
                  </w:r>
                  <w:r>
                    <w:rPr>
                      <w:rFonts w:hint="eastAsia" w:cs="Times New Roman"/>
                      <w:color w:val="auto"/>
                      <w:kern w:val="0"/>
                      <w:sz w:val="21"/>
                      <w:szCs w:val="18"/>
                      <w:lang w:val="en-US" w:eastAsia="zh-CN" w:bidi="ar-SA"/>
                    </w:rPr>
                    <w:t xml:space="preserve">, </w:t>
                  </w:r>
                  <w:r>
                    <w:rPr>
                      <w:rFonts w:hint="default" w:ascii="Times New Roman" w:hAnsi="Times New Roman" w:eastAsia="宋体" w:cs="Times New Roman"/>
                      <w:color w:val="auto"/>
                      <w:kern w:val="0"/>
                      <w:sz w:val="21"/>
                      <w:szCs w:val="18"/>
                      <w:lang w:val="en-US" w:eastAsia="zh-CN" w:bidi="ar-SA"/>
                    </w:rPr>
                    <w:t>N</w:t>
                  </w:r>
                  <w:r>
                    <w:rPr>
                      <w:rFonts w:hint="eastAsia" w:cs="Times New Roman"/>
                      <w:color w:val="auto"/>
                      <w:kern w:val="0"/>
                      <w:sz w:val="21"/>
                      <w:szCs w:val="18"/>
                      <w:lang w:val="en-US" w:eastAsia="zh-CN" w:bidi="ar-SA"/>
                    </w:rPr>
                    <w:t>：</w:t>
                  </w:r>
                  <w:r>
                    <w:rPr>
                      <w:rFonts w:hint="default" w:ascii="Times New Roman" w:hAnsi="Times New Roman" w:eastAsia="宋体" w:cs="Times New Roman"/>
                      <w:color w:val="auto"/>
                      <w:kern w:val="0"/>
                      <w:sz w:val="21"/>
                      <w:szCs w:val="18"/>
                      <w:lang w:val="en-US" w:eastAsia="zh-CN" w:bidi="ar-SA"/>
                    </w:rPr>
                    <w:t>42°04'48.35"</w:t>
                  </w:r>
                </w:p>
              </w:tc>
              <w:tc>
                <w:tcPr>
                  <w:tcW w:w="19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砷、镉、铬（六价）、铜、铅、汞、镍、</w:t>
                  </w:r>
                  <w:r>
                    <w:rPr>
                      <w:rFonts w:hint="eastAsia" w:cs="Times New Roman"/>
                      <w:color w:val="auto"/>
                      <w:kern w:val="0"/>
                      <w:sz w:val="21"/>
                      <w:szCs w:val="21"/>
                      <w:highlight w:val="none"/>
                      <w:lang w:val="en-US" w:eastAsia="zh-CN"/>
                    </w:rPr>
                    <w:t>pH</w:t>
                  </w:r>
                  <w:r>
                    <w:rPr>
                      <w:rFonts w:hint="eastAsia" w:ascii="Times New Roman" w:hAnsi="Times New Roman" w:eastAsia="宋体" w:cs="Times New Roman"/>
                      <w:color w:val="auto"/>
                      <w:kern w:val="0"/>
                      <w:sz w:val="21"/>
                      <w:szCs w:val="21"/>
                      <w:highlight w:val="none"/>
                      <w:lang w:val="en-US" w:eastAsia="zh-CN"/>
                    </w:rPr>
                    <w:t>、含盐量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2023年7月28日</w:t>
                  </w:r>
                </w:p>
              </w:tc>
              <w:tc>
                <w:tcPr>
                  <w:tcW w:w="7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项目区占地范围内</w:t>
                  </w:r>
                </w:p>
              </w:tc>
              <w:tc>
                <w:tcPr>
                  <w:tcW w:w="70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项目区内1个表层样点</w:t>
                  </w:r>
                </w:p>
              </w:tc>
              <w:tc>
                <w:tcPr>
                  <w:tcW w:w="104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18"/>
                      <w:lang w:val="en-US" w:eastAsia="zh-CN" w:bidi="ar-SA"/>
                    </w:rPr>
                  </w:pPr>
                  <w:r>
                    <w:rPr>
                      <w:rFonts w:hint="default" w:ascii="Times New Roman" w:hAnsi="Times New Roman" w:eastAsia="宋体" w:cs="Times New Roman"/>
                      <w:color w:val="auto"/>
                      <w:kern w:val="0"/>
                      <w:sz w:val="21"/>
                      <w:szCs w:val="18"/>
                      <w:lang w:val="en-US" w:eastAsia="zh-CN" w:bidi="ar-SA"/>
                    </w:rPr>
                    <w:t>E</w:t>
                  </w:r>
                  <w:r>
                    <w:rPr>
                      <w:rFonts w:hint="eastAsia" w:cs="Times New Roman"/>
                      <w:color w:val="auto"/>
                      <w:kern w:val="0"/>
                      <w:sz w:val="21"/>
                      <w:szCs w:val="18"/>
                      <w:lang w:val="en-US" w:eastAsia="zh-CN" w:bidi="ar-SA"/>
                    </w:rPr>
                    <w:t>：</w:t>
                  </w:r>
                  <w:r>
                    <w:rPr>
                      <w:rFonts w:hint="default" w:ascii="Times New Roman" w:hAnsi="Times New Roman" w:eastAsia="宋体" w:cs="Times New Roman"/>
                      <w:color w:val="auto"/>
                      <w:kern w:val="0"/>
                      <w:sz w:val="21"/>
                      <w:szCs w:val="18"/>
                      <w:lang w:val="en-US" w:eastAsia="zh-CN" w:bidi="ar-SA"/>
                    </w:rPr>
                    <w:t>85°48′20.67″</w:t>
                  </w:r>
                  <w:r>
                    <w:rPr>
                      <w:rFonts w:hint="eastAsia" w:cs="Times New Roman"/>
                      <w:color w:val="auto"/>
                      <w:kern w:val="0"/>
                      <w:sz w:val="21"/>
                      <w:szCs w:val="18"/>
                      <w:lang w:val="en-US" w:eastAsia="zh-CN" w:bidi="ar-SA"/>
                    </w:rPr>
                    <w:t xml:space="preserve">, </w:t>
                  </w:r>
                  <w:r>
                    <w:rPr>
                      <w:rFonts w:hint="default" w:ascii="Times New Roman" w:hAnsi="Times New Roman" w:eastAsia="宋体" w:cs="Times New Roman"/>
                      <w:color w:val="auto"/>
                      <w:kern w:val="0"/>
                      <w:sz w:val="21"/>
                      <w:szCs w:val="18"/>
                      <w:lang w:val="en-US" w:eastAsia="zh-CN" w:bidi="ar-SA"/>
                    </w:rPr>
                    <w:t>N</w:t>
                  </w:r>
                  <w:r>
                    <w:rPr>
                      <w:rFonts w:hint="eastAsia" w:cs="Times New Roman"/>
                      <w:color w:val="auto"/>
                      <w:kern w:val="0"/>
                      <w:sz w:val="21"/>
                      <w:szCs w:val="18"/>
                      <w:lang w:val="en-US" w:eastAsia="zh-CN" w:bidi="ar-SA"/>
                    </w:rPr>
                    <w:t>：</w:t>
                  </w:r>
                  <w:r>
                    <w:rPr>
                      <w:rFonts w:hint="default" w:ascii="Times New Roman" w:hAnsi="Times New Roman" w:eastAsia="宋体" w:cs="Times New Roman"/>
                      <w:color w:val="auto"/>
                      <w:kern w:val="0"/>
                      <w:sz w:val="21"/>
                      <w:szCs w:val="18"/>
                      <w:lang w:val="en-US" w:eastAsia="zh-CN" w:bidi="ar-SA"/>
                    </w:rPr>
                    <w:t>85°48′20.67″</w:t>
                  </w:r>
                </w:p>
              </w:tc>
              <w:tc>
                <w:tcPr>
                  <w:tcW w:w="19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砷、镉、铬（六价）、铜、铅、汞、镍、</w:t>
                  </w:r>
                  <w:r>
                    <w:rPr>
                      <w:rFonts w:hint="eastAsia" w:cs="Times New Roman"/>
                      <w:color w:val="auto"/>
                      <w:kern w:val="0"/>
                      <w:sz w:val="21"/>
                      <w:szCs w:val="21"/>
                      <w:highlight w:val="none"/>
                      <w:lang w:val="en-US" w:eastAsia="zh-CN"/>
                    </w:rPr>
                    <w:t>pH</w:t>
                  </w:r>
                  <w:r>
                    <w:rPr>
                      <w:rFonts w:hint="eastAsia" w:ascii="Times New Roman" w:hAnsi="Times New Roman" w:eastAsia="宋体" w:cs="Times New Roman"/>
                      <w:color w:val="auto"/>
                      <w:kern w:val="0"/>
                      <w:sz w:val="21"/>
                      <w:szCs w:val="21"/>
                      <w:highlight w:val="none"/>
                      <w:lang w:val="en-US" w:eastAsia="zh-CN"/>
                    </w:rPr>
                    <w:t>、含盐量</w:t>
                  </w:r>
                </w:p>
              </w:tc>
            </w:tr>
          </w:tbl>
          <w:p>
            <w:pPr>
              <w:spacing w:line="360" w:lineRule="auto"/>
              <w:ind w:firstLine="48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highlight w:val="none"/>
              </w:rPr>
              <w:t>采样分析方法：依照</w:t>
            </w:r>
            <w:r>
              <w:rPr>
                <w:rFonts w:hint="eastAsia"/>
                <w:color w:val="auto"/>
                <w:lang w:val="en-US" w:eastAsia="zh-CN"/>
              </w:rPr>
              <w:t>原</w:t>
            </w:r>
            <w:r>
              <w:rPr>
                <w:rFonts w:hint="default" w:ascii="Times New Roman" w:hAnsi="Times New Roman" w:eastAsia="宋体" w:cs="Times New Roman"/>
                <w:b w:val="0"/>
                <w:bCs w:val="0"/>
                <w:color w:val="auto"/>
                <w:sz w:val="24"/>
                <w:highlight w:val="none"/>
              </w:rPr>
              <w:t>国家环保局颁布的《</w:t>
            </w:r>
            <w:r>
              <w:rPr>
                <w:rFonts w:hint="eastAsia" w:ascii="Times New Roman" w:hAnsi="Times New Roman" w:eastAsia="宋体" w:cs="Times New Roman"/>
                <w:b w:val="0"/>
                <w:bCs w:val="0"/>
                <w:color w:val="auto"/>
                <w:sz w:val="24"/>
                <w:highlight w:val="none"/>
                <w:lang w:eastAsia="zh-CN"/>
              </w:rPr>
              <w:t>土壤环境质量建设用地土壤污染风险管控标准（试行）</w:t>
            </w:r>
            <w:r>
              <w:rPr>
                <w:rFonts w:hint="default" w:ascii="Times New Roman" w:hAnsi="Times New Roman" w:eastAsia="宋体"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GB36600-2018</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的规定进行。</w:t>
            </w:r>
          </w:p>
          <w:p>
            <w:pPr>
              <w:spacing w:line="360" w:lineRule="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评价标准</w:t>
            </w:r>
          </w:p>
          <w:p>
            <w:pPr>
              <w:topLinePunct/>
              <w:spacing w:line="360" w:lineRule="auto"/>
              <w:ind w:firstLine="480" w:firstLineChars="200"/>
              <w:textAlignment w:val="baseline"/>
              <w:rPr>
                <w:rFonts w:hint="default" w:ascii="Times New Roman" w:hAnsi="Times New Roman" w:eastAsia="宋体" w:cs="Times New Roman"/>
                <w:b w:val="0"/>
                <w:bCs w:val="0"/>
                <w:color w:val="auto"/>
                <w:sz w:val="24"/>
                <w:szCs w:val="32"/>
                <w:highlight w:val="none"/>
              </w:rPr>
            </w:pPr>
            <w:r>
              <w:rPr>
                <w:rFonts w:hint="default" w:ascii="Times New Roman" w:hAnsi="Times New Roman" w:eastAsia="宋体" w:cs="Times New Roman"/>
                <w:b w:val="0"/>
                <w:bCs w:val="0"/>
                <w:snapToGrid w:val="0"/>
                <w:color w:val="auto"/>
                <w:kern w:val="0"/>
                <w:sz w:val="24"/>
                <w:szCs w:val="32"/>
                <w:highlight w:val="none"/>
              </w:rPr>
              <w:t>地下水环境质量现状评价标准执行</w:t>
            </w:r>
            <w:r>
              <w:rPr>
                <w:rFonts w:hint="default" w:ascii="Times New Roman" w:hAnsi="Times New Roman" w:eastAsia="宋体"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eastAsia="zh-CN"/>
              </w:rPr>
              <w:t>土壤环境质量建设用地土壤污染风险管控标准（试行）</w:t>
            </w:r>
            <w:r>
              <w:rPr>
                <w:rFonts w:hint="default" w:ascii="Times New Roman" w:hAnsi="Times New Roman" w:eastAsia="宋体"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GB36600-2018</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snapToGrid w:val="0"/>
                <w:color w:val="auto"/>
                <w:kern w:val="0"/>
                <w:sz w:val="24"/>
                <w:szCs w:val="32"/>
                <w:highlight w:val="none"/>
              </w:rPr>
              <w:t>中</w:t>
            </w:r>
            <w:r>
              <w:rPr>
                <w:rFonts w:hint="eastAsia" w:ascii="Times New Roman" w:hAnsi="Times New Roman" w:eastAsia="宋体" w:cs="Times New Roman"/>
                <w:b w:val="0"/>
                <w:bCs w:val="0"/>
                <w:snapToGrid w:val="0"/>
                <w:color w:val="auto"/>
                <w:kern w:val="0"/>
                <w:sz w:val="24"/>
                <w:szCs w:val="32"/>
                <w:highlight w:val="none"/>
                <w:lang w:eastAsia="zh-CN"/>
              </w:rPr>
              <w:t>筛选值</w:t>
            </w:r>
            <w:r>
              <w:rPr>
                <w:rFonts w:hint="eastAsia" w:cs="Times New Roman"/>
                <w:b w:val="0"/>
                <w:bCs w:val="0"/>
                <w:color w:val="auto"/>
                <w:sz w:val="24"/>
                <w:highlight w:val="none"/>
                <w:lang w:val="en-US" w:eastAsia="zh-CN"/>
              </w:rPr>
              <w:t>第二</w:t>
            </w:r>
            <w:r>
              <w:rPr>
                <w:rFonts w:hint="default" w:ascii="Times New Roman" w:hAnsi="Times New Roman" w:eastAsia="宋体" w:cs="Times New Roman"/>
                <w:b w:val="0"/>
                <w:bCs w:val="0"/>
                <w:color w:val="auto"/>
                <w:sz w:val="24"/>
                <w:highlight w:val="none"/>
              </w:rPr>
              <w:t>类</w:t>
            </w:r>
            <w:r>
              <w:rPr>
                <w:rFonts w:hint="default" w:ascii="Times New Roman" w:hAnsi="Times New Roman" w:eastAsia="宋体" w:cs="Times New Roman"/>
                <w:b w:val="0"/>
                <w:bCs w:val="0"/>
                <w:snapToGrid w:val="0"/>
                <w:color w:val="auto"/>
                <w:kern w:val="0"/>
                <w:sz w:val="24"/>
                <w:szCs w:val="32"/>
                <w:highlight w:val="none"/>
              </w:rPr>
              <w:t>标准。</w:t>
            </w:r>
          </w:p>
          <w:p>
            <w:pPr>
              <w:spacing w:line="360" w:lineRule="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监测、评价结果</w:t>
            </w:r>
          </w:p>
          <w:p>
            <w:pPr>
              <w:spacing w:line="360" w:lineRule="auto"/>
              <w:ind w:firstLine="480" w:firstLineChars="200"/>
              <w:textAlignment w:val="baseline"/>
              <w:rPr>
                <w:color w:val="auto"/>
                <w:sz w:val="24"/>
                <w:szCs w:val="32"/>
                <w:highlight w:val="none"/>
              </w:rPr>
            </w:pPr>
            <w:r>
              <w:rPr>
                <w:color w:val="auto"/>
                <w:sz w:val="24"/>
                <w:szCs w:val="32"/>
                <w:highlight w:val="none"/>
              </w:rPr>
              <w:t>监测数据以及评价结果见表3</w:t>
            </w:r>
            <w:r>
              <w:rPr>
                <w:rFonts w:hint="eastAsia"/>
                <w:color w:val="auto"/>
                <w:sz w:val="24"/>
                <w:szCs w:val="32"/>
                <w:highlight w:val="none"/>
                <w:lang w:val="en-US" w:eastAsia="zh-CN"/>
              </w:rPr>
              <w:t>-6</w:t>
            </w:r>
            <w:r>
              <w:rPr>
                <w:color w:val="auto"/>
                <w:sz w:val="24"/>
                <w:szCs w:val="32"/>
                <w:highlight w:val="none"/>
              </w:rPr>
              <w:t>。</w:t>
            </w:r>
          </w:p>
          <w:p>
            <w:pPr>
              <w:pStyle w:val="7"/>
              <w:bidi w:val="0"/>
              <w:rPr>
                <w:rFonts w:hint="default"/>
                <w:color w:val="auto"/>
                <w:lang w:val="en-US" w:eastAsia="zh-CN"/>
              </w:rPr>
            </w:pPr>
            <w:r>
              <w:rPr>
                <w:rFonts w:hint="eastAsia"/>
                <w:color w:val="auto"/>
                <w:lang w:eastAsia="zh-CN"/>
              </w:rPr>
              <w:t>表</w:t>
            </w:r>
            <w:r>
              <w:rPr>
                <w:rFonts w:hint="eastAsia"/>
                <w:color w:val="auto"/>
                <w:lang w:val="en-US" w:eastAsia="zh-CN"/>
              </w:rPr>
              <w:t>3-6                          土壤监测数据</w:t>
            </w:r>
          </w:p>
          <w:tbl>
            <w:tblPr>
              <w:tblStyle w:val="30"/>
              <w:tblW w:w="7897" w:type="dxa"/>
              <w:tblInd w:w="17"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136"/>
              <w:gridCol w:w="1428"/>
              <w:gridCol w:w="1312"/>
              <w:gridCol w:w="1327"/>
              <w:gridCol w:w="55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98"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监测点位</w:t>
                  </w:r>
                </w:p>
              </w:tc>
              <w:tc>
                <w:tcPr>
                  <w:tcW w:w="2150"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监测项目</w:t>
                  </w:r>
                </w:p>
              </w:tc>
              <w:tc>
                <w:tcPr>
                  <w:tcW w:w="1437"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单位</w:t>
                  </w:r>
                </w:p>
              </w:tc>
              <w:tc>
                <w:tcPr>
                  <w:tcW w:w="1320" w:type="dxa"/>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测定结果</w:t>
                  </w:r>
                </w:p>
              </w:tc>
              <w:tc>
                <w:tcPr>
                  <w:tcW w:w="1335" w:type="dxa"/>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筛选值第二类用地</w:t>
                  </w:r>
                </w:p>
              </w:tc>
              <w:tc>
                <w:tcPr>
                  <w:tcW w:w="557" w:type="dxa"/>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8" w:type="dxa"/>
                  <w:vMerge w:val="restar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1#监测点</w:t>
                  </w: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pH</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无量纲</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8.14</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含盐量</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mg/L</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镉</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0.18</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65</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汞</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0.272</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38</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砷</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13.8</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铅</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10.4</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800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铬（六价）</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5.7</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铜</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18000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镍</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46</w:t>
                  </w:r>
                </w:p>
              </w:tc>
              <w:tc>
                <w:tcPr>
                  <w:tcW w:w="1335" w:type="dxa"/>
                  <w:tcBorders>
                    <w:tl2br w:val="nil"/>
                    <w:tr2bl w:val="nil"/>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900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萘</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0.09</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茚并[1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3-cd]芘</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二苯并[a</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h]蒽</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䓛</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1293</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苯并[k]荧蒽</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151</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苯并[b]荧蒽</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0.2</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苯并[a]芘</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苯并[a]蒽</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2-氯酚</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0.06</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2256</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苯胺</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0.09L</w:t>
                  </w:r>
                </w:p>
              </w:tc>
              <w:tc>
                <w:tcPr>
                  <w:tcW w:w="1335" w:type="dxa"/>
                  <w:tcBorders>
                    <w:tl2br w:val="nil"/>
                    <w:tr2bl w:val="nil"/>
                  </w:tcBorders>
                  <w:noWrap w:val="0"/>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260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硝基苯</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0.09</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76</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邻二甲苯</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0.0012</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640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间，对-二甲苯</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0.0012</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甲苯</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0.0013</w:t>
                  </w:r>
                  <w:r>
                    <w:rPr>
                      <w:rFonts w:hint="eastAsia" w:cs="Times New Roman"/>
                      <w:b w:val="0"/>
                      <w:bCs w:val="0"/>
                      <w:color w:val="auto"/>
                      <w:kern w:val="2"/>
                      <w:sz w:val="21"/>
                      <w:szCs w:val="21"/>
                      <w:highlight w:val="none"/>
                      <w:lang w:val="en-US" w:eastAsia="zh-CN" w:bidi="ar-SA"/>
                    </w:rPr>
                    <w:t>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1200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苯乙烯</w:t>
                  </w:r>
                </w:p>
              </w:tc>
              <w:tc>
                <w:tcPr>
                  <w:tcW w:w="143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0.0011L</w:t>
                  </w:r>
                </w:p>
              </w:tc>
              <w:tc>
                <w:tcPr>
                  <w:tcW w:w="1335"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1290</w:t>
                  </w:r>
                </w:p>
              </w:tc>
              <w:tc>
                <w:tcPr>
                  <w:tcW w:w="557" w:type="dxa"/>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乙苯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0.0012</w:t>
                  </w:r>
                  <w:r>
                    <w:rPr>
                      <w:rFonts w:hint="eastAsia" w:cs="Times New Roman"/>
                      <w:b w:val="0"/>
                      <w:bCs w:val="0"/>
                      <w:color w:val="auto"/>
                      <w:kern w:val="2"/>
                      <w:sz w:val="21"/>
                      <w:szCs w:val="21"/>
                      <w:highlight w:val="none"/>
                      <w:lang w:val="en-US" w:eastAsia="zh-CN" w:bidi="ar-SA"/>
                    </w:rPr>
                    <w:t>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28</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1，4-二氯苯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0.0015L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20</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1，2-二氯苯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0.0015L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560</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0.0019L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4</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氯苯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0.0012L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270</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氯乙烯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0.43</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1，2，3-三氯丙烷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0.0012L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三氯乙烯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0.0012L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2.8</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1，1，2-三氯乙烷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0.0012L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2.8</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1，1，1-三氯乙烷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0.0013L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840</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四氯乙烯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0.0014L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53</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1，1，2，2-四氯乙烷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0.0012L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6.8</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1，1，1，2-四氯乙烷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0.0012L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1，2-二氯丙烷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0.0011L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二氯甲烷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0.0015L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616</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反式-1，2-二氯乙烯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0.0014L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54</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顺式-1，2-二氯乙烯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0.0013L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596</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1，1-二氯乙烯</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66</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1，2-二氯乙烷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0.0013L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1，1-二氯乙烷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0.0012</w:t>
                  </w:r>
                  <w:r>
                    <w:rPr>
                      <w:rFonts w:hint="eastAsia" w:cs="Times New Roman"/>
                      <w:b w:val="0"/>
                      <w:bCs w:val="0"/>
                      <w:color w:val="auto"/>
                      <w:kern w:val="2"/>
                      <w:sz w:val="21"/>
                      <w:szCs w:val="21"/>
                      <w:highlight w:val="none"/>
                      <w:lang w:val="en-US" w:eastAsia="zh-CN" w:bidi="ar-SA"/>
                    </w:rPr>
                    <w:t>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氯甲烷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2"/>
                      <w:sz w:val="21"/>
                      <w:szCs w:val="21"/>
                      <w:highlight w:val="none"/>
                      <w:lang w:val="en-US" w:eastAsia="zh-CN" w:bidi="ar-SA"/>
                    </w:rPr>
                    <w:t>0.001</w:t>
                  </w:r>
                  <w:r>
                    <w:rPr>
                      <w:rFonts w:hint="eastAsia" w:cs="Times New Roman"/>
                      <w:b w:val="0"/>
                      <w:bCs w:val="0"/>
                      <w:color w:val="auto"/>
                      <w:kern w:val="2"/>
                      <w:sz w:val="21"/>
                      <w:szCs w:val="21"/>
                      <w:highlight w:val="none"/>
                      <w:vertAlign w:val="baseline"/>
                      <w:lang w:val="en-US" w:eastAsia="zh-CN" w:bidi="ar-SA"/>
                    </w:rPr>
                    <w:t>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37</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氯仿</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0.0011</w:t>
                  </w:r>
                  <w:r>
                    <w:rPr>
                      <w:rFonts w:hint="eastAsia" w:cs="Times New Roman"/>
                      <w:b w:val="0"/>
                      <w:bCs w:val="0"/>
                      <w:color w:val="auto"/>
                      <w:kern w:val="2"/>
                      <w:sz w:val="21"/>
                      <w:szCs w:val="21"/>
                      <w:highlight w:val="none"/>
                      <w:lang w:val="en-US" w:eastAsia="zh-CN" w:bidi="ar-SA"/>
                    </w:rPr>
                    <w:t xml:space="preserve"> 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0.9</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四氯化碳</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mg/kg</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0.0013L</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2.8</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2#监测点</w:t>
                  </w: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pH</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无量纲</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lang w:val="en-US" w:eastAsia="zh-CN"/>
                    </w:rPr>
                    <w:t>8.33</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含盐量</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mg/L</w:t>
                  </w:r>
                </w:p>
              </w:tc>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13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55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镉</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lang w:val="en-US" w:eastAsia="zh-CN"/>
                    </w:rPr>
                    <w:t>0.12</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65</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汞</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0.288</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38</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13.2</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铅</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8.8</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800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铬（六价）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0.5L</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铜</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26</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18000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镍</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val="0"/>
                      <w:bCs w:val="0"/>
                      <w:color w:val="auto"/>
                      <w:sz w:val="21"/>
                      <w:szCs w:val="21"/>
                      <w:highlight w:val="none"/>
                      <w:lang w:val="en-US" w:eastAsia="zh-CN"/>
                    </w:rPr>
                    <w:t>46</w:t>
                  </w:r>
                </w:p>
              </w:tc>
              <w:tc>
                <w:tcPr>
                  <w:tcW w:w="1332"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900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3#监测点</w:t>
                  </w: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pH</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无量纲</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8.02</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含盐量</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mg/L</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0.4</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镉</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0.14</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65</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汞</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0.240</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38</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14.5</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铅</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800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铬（六价）</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0.5L</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铜</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27</w:t>
                  </w:r>
                </w:p>
              </w:tc>
              <w:tc>
                <w:tcPr>
                  <w:tcW w:w="133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18000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98" w:type="dxa"/>
                  <w:vMerge w:val="continue"/>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1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镍</w:t>
                  </w:r>
                </w:p>
              </w:tc>
              <w:tc>
                <w:tcPr>
                  <w:tcW w:w="143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mg/kg</w:t>
                  </w:r>
                </w:p>
              </w:tc>
              <w:tc>
                <w:tcPr>
                  <w:tcW w:w="13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43</w:t>
                  </w:r>
                </w:p>
              </w:tc>
              <w:tc>
                <w:tcPr>
                  <w:tcW w:w="1332"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900</w:t>
                  </w:r>
                </w:p>
              </w:tc>
              <w:tc>
                <w:tcPr>
                  <w:tcW w:w="55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是</w:t>
                  </w:r>
                </w:p>
              </w:tc>
            </w:tr>
          </w:tbl>
          <w:p>
            <w:pPr>
              <w:pStyle w:val="5"/>
              <w:ind w:firstLine="480" w:firstLineChars="200"/>
              <w:rPr>
                <w:rFonts w:hint="eastAsia"/>
                <w:color w:val="auto"/>
              </w:rPr>
            </w:pPr>
            <w:r>
              <w:rPr>
                <w:rFonts w:hint="eastAsia" w:ascii="Times New Roman" w:hAnsi="Times New Roman" w:eastAsia="宋体" w:cs="Times New Roman"/>
                <w:b w:val="0"/>
                <w:color w:val="auto"/>
                <w:lang w:eastAsia="zh-CN"/>
              </w:rPr>
              <w:t>由上表可以看出，项目区内土壤监测数据均满足</w:t>
            </w:r>
            <w:r>
              <w:rPr>
                <w:rFonts w:hint="default" w:ascii="Times New Roman" w:hAnsi="Times New Roman" w:eastAsia="宋体"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eastAsia="zh-CN"/>
              </w:rPr>
              <w:t>土壤环境质量建设用地土壤污染风险管控标准（试行）</w:t>
            </w:r>
            <w:r>
              <w:rPr>
                <w:rFonts w:hint="default" w:ascii="Times New Roman" w:hAnsi="Times New Roman" w:eastAsia="宋体"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GB36600-2018</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snapToGrid w:val="0"/>
                <w:color w:val="auto"/>
                <w:kern w:val="0"/>
                <w:sz w:val="24"/>
                <w:szCs w:val="32"/>
                <w:highlight w:val="none"/>
              </w:rPr>
              <w:t>中</w:t>
            </w:r>
            <w:r>
              <w:rPr>
                <w:rFonts w:hint="eastAsia" w:ascii="Times New Roman" w:hAnsi="Times New Roman" w:eastAsia="宋体" w:cs="Times New Roman"/>
                <w:b w:val="0"/>
                <w:bCs w:val="0"/>
                <w:snapToGrid w:val="0"/>
                <w:color w:val="auto"/>
                <w:kern w:val="0"/>
                <w:sz w:val="24"/>
                <w:szCs w:val="32"/>
                <w:highlight w:val="none"/>
                <w:lang w:eastAsia="zh-CN"/>
              </w:rPr>
              <w:t>筛选值</w:t>
            </w:r>
            <w:r>
              <w:rPr>
                <w:rFonts w:hint="eastAsia" w:cs="Times New Roman"/>
                <w:b w:val="0"/>
                <w:bCs w:val="0"/>
                <w:color w:val="auto"/>
                <w:sz w:val="24"/>
                <w:highlight w:val="none"/>
                <w:lang w:val="en-US" w:eastAsia="zh-CN"/>
              </w:rPr>
              <w:t>第二类</w:t>
            </w:r>
            <w:r>
              <w:rPr>
                <w:rFonts w:hint="default" w:ascii="Times New Roman" w:hAnsi="Times New Roman" w:eastAsia="宋体" w:cs="Times New Roman"/>
                <w:b w:val="0"/>
                <w:bCs w:val="0"/>
                <w:snapToGrid w:val="0"/>
                <w:color w:val="auto"/>
                <w:kern w:val="0"/>
                <w:sz w:val="24"/>
                <w:szCs w:val="32"/>
                <w:highlight w:val="none"/>
              </w:rPr>
              <w:t>标准</w:t>
            </w:r>
          </w:p>
          <w:p>
            <w:pPr>
              <w:pStyle w:val="5"/>
              <w:rPr>
                <w:color w:val="auto"/>
              </w:rPr>
            </w:pPr>
            <w:r>
              <w:rPr>
                <w:rFonts w:hint="eastAsia"/>
                <w:color w:val="auto"/>
                <w:lang w:val="en-US" w:eastAsia="zh-CN"/>
              </w:rPr>
              <w:t>6、</w:t>
            </w:r>
            <w:r>
              <w:rPr>
                <w:rFonts w:hint="eastAsia"/>
                <w:color w:val="auto"/>
              </w:rPr>
              <w:t>声环境质量</w:t>
            </w:r>
          </w:p>
          <w:p>
            <w:pPr>
              <w:ind w:firstLine="480"/>
              <w:rPr>
                <w:rFonts w:hint="eastAsia"/>
                <w:color w:val="auto"/>
              </w:rPr>
            </w:pPr>
            <w:r>
              <w:rPr>
                <w:rFonts w:hint="eastAsia"/>
                <w:color w:val="auto"/>
                <w:lang w:eastAsia="zh-CN"/>
              </w:rPr>
              <w:t>参照</w:t>
            </w:r>
            <w:r>
              <w:rPr>
                <w:color w:val="auto"/>
              </w:rPr>
              <w:t>《</w:t>
            </w:r>
            <w:r>
              <w:rPr>
                <w:rFonts w:hint="eastAsia"/>
                <w:color w:val="auto"/>
                <w:lang w:eastAsia="zh-CN"/>
              </w:rPr>
              <w:t>建设项目环境影响报告表编制技术指南</w:t>
            </w:r>
            <w:r>
              <w:rPr>
                <w:color w:val="auto"/>
              </w:rPr>
              <w:t>（</w:t>
            </w:r>
            <w:r>
              <w:rPr>
                <w:rFonts w:hint="eastAsia"/>
                <w:color w:val="auto"/>
                <w:lang w:eastAsia="zh-CN"/>
              </w:rPr>
              <w:t>污染类</w:t>
            </w:r>
            <w:r>
              <w:rPr>
                <w:color w:val="auto"/>
              </w:rPr>
              <w:t>）</w:t>
            </w:r>
            <w:r>
              <w:rPr>
                <w:rFonts w:hint="eastAsia"/>
                <w:color w:val="auto"/>
                <w:lang w:eastAsia="zh-CN"/>
              </w:rPr>
              <w:t>（试行）</w:t>
            </w:r>
            <w:r>
              <w:rPr>
                <w:color w:val="auto"/>
              </w:rPr>
              <w:t>》要求</w:t>
            </w:r>
            <w:r>
              <w:rPr>
                <w:rFonts w:hint="eastAsia"/>
                <w:color w:val="auto"/>
                <w:lang w:eastAsia="zh-CN"/>
              </w:rPr>
              <w:t>，</w:t>
            </w:r>
            <w:r>
              <w:rPr>
                <w:rFonts w:hint="eastAsia"/>
                <w:color w:val="auto"/>
              </w:rPr>
              <w:t>本项目区周边50m范围内无声环境敏感保护目标，故不进行声环境质量现状监测。</w:t>
            </w:r>
          </w:p>
          <w:p>
            <w:pPr>
              <w:pStyle w:val="5"/>
              <w:numPr>
                <w:ilvl w:val="0"/>
                <w:numId w:val="0"/>
              </w:numPr>
              <w:bidi w:val="0"/>
              <w:rPr>
                <w:rFonts w:hint="eastAsia"/>
                <w:color w:val="auto"/>
                <w:lang w:val="en-US" w:eastAsia="zh-CN"/>
              </w:rPr>
            </w:pPr>
            <w:r>
              <w:rPr>
                <w:rFonts w:hint="eastAsia"/>
                <w:color w:val="auto"/>
                <w:lang w:val="en-US" w:eastAsia="zh-CN"/>
              </w:rPr>
              <w:t>7、电磁辐射</w:t>
            </w:r>
          </w:p>
          <w:p>
            <w:pPr>
              <w:bidi w:val="0"/>
              <w:rPr>
                <w:rFonts w:hint="eastAsia"/>
                <w:color w:val="auto"/>
                <w:lang w:val="en-US" w:eastAsia="zh-CN"/>
              </w:rPr>
            </w:pPr>
            <w:r>
              <w:rPr>
                <w:rFonts w:hint="eastAsia"/>
                <w:color w:val="auto"/>
                <w:lang w:val="en-US" w:eastAsia="zh-CN"/>
              </w:rPr>
              <w:t>本项目为花岗岩开采，不涉及电磁辐射，故不进行电磁辐射的现状分析。</w:t>
            </w:r>
          </w:p>
          <w:p>
            <w:pPr>
              <w:pStyle w:val="5"/>
              <w:bidi w:val="0"/>
              <w:rPr>
                <w:rFonts w:hint="eastAsia"/>
                <w:color w:val="auto"/>
                <w:lang w:val="en-US" w:eastAsia="zh-CN"/>
              </w:rPr>
            </w:pPr>
            <w:r>
              <w:rPr>
                <w:rFonts w:hint="eastAsia"/>
                <w:color w:val="auto"/>
                <w:lang w:val="en-US" w:eastAsia="zh-CN"/>
              </w:rPr>
              <w:t>8、土地沙化现状</w:t>
            </w:r>
          </w:p>
          <w:p>
            <w:pPr>
              <w:bidi w:val="0"/>
              <w:rPr>
                <w:rFonts w:hint="eastAsia"/>
                <w:color w:val="auto"/>
                <w:highlight w:val="none"/>
                <w:lang w:val="en-US" w:eastAsia="zh-CN"/>
              </w:rPr>
            </w:pPr>
            <w:r>
              <w:rPr>
                <w:rFonts w:hint="eastAsia"/>
                <w:color w:val="auto"/>
                <w:lang w:val="en-US" w:eastAsia="zh-CN"/>
              </w:rPr>
              <w:t>根据《新疆第六次沙化监测报告》本项目位于非沙化区</w:t>
            </w:r>
            <w:r>
              <w:rPr>
                <w:rFonts w:hint="eastAsia"/>
                <w:color w:val="auto"/>
                <w:lang w:eastAsia="zh-CN"/>
              </w:rPr>
              <w:t>。</w:t>
            </w:r>
          </w:p>
          <w:p>
            <w:pPr>
              <w:pStyle w:val="10"/>
              <w:bidi w:val="0"/>
              <w:rPr>
                <w:rFonts w:hint="eastAsia"/>
                <w:color w:val="auto"/>
                <w:lang w:val="en-US"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2286635</wp:posOffset>
                      </wp:positionH>
                      <wp:positionV relativeFrom="paragraph">
                        <wp:posOffset>309880</wp:posOffset>
                      </wp:positionV>
                      <wp:extent cx="695960" cy="291465"/>
                      <wp:effectExtent l="12700" t="12700" r="243840" b="95885"/>
                      <wp:wrapNone/>
                      <wp:docPr id="9" name="矩形标注 9"/>
                      <wp:cNvGraphicFramePr/>
                      <a:graphic xmlns:a="http://schemas.openxmlformats.org/drawingml/2006/main">
                        <a:graphicData uri="http://schemas.microsoft.com/office/word/2010/wordprocessingShape">
                          <wps:wsp>
                            <wps:cNvSpPr/>
                            <wps:spPr>
                              <a:xfrm>
                                <a:off x="4573905" y="1409700"/>
                                <a:ext cx="695960" cy="291465"/>
                              </a:xfrm>
                              <a:prstGeom prst="wedgeRectCallout">
                                <a:avLst>
                                  <a:gd name="adj1" fmla="val 83029"/>
                                  <a:gd name="adj2" fmla="val 7636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both"/>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0.05pt;margin-top:24.4pt;height:22.95pt;width:54.8pt;z-index:251659264;v-text-anchor:middle;mso-width-relative:page;mso-height-relative:page;" filled="f" stroked="t" coordsize="21600,21600" o:gfxdata="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Ecp33YAAAACQEAAA8AAAAAAAAAAQAgAAAAIgAAAGRycy9kb3ducmV2&#10;LnhtbFBLAQIUABQAAAAIAIdO4kBZhwLSpwIAAC0FAAAOAAAAAAAAAAEAIAAAACcBAABkcnMvZTJv&#10;RG9jLnhtbFBLBQYAAAAABgAGAFkBAABABgAAAAA=&#10;" adj="28734,27294">
                      <v:fill on="f" focussize="0,0"/>
                      <v:stroke weight="2pt" color="#FF0000 [2404]" joinstyle="round"/>
                      <v:imagedata o:title=""/>
                      <o:lock v:ext="edit" aspectratio="f"/>
                      <v:textbox>
                        <w:txbxContent>
                          <w:p>
                            <w:pPr>
                              <w:ind w:left="0" w:leftChars="0" w:firstLine="0" w:firstLineChars="0"/>
                              <w:jc w:val="both"/>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rFonts w:hint="default" w:ascii="Times New Roman" w:hAnsi="Times New Roman" w:cs="Times New Roman"/>
                <w:color w:val="auto"/>
                <w:szCs w:val="28"/>
                <w:highlight w:val="none"/>
              </w:rPr>
              <w:drawing>
                <wp:inline distT="0" distB="0" distL="114300" distR="114300">
                  <wp:extent cx="4950460" cy="3624580"/>
                  <wp:effectExtent l="0" t="0" r="2540" b="13970"/>
                  <wp:docPr id="7" name="图片 2" descr="C:/Users/lenovo/AppData/Local/Temp/picturecompress_202110130057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lenovo/AppData/Local/Temp/picturecompress_20211013005746/output_1.jpgoutput_1"/>
                          <pic:cNvPicPr>
                            <a:picLocks noChangeAspect="1"/>
                          </pic:cNvPicPr>
                        </pic:nvPicPr>
                        <pic:blipFill>
                          <a:blip r:embed="rId11"/>
                          <a:srcRect l="2438"/>
                          <a:stretch>
                            <a:fillRect/>
                          </a:stretch>
                        </pic:blipFill>
                        <pic:spPr>
                          <a:xfrm>
                            <a:off x="0" y="0"/>
                            <a:ext cx="4950460" cy="3624580"/>
                          </a:xfrm>
                          <a:prstGeom prst="rect">
                            <a:avLst/>
                          </a:prstGeom>
                          <a:noFill/>
                          <a:ln>
                            <a:noFill/>
                          </a:ln>
                        </pic:spPr>
                      </pic:pic>
                    </a:graphicData>
                  </a:graphic>
                </wp:inline>
              </w:drawing>
            </w:r>
            <w:r>
              <w:rPr>
                <w:rFonts w:hint="eastAsia"/>
                <w:color w:val="auto"/>
                <w:lang w:val="en-US" w:eastAsia="zh-CN"/>
              </w:rPr>
              <w:t>图3-1 土地沙化现状示意图</w:t>
            </w:r>
          </w:p>
          <w:p>
            <w:pPr>
              <w:bidi w:val="0"/>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42" w:type="dxa"/>
            <w:vAlign w:val="center"/>
          </w:tcPr>
          <w:p>
            <w:pPr>
              <w:spacing w:line="240" w:lineRule="auto"/>
              <w:ind w:firstLine="0" w:firstLineChars="0"/>
              <w:rPr>
                <w:rFonts w:ascii="宋体" w:hAnsi="宋体" w:cs="宋体"/>
                <w:color w:val="auto"/>
                <w:kern w:val="0"/>
              </w:rPr>
            </w:pPr>
            <w:r>
              <w:rPr>
                <w:rFonts w:hint="eastAsia" w:ascii="宋体" w:hAnsi="宋体"/>
                <w:bCs/>
                <w:color w:val="auto"/>
              </w:rPr>
              <w:t>与项目有关的原有环境污染和生态破坏问题</w:t>
            </w:r>
          </w:p>
        </w:tc>
        <w:tc>
          <w:tcPr>
            <w:tcW w:w="8080" w:type="dxa"/>
          </w:tcPr>
          <w:p>
            <w:pPr>
              <w:bidi w:val="0"/>
              <w:rPr>
                <w:rFonts w:hint="eastAsia" w:eastAsia="仿宋_GB2312"/>
                <w:color w:val="auto"/>
                <w:lang w:val="en-US" w:eastAsia="zh-CN"/>
              </w:rPr>
            </w:pPr>
            <w:r>
              <w:rPr>
                <w:rFonts w:hint="eastAsia"/>
                <w:color w:val="auto"/>
                <w:lang w:val="en-US" w:eastAsia="zh-CN"/>
              </w:rPr>
              <w:t>无</w:t>
            </w:r>
            <w:r>
              <w:rPr>
                <w:rFonts w:hint="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442" w:type="dxa"/>
            <w:vAlign w:val="center"/>
          </w:tcPr>
          <w:p>
            <w:pPr>
              <w:spacing w:line="240" w:lineRule="auto"/>
              <w:ind w:firstLine="0" w:firstLineChars="0"/>
              <w:rPr>
                <w:rFonts w:ascii="宋体" w:hAnsi="宋体" w:cs="宋体"/>
                <w:color w:val="auto"/>
                <w:kern w:val="0"/>
              </w:rPr>
            </w:pPr>
            <w:r>
              <w:rPr>
                <w:rFonts w:hint="eastAsia" w:ascii="宋体" w:hAnsi="宋体" w:cs="宋体"/>
                <w:color w:val="auto"/>
                <w:kern w:val="0"/>
              </w:rPr>
              <w:t>生态环境保护目标</w:t>
            </w:r>
          </w:p>
        </w:tc>
        <w:tc>
          <w:tcPr>
            <w:tcW w:w="8080" w:type="dxa"/>
            <w:vAlign w:val="center"/>
          </w:tcPr>
          <w:p>
            <w:pPr>
              <w:bidi w:val="0"/>
              <w:rPr>
                <w:rFonts w:hint="eastAsia"/>
                <w:color w:val="auto"/>
                <w:lang w:val="en-US" w:eastAsia="zh-CN"/>
              </w:rPr>
            </w:pPr>
            <w:r>
              <w:rPr>
                <w:rFonts w:hint="eastAsia"/>
                <w:color w:val="auto"/>
                <w:lang w:eastAsia="zh-CN"/>
              </w:rPr>
              <w:t>根据《环境影响评价技术导则</w:t>
            </w:r>
            <w:r>
              <w:rPr>
                <w:rFonts w:hint="eastAsia"/>
                <w:color w:val="auto"/>
                <w:lang w:val="en-US" w:eastAsia="zh-CN"/>
              </w:rPr>
              <w:t xml:space="preserve"> </w:t>
            </w:r>
            <w:r>
              <w:rPr>
                <w:rFonts w:hint="eastAsia"/>
                <w:color w:val="auto"/>
                <w:lang w:eastAsia="zh-CN"/>
              </w:rPr>
              <w:t>生态影响》（</w:t>
            </w:r>
            <w:r>
              <w:rPr>
                <w:rFonts w:hint="eastAsia"/>
                <w:color w:val="auto"/>
                <w:lang w:val="en-US" w:eastAsia="zh-CN"/>
              </w:rPr>
              <w:t>HJ19-2022</w:t>
            </w:r>
            <w:r>
              <w:rPr>
                <w:rFonts w:hint="eastAsia"/>
                <w:color w:val="auto"/>
                <w:lang w:eastAsia="zh-CN"/>
              </w:rPr>
              <w:t>），项目区内</w:t>
            </w:r>
            <w:r>
              <w:rPr>
                <w:rFonts w:hint="eastAsia"/>
                <w:color w:val="auto"/>
                <w:lang w:val="en-US" w:eastAsia="zh-CN"/>
              </w:rPr>
              <w:t>无生态敏感区以及其他需要保护的物种、种群、生物群</w:t>
            </w:r>
            <w:r>
              <w:rPr>
                <w:rFonts w:hint="eastAsia"/>
                <w:color w:val="auto"/>
                <w:highlight w:val="none"/>
                <w:lang w:val="en-US" w:eastAsia="zh-CN"/>
              </w:rPr>
              <w:t>落及生</w:t>
            </w:r>
            <w:r>
              <w:rPr>
                <w:rFonts w:hint="eastAsia"/>
                <w:color w:val="auto"/>
                <w:lang w:val="en-US" w:eastAsia="zh-CN"/>
              </w:rPr>
              <w:t>态空间等。本项目区界外500m范围内无大气环境保护目标，矿界外50m范围内无声环境保护目标，矿界外500m范围内无地下水集中式饮用水水源和特殊地下水资源。</w:t>
            </w:r>
          </w:p>
          <w:p>
            <w:pPr>
              <w:bidi w:val="0"/>
              <w:rPr>
                <w:rFonts w:hint="eastAsia"/>
                <w:color w:val="auto"/>
                <w:lang w:val="en-US" w:eastAsia="zh-CN"/>
              </w:rPr>
            </w:pPr>
            <w:r>
              <w:rPr>
                <w:rFonts w:hint="eastAsia"/>
                <w:color w:val="auto"/>
                <w:lang w:eastAsia="zh-CN"/>
              </w:rPr>
              <w:t>本项目评价范围为矿区及周边</w:t>
            </w:r>
            <w:r>
              <w:rPr>
                <w:rFonts w:hint="eastAsia"/>
                <w:color w:val="auto"/>
                <w:lang w:val="en-US" w:eastAsia="zh-CN"/>
              </w:rPr>
              <w:t>500m范围，矿区范围内植被丰富，采取避让、移植、补偿修复措施，生态环境保护目标见表3-7。</w:t>
            </w:r>
          </w:p>
          <w:p>
            <w:pPr>
              <w:pStyle w:val="9"/>
              <w:keepNext w:val="0"/>
              <w:keepLines w:val="0"/>
              <w:pageBreakBefore w:val="0"/>
              <w:widowControl w:val="0"/>
              <w:kinsoku/>
              <w:wordWrap/>
              <w:overflowPunct/>
              <w:topLinePunct w:val="0"/>
              <w:autoSpaceDE/>
              <w:autoSpaceDN/>
              <w:bidi w:val="0"/>
              <w:adjustRightInd w:val="0"/>
              <w:snapToGrid w:val="0"/>
              <w:spacing w:line="240" w:lineRule="auto"/>
              <w:ind w:firstLine="398" w:firstLineChars="200"/>
              <w:jc w:val="both"/>
              <w:textAlignment w:val="auto"/>
              <w:rPr>
                <w:rFonts w:hint="eastAsia" w:ascii="宋体" w:hAnsi="宋体" w:eastAsia="宋体" w:cs="宋体"/>
                <w:color w:val="auto"/>
                <w:kern w:val="0"/>
                <w:szCs w:val="21"/>
                <w:vertAlign w:val="baseline"/>
                <w:lang w:eastAsia="zh-CN"/>
              </w:rPr>
            </w:pPr>
            <w:r>
              <w:rPr>
                <w:rFonts w:hint="eastAsia" w:ascii="Times New Roman" w:hAnsi="Times New Roman" w:eastAsia="宋体" w:cs="Times New Roman"/>
                <w:b/>
                <w:bCs/>
                <w:snapToGrid w:val="0"/>
                <w:color w:val="auto"/>
                <w:spacing w:val="-6"/>
                <w:kern w:val="0"/>
                <w:sz w:val="21"/>
                <w:szCs w:val="21"/>
                <w:lang w:val="en-US" w:eastAsia="zh-CN" w:bidi="ar-SA"/>
              </w:rPr>
              <w:t>表3-</w:t>
            </w:r>
            <w:r>
              <w:rPr>
                <w:rFonts w:hint="eastAsia" w:cs="Times New Roman"/>
                <w:b/>
                <w:bCs/>
                <w:snapToGrid w:val="0"/>
                <w:color w:val="auto"/>
                <w:spacing w:val="-6"/>
                <w:kern w:val="0"/>
                <w:sz w:val="21"/>
                <w:szCs w:val="21"/>
                <w:lang w:val="en-US" w:eastAsia="zh-CN" w:bidi="ar-SA"/>
              </w:rPr>
              <w:t>7</w:t>
            </w:r>
            <w:r>
              <w:rPr>
                <w:rFonts w:hint="eastAsia" w:eastAsia="宋体" w:cs="Times New Roman"/>
                <w:b/>
                <w:bCs/>
                <w:snapToGrid w:val="0"/>
                <w:color w:val="auto"/>
                <w:spacing w:val="-6"/>
                <w:kern w:val="0"/>
                <w:sz w:val="21"/>
                <w:szCs w:val="21"/>
                <w:lang w:val="en-US" w:eastAsia="zh-CN" w:bidi="ar-SA"/>
              </w:rPr>
              <w:t xml:space="preserve">                     </w:t>
            </w:r>
            <w:r>
              <w:rPr>
                <w:rFonts w:hint="eastAsia" w:ascii="Times New Roman" w:hAnsi="Times New Roman" w:eastAsia="宋体" w:cs="Times New Roman"/>
                <w:b/>
                <w:bCs/>
                <w:snapToGrid w:val="0"/>
                <w:color w:val="auto"/>
                <w:spacing w:val="-6"/>
                <w:kern w:val="0"/>
                <w:sz w:val="21"/>
                <w:szCs w:val="21"/>
                <w:lang w:val="en-US" w:eastAsia="zh-CN" w:bidi="ar-SA"/>
              </w:rPr>
              <w:t>生态环境保护目标一览表</w:t>
            </w:r>
          </w:p>
          <w:tbl>
            <w:tblPr>
              <w:tblStyle w:val="31"/>
              <w:tblW w:w="78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571"/>
              <w:gridCol w:w="885"/>
              <w:gridCol w:w="1035"/>
              <w:gridCol w:w="3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dxa"/>
                  <w:tcBorders>
                    <w:tl2br w:val="nil"/>
                    <w:tr2bl w:val="nil"/>
                  </w:tcBorders>
                  <w:vAlign w:val="center"/>
                </w:tcPr>
                <w:p>
                  <w:pPr>
                    <w:pStyle w:val="2"/>
                    <w:bidi w:val="0"/>
                    <w:jc w:val="center"/>
                    <w:rPr>
                      <w:rFonts w:hint="default" w:eastAsia="宋体"/>
                      <w:color w:val="auto"/>
                      <w:lang w:val="en-US" w:eastAsia="zh-CN"/>
                    </w:rPr>
                  </w:pPr>
                  <w:r>
                    <w:rPr>
                      <w:rFonts w:hint="eastAsia" w:eastAsia="宋体"/>
                      <w:color w:val="auto"/>
                      <w:lang w:val="en-US" w:eastAsia="zh-CN"/>
                    </w:rPr>
                    <w:t>环境要素</w:t>
                  </w:r>
                </w:p>
              </w:tc>
              <w:tc>
                <w:tcPr>
                  <w:tcW w:w="1571" w:type="dxa"/>
                  <w:tcBorders>
                    <w:tl2br w:val="nil"/>
                    <w:tr2bl w:val="nil"/>
                  </w:tcBorders>
                  <w:vAlign w:val="center"/>
                </w:tcPr>
                <w:p>
                  <w:pPr>
                    <w:pStyle w:val="2"/>
                    <w:bidi w:val="0"/>
                    <w:jc w:val="center"/>
                    <w:rPr>
                      <w:rFonts w:hint="default" w:eastAsia="宋体"/>
                      <w:color w:val="auto"/>
                      <w:lang w:val="en-US" w:eastAsia="zh-CN"/>
                    </w:rPr>
                  </w:pPr>
                  <w:r>
                    <w:rPr>
                      <w:rFonts w:hint="eastAsia" w:eastAsia="宋体"/>
                      <w:color w:val="auto"/>
                      <w:lang w:val="en-US" w:eastAsia="zh-CN"/>
                    </w:rPr>
                    <w:t>保护目标名称</w:t>
                  </w:r>
                </w:p>
              </w:tc>
              <w:tc>
                <w:tcPr>
                  <w:tcW w:w="885" w:type="dxa"/>
                  <w:tcBorders>
                    <w:tl2br w:val="nil"/>
                    <w:tr2bl w:val="nil"/>
                  </w:tcBorders>
                  <w:vAlign w:val="center"/>
                </w:tcPr>
                <w:p>
                  <w:pPr>
                    <w:pStyle w:val="2"/>
                    <w:bidi w:val="0"/>
                    <w:jc w:val="center"/>
                    <w:rPr>
                      <w:rFonts w:hint="eastAsia" w:eastAsia="宋体"/>
                      <w:color w:val="auto"/>
                      <w:lang w:eastAsia="zh-CN"/>
                    </w:rPr>
                  </w:pPr>
                  <w:r>
                    <w:rPr>
                      <w:rFonts w:hint="eastAsia" w:eastAsia="宋体"/>
                      <w:color w:val="auto"/>
                      <w:lang w:eastAsia="zh-CN"/>
                    </w:rPr>
                    <w:t>方位</w:t>
                  </w:r>
                </w:p>
              </w:tc>
              <w:tc>
                <w:tcPr>
                  <w:tcW w:w="1035" w:type="dxa"/>
                  <w:tcBorders>
                    <w:tl2br w:val="nil"/>
                    <w:tr2bl w:val="nil"/>
                  </w:tcBorders>
                  <w:vAlign w:val="center"/>
                </w:tcPr>
                <w:p>
                  <w:pPr>
                    <w:pStyle w:val="2"/>
                    <w:bidi w:val="0"/>
                    <w:jc w:val="center"/>
                    <w:rPr>
                      <w:rFonts w:hint="eastAsia" w:eastAsia="宋体"/>
                      <w:color w:val="auto"/>
                      <w:lang w:eastAsia="zh-CN"/>
                    </w:rPr>
                  </w:pPr>
                  <w:r>
                    <w:rPr>
                      <w:rFonts w:hint="eastAsia" w:eastAsia="宋体"/>
                      <w:color w:val="auto"/>
                      <w:lang w:eastAsia="zh-CN"/>
                    </w:rPr>
                    <w:t>距离</w:t>
                  </w:r>
                </w:p>
              </w:tc>
              <w:tc>
                <w:tcPr>
                  <w:tcW w:w="3083" w:type="dxa"/>
                  <w:tcBorders>
                    <w:tl2br w:val="nil"/>
                    <w:tr2bl w:val="nil"/>
                  </w:tcBorders>
                  <w:vAlign w:val="center"/>
                </w:tcPr>
                <w:p>
                  <w:pPr>
                    <w:pStyle w:val="2"/>
                    <w:bidi w:val="0"/>
                    <w:jc w:val="center"/>
                    <w:rPr>
                      <w:rFonts w:hint="eastAsia" w:eastAsia="宋体"/>
                      <w:color w:val="auto"/>
                      <w:lang w:eastAsia="zh-CN"/>
                    </w:rPr>
                  </w:pPr>
                  <w:r>
                    <w:rPr>
                      <w:rFonts w:hint="eastAsia" w:eastAsia="宋体"/>
                      <w:color w:val="auto"/>
                      <w:lang w:eastAsia="zh-CN"/>
                    </w:rPr>
                    <w:t>环境功能或保护要求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dxa"/>
                  <w:tcBorders>
                    <w:tl2br w:val="nil"/>
                    <w:tr2bl w:val="nil"/>
                  </w:tcBorders>
                  <w:vAlign w:val="center"/>
                </w:tcPr>
                <w:p>
                  <w:pPr>
                    <w:pStyle w:val="2"/>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生态</w:t>
                  </w:r>
                </w:p>
              </w:tc>
              <w:tc>
                <w:tcPr>
                  <w:tcW w:w="1571" w:type="dxa"/>
                  <w:tcBorders>
                    <w:tl2br w:val="nil"/>
                    <w:tr2bl w:val="nil"/>
                  </w:tcBorders>
                  <w:vAlign w:val="center"/>
                </w:tcPr>
                <w:p>
                  <w:pPr>
                    <w:pStyle w:val="2"/>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植被、土壤、动物</w:t>
                  </w:r>
                </w:p>
              </w:tc>
              <w:tc>
                <w:tcPr>
                  <w:tcW w:w="1920" w:type="dxa"/>
                  <w:gridSpan w:val="2"/>
                  <w:tcBorders>
                    <w:tl2br w:val="nil"/>
                    <w:tr2bl w:val="nil"/>
                  </w:tcBorders>
                  <w:vAlign w:val="center"/>
                </w:tcPr>
                <w:p>
                  <w:pPr>
                    <w:pStyle w:val="2"/>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矿区地表及周边的</w:t>
                  </w:r>
                  <w:r>
                    <w:rPr>
                      <w:rFonts w:hint="eastAsia" w:cs="Times New Roman"/>
                      <w:color w:val="auto"/>
                      <w:lang w:eastAsia="zh-CN"/>
                    </w:rPr>
                    <w:t>动植物</w:t>
                  </w:r>
                </w:p>
              </w:tc>
              <w:tc>
                <w:tcPr>
                  <w:tcW w:w="3083" w:type="dxa"/>
                  <w:tcBorders>
                    <w:tl2br w:val="nil"/>
                    <w:tr2bl w:val="nil"/>
                  </w:tcBorders>
                  <w:vAlign w:val="center"/>
                </w:tcPr>
                <w:p>
                  <w:pPr>
                    <w:pStyle w:val="2"/>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采取避让、减缓、</w:t>
                  </w:r>
                  <w:r>
                    <w:rPr>
                      <w:rFonts w:hint="eastAsia" w:cs="Times New Roman"/>
                      <w:color w:val="auto"/>
                      <w:lang w:val="en-US" w:eastAsia="zh-CN"/>
                    </w:rPr>
                    <w:t>移植</w:t>
                  </w:r>
                </w:p>
                <w:p>
                  <w:pPr>
                    <w:pStyle w:val="2"/>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补偿</w:t>
                  </w:r>
                  <w:r>
                    <w:rPr>
                      <w:rFonts w:hint="eastAsia" w:cs="Times New Roman"/>
                      <w:color w:val="auto"/>
                      <w:lang w:val="en-US" w:eastAsia="zh-CN"/>
                    </w:rPr>
                    <w:t>修复</w:t>
                  </w:r>
                  <w:r>
                    <w:rPr>
                      <w:rFonts w:hint="eastAsia" w:ascii="Times New Roman" w:hAnsi="Times New Roman" w:eastAsia="宋体" w:cs="Times New Roman"/>
                      <w:color w:val="auto"/>
                      <w:lang w:val="en-US" w:eastAsia="zh-CN"/>
                    </w:rPr>
                    <w:t>措施</w:t>
                  </w:r>
                </w:p>
              </w:tc>
            </w:tr>
          </w:tbl>
          <w:p>
            <w:pPr>
              <w:bidi w:val="0"/>
              <w:rPr>
                <w:rFonts w:ascii="宋体" w:hAnsi="宋体" w:cs="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42"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评价</w:t>
            </w:r>
          </w:p>
          <w:p>
            <w:pPr>
              <w:ind w:firstLine="0" w:firstLineChars="0"/>
              <w:jc w:val="center"/>
              <w:rPr>
                <w:rFonts w:ascii="宋体" w:hAnsi="宋体" w:cs="宋体"/>
                <w:color w:val="auto"/>
                <w:kern w:val="0"/>
              </w:rPr>
            </w:pPr>
            <w:r>
              <w:rPr>
                <w:rFonts w:hint="eastAsia" w:ascii="宋体" w:hAnsi="宋体" w:cs="宋体"/>
                <w:color w:val="auto"/>
                <w:kern w:val="0"/>
              </w:rPr>
              <w:t>标准</w:t>
            </w:r>
          </w:p>
        </w:tc>
        <w:tc>
          <w:tcPr>
            <w:tcW w:w="8080" w:type="dxa"/>
            <w:vAlign w:val="center"/>
          </w:tcPr>
          <w:p>
            <w:pPr>
              <w:pStyle w:val="5"/>
              <w:rPr>
                <w:color w:val="auto"/>
              </w:rPr>
            </w:pPr>
            <w:r>
              <w:rPr>
                <w:rFonts w:hint="eastAsia"/>
                <w:color w:val="auto"/>
              </w:rPr>
              <w:t>1、环境质量标准</w:t>
            </w:r>
          </w:p>
          <w:p>
            <w:pPr>
              <w:pStyle w:val="5"/>
              <w:rPr>
                <w:color w:val="auto"/>
              </w:rPr>
            </w:pPr>
            <w:r>
              <w:rPr>
                <w:rFonts w:hint="eastAsia"/>
                <w:color w:val="auto"/>
              </w:rPr>
              <w:t>1.1</w:t>
            </w:r>
            <w:r>
              <w:rPr>
                <w:color w:val="auto"/>
              </w:rPr>
              <w:t>环境空气</w:t>
            </w:r>
          </w:p>
          <w:p>
            <w:pPr>
              <w:ind w:firstLine="480"/>
              <w:rPr>
                <w:color w:val="auto"/>
              </w:rPr>
            </w:pPr>
            <w:r>
              <w:rPr>
                <w:color w:val="auto"/>
              </w:rPr>
              <w:t>环境空气质量执行《环境空气质量标准》</w:t>
            </w:r>
            <w:r>
              <w:rPr>
                <w:rFonts w:hint="eastAsia"/>
                <w:color w:val="auto"/>
              </w:rPr>
              <w:t>（</w:t>
            </w:r>
            <w:r>
              <w:rPr>
                <w:color w:val="auto"/>
              </w:rPr>
              <w:t>GB 3095-2012</w:t>
            </w:r>
            <w:r>
              <w:rPr>
                <w:rFonts w:hint="eastAsia"/>
                <w:color w:val="auto"/>
              </w:rPr>
              <w:t>）及其修改单</w:t>
            </w:r>
            <w:r>
              <w:rPr>
                <w:color w:val="auto"/>
              </w:rPr>
              <w:t>中的二级标准。</w:t>
            </w:r>
          </w:p>
          <w:p>
            <w:pPr>
              <w:pStyle w:val="44"/>
              <w:ind w:firstLine="398" w:firstLineChars="200"/>
              <w:jc w:val="both"/>
              <w:rPr>
                <w:b/>
                <w:bCs/>
                <w:color w:val="auto"/>
                <w:spacing w:val="-6"/>
              </w:rPr>
            </w:pPr>
            <w:r>
              <w:rPr>
                <w:rFonts w:hint="eastAsia"/>
                <w:b/>
                <w:bCs/>
                <w:color w:val="auto"/>
                <w:spacing w:val="-6"/>
              </w:rPr>
              <w:t>表</w:t>
            </w:r>
            <w:r>
              <w:rPr>
                <w:rFonts w:hint="eastAsia"/>
                <w:b/>
                <w:bCs/>
                <w:color w:val="auto"/>
                <w:spacing w:val="-6"/>
                <w:lang w:val="en-US" w:eastAsia="zh-CN"/>
              </w:rPr>
              <w:t>3-8</w:t>
            </w:r>
            <w:r>
              <w:rPr>
                <w:rFonts w:hint="eastAsia"/>
                <w:b/>
                <w:bCs/>
                <w:color w:val="auto"/>
                <w:spacing w:val="-6"/>
              </w:rPr>
              <w:t xml:space="preserve">                   环境空气质量标准</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798"/>
              <w:gridCol w:w="569"/>
              <w:gridCol w:w="786"/>
              <w:gridCol w:w="1928"/>
              <w:gridCol w:w="1209"/>
              <w:gridCol w:w="9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382" w:type="pct"/>
                  <w:vAlign w:val="center"/>
                </w:tcPr>
                <w:p>
                  <w:pPr>
                    <w:pStyle w:val="2"/>
                    <w:rPr>
                      <w:color w:val="auto"/>
                    </w:rPr>
                  </w:pPr>
                  <w:r>
                    <w:rPr>
                      <w:color w:val="auto"/>
                    </w:rPr>
                    <w:t>项目</w:t>
                  </w:r>
                </w:p>
              </w:tc>
              <w:tc>
                <w:tcPr>
                  <w:tcW w:w="1143" w:type="pct"/>
                  <w:vAlign w:val="center"/>
                </w:tcPr>
                <w:p>
                  <w:pPr>
                    <w:pStyle w:val="2"/>
                    <w:rPr>
                      <w:color w:val="auto"/>
                    </w:rPr>
                  </w:pPr>
                  <w:r>
                    <w:rPr>
                      <w:color w:val="auto"/>
                    </w:rPr>
                    <w:t>标准</w:t>
                  </w:r>
                </w:p>
              </w:tc>
              <w:tc>
                <w:tcPr>
                  <w:tcW w:w="362" w:type="pct"/>
                  <w:vAlign w:val="center"/>
                </w:tcPr>
                <w:p>
                  <w:pPr>
                    <w:pStyle w:val="2"/>
                    <w:rPr>
                      <w:color w:val="auto"/>
                    </w:rPr>
                  </w:pPr>
                  <w:r>
                    <w:rPr>
                      <w:color w:val="auto"/>
                    </w:rPr>
                    <w:t>级别</w:t>
                  </w:r>
                </w:p>
              </w:tc>
              <w:tc>
                <w:tcPr>
                  <w:tcW w:w="2495" w:type="pct"/>
                  <w:gridSpan w:val="3"/>
                  <w:vAlign w:val="center"/>
                </w:tcPr>
                <w:p>
                  <w:pPr>
                    <w:pStyle w:val="2"/>
                    <w:rPr>
                      <w:color w:val="auto"/>
                    </w:rPr>
                  </w:pPr>
                  <w:r>
                    <w:rPr>
                      <w:color w:val="auto"/>
                    </w:rPr>
                    <w:t>评价标准值</w:t>
                  </w:r>
                </w:p>
              </w:tc>
              <w:tc>
                <w:tcPr>
                  <w:tcW w:w="616" w:type="pct"/>
                  <w:vAlign w:val="center"/>
                </w:tcPr>
                <w:p>
                  <w:pPr>
                    <w:pStyle w:val="2"/>
                    <w:rPr>
                      <w:color w:val="auto"/>
                    </w:rPr>
                  </w:pPr>
                  <w:r>
                    <w:rPr>
                      <w:color w:val="auto"/>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restart"/>
                  <w:vAlign w:val="center"/>
                </w:tcPr>
                <w:p>
                  <w:pPr>
                    <w:pStyle w:val="2"/>
                    <w:rPr>
                      <w:color w:val="auto"/>
                    </w:rPr>
                  </w:pPr>
                  <w:r>
                    <w:rPr>
                      <w:color w:val="auto"/>
                    </w:rPr>
                    <w:t>环境</w:t>
                  </w:r>
                </w:p>
                <w:p>
                  <w:pPr>
                    <w:pStyle w:val="2"/>
                    <w:rPr>
                      <w:color w:val="auto"/>
                    </w:rPr>
                  </w:pPr>
                  <w:r>
                    <w:rPr>
                      <w:color w:val="auto"/>
                    </w:rPr>
                    <w:t>空气</w:t>
                  </w:r>
                </w:p>
              </w:tc>
              <w:tc>
                <w:tcPr>
                  <w:tcW w:w="1143" w:type="pct"/>
                  <w:vMerge w:val="restart"/>
                  <w:vAlign w:val="center"/>
                </w:tcPr>
                <w:p>
                  <w:pPr>
                    <w:pStyle w:val="2"/>
                    <w:rPr>
                      <w:color w:val="auto"/>
                    </w:rPr>
                  </w:pPr>
                  <w:r>
                    <w:rPr>
                      <w:color w:val="auto"/>
                    </w:rPr>
                    <w:t>环境空气质量标准</w:t>
                  </w:r>
                  <w:r>
                    <w:rPr>
                      <w:rFonts w:hint="eastAsia"/>
                      <w:color w:val="auto"/>
                    </w:rPr>
                    <w:t>（</w:t>
                  </w:r>
                  <w:r>
                    <w:rPr>
                      <w:color w:val="auto"/>
                    </w:rPr>
                    <w:t>GB3095-2012</w:t>
                  </w:r>
                  <w:r>
                    <w:rPr>
                      <w:rFonts w:hint="eastAsia"/>
                      <w:color w:val="auto"/>
                    </w:rPr>
                    <w:t>）</w:t>
                  </w:r>
                </w:p>
              </w:tc>
              <w:tc>
                <w:tcPr>
                  <w:tcW w:w="362" w:type="pct"/>
                  <w:vMerge w:val="restart"/>
                  <w:vAlign w:val="center"/>
                </w:tcPr>
                <w:p>
                  <w:pPr>
                    <w:pStyle w:val="2"/>
                    <w:rPr>
                      <w:color w:val="auto"/>
                    </w:rPr>
                  </w:pPr>
                  <w:r>
                    <w:rPr>
                      <w:color w:val="auto"/>
                    </w:rPr>
                    <w:t>二级</w:t>
                  </w:r>
                </w:p>
              </w:tc>
              <w:tc>
                <w:tcPr>
                  <w:tcW w:w="500" w:type="pct"/>
                  <w:vMerge w:val="restart"/>
                  <w:vAlign w:val="center"/>
                </w:tcPr>
                <w:p>
                  <w:pPr>
                    <w:pStyle w:val="2"/>
                    <w:rPr>
                      <w:color w:val="auto"/>
                    </w:rPr>
                  </w:pPr>
                  <w:r>
                    <w:rPr>
                      <w:color w:val="auto"/>
                    </w:rPr>
                    <w:t>SO</w:t>
                  </w:r>
                  <w:r>
                    <w:rPr>
                      <w:color w:val="auto"/>
                      <w:vertAlign w:val="subscript"/>
                    </w:rPr>
                    <w:t>2</w:t>
                  </w:r>
                </w:p>
              </w:tc>
              <w:tc>
                <w:tcPr>
                  <w:tcW w:w="1226" w:type="pct"/>
                  <w:vAlign w:val="center"/>
                </w:tcPr>
                <w:p>
                  <w:pPr>
                    <w:pStyle w:val="2"/>
                    <w:rPr>
                      <w:color w:val="auto"/>
                    </w:rPr>
                  </w:pPr>
                  <w:r>
                    <w:rPr>
                      <w:color w:val="auto"/>
                    </w:rPr>
                    <w:t>年平均</w:t>
                  </w:r>
                </w:p>
              </w:tc>
              <w:tc>
                <w:tcPr>
                  <w:tcW w:w="767" w:type="pct"/>
                  <w:vAlign w:val="center"/>
                </w:tcPr>
                <w:p>
                  <w:pPr>
                    <w:pStyle w:val="2"/>
                    <w:rPr>
                      <w:color w:val="auto"/>
                    </w:rPr>
                  </w:pPr>
                  <w:r>
                    <w:rPr>
                      <w:color w:val="auto"/>
                    </w:rPr>
                    <w:t>60</w:t>
                  </w:r>
                </w:p>
              </w:tc>
              <w:tc>
                <w:tcPr>
                  <w:tcW w:w="616" w:type="pct"/>
                  <w:vMerge w:val="restart"/>
                  <w:vAlign w:val="center"/>
                </w:tcPr>
                <w:p>
                  <w:pPr>
                    <w:pStyle w:val="2"/>
                    <w:rPr>
                      <w:color w:val="auto"/>
                    </w:rPr>
                  </w:pPr>
                  <w:r>
                    <w:rPr>
                      <w:rFonts w:hint="eastAsia"/>
                      <w:color w:val="auto"/>
                      <w:lang w:eastAsia="zh-CN"/>
                    </w:rPr>
                    <w:t>μg/m</w:t>
                  </w:r>
                  <w:r>
                    <w:rPr>
                      <w:rFonts w:hint="eastAsia"/>
                      <w:color w:val="auto"/>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日平均</w:t>
                  </w:r>
                </w:p>
              </w:tc>
              <w:tc>
                <w:tcPr>
                  <w:tcW w:w="767" w:type="pct"/>
                  <w:vAlign w:val="center"/>
                </w:tcPr>
                <w:p>
                  <w:pPr>
                    <w:pStyle w:val="2"/>
                    <w:rPr>
                      <w:color w:val="auto"/>
                    </w:rPr>
                  </w:pPr>
                  <w:r>
                    <w:rPr>
                      <w:color w:val="auto"/>
                    </w:rPr>
                    <w:t>150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小时平均</w:t>
                  </w:r>
                </w:p>
              </w:tc>
              <w:tc>
                <w:tcPr>
                  <w:tcW w:w="767" w:type="pct"/>
                  <w:vAlign w:val="center"/>
                </w:tcPr>
                <w:p>
                  <w:pPr>
                    <w:pStyle w:val="2"/>
                    <w:rPr>
                      <w:color w:val="auto"/>
                    </w:rPr>
                  </w:pPr>
                  <w:r>
                    <w:rPr>
                      <w:color w:val="auto"/>
                    </w:rPr>
                    <w:t>500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restart"/>
                  <w:vAlign w:val="center"/>
                </w:tcPr>
                <w:p>
                  <w:pPr>
                    <w:pStyle w:val="2"/>
                    <w:rPr>
                      <w:color w:val="auto"/>
                    </w:rPr>
                  </w:pPr>
                  <w:r>
                    <w:rPr>
                      <w:color w:val="auto"/>
                    </w:rPr>
                    <w:t>NO</w:t>
                  </w:r>
                  <w:r>
                    <w:rPr>
                      <w:color w:val="auto"/>
                      <w:vertAlign w:val="subscript"/>
                    </w:rPr>
                    <w:t>2</w:t>
                  </w:r>
                </w:p>
              </w:tc>
              <w:tc>
                <w:tcPr>
                  <w:tcW w:w="1226" w:type="pct"/>
                  <w:vAlign w:val="center"/>
                </w:tcPr>
                <w:p>
                  <w:pPr>
                    <w:pStyle w:val="2"/>
                    <w:rPr>
                      <w:color w:val="auto"/>
                    </w:rPr>
                  </w:pPr>
                  <w:r>
                    <w:rPr>
                      <w:color w:val="auto"/>
                    </w:rPr>
                    <w:t>年平均</w:t>
                  </w:r>
                </w:p>
              </w:tc>
              <w:tc>
                <w:tcPr>
                  <w:tcW w:w="767" w:type="pct"/>
                  <w:vAlign w:val="center"/>
                </w:tcPr>
                <w:p>
                  <w:pPr>
                    <w:pStyle w:val="2"/>
                    <w:rPr>
                      <w:color w:val="auto"/>
                    </w:rPr>
                  </w:pPr>
                  <w:r>
                    <w:rPr>
                      <w:color w:val="auto"/>
                    </w:rPr>
                    <w:t>40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日平均</w:t>
                  </w:r>
                </w:p>
              </w:tc>
              <w:tc>
                <w:tcPr>
                  <w:tcW w:w="767" w:type="pct"/>
                  <w:vAlign w:val="center"/>
                </w:tcPr>
                <w:p>
                  <w:pPr>
                    <w:pStyle w:val="2"/>
                    <w:rPr>
                      <w:color w:val="auto"/>
                    </w:rPr>
                  </w:pPr>
                  <w:r>
                    <w:rPr>
                      <w:color w:val="auto"/>
                    </w:rPr>
                    <w:t>80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小时平均</w:t>
                  </w:r>
                </w:p>
              </w:tc>
              <w:tc>
                <w:tcPr>
                  <w:tcW w:w="767" w:type="pct"/>
                  <w:vAlign w:val="center"/>
                </w:tcPr>
                <w:p>
                  <w:pPr>
                    <w:pStyle w:val="2"/>
                    <w:rPr>
                      <w:color w:val="auto"/>
                    </w:rPr>
                  </w:pPr>
                  <w:r>
                    <w:rPr>
                      <w:color w:val="auto"/>
                    </w:rPr>
                    <w:t>200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restart"/>
                  <w:vAlign w:val="center"/>
                </w:tcPr>
                <w:p>
                  <w:pPr>
                    <w:pStyle w:val="2"/>
                    <w:rPr>
                      <w:color w:val="auto"/>
                    </w:rPr>
                  </w:pPr>
                  <w:r>
                    <w:rPr>
                      <w:color w:val="auto"/>
                    </w:rPr>
                    <w:t>PM</w:t>
                  </w:r>
                  <w:r>
                    <w:rPr>
                      <w:color w:val="auto"/>
                      <w:vertAlign w:val="subscript"/>
                    </w:rPr>
                    <w:t>10</w:t>
                  </w:r>
                </w:p>
              </w:tc>
              <w:tc>
                <w:tcPr>
                  <w:tcW w:w="1226" w:type="pct"/>
                  <w:vAlign w:val="center"/>
                </w:tcPr>
                <w:p>
                  <w:pPr>
                    <w:pStyle w:val="2"/>
                    <w:rPr>
                      <w:color w:val="auto"/>
                    </w:rPr>
                  </w:pPr>
                  <w:r>
                    <w:rPr>
                      <w:color w:val="auto"/>
                    </w:rPr>
                    <w:t>年平均</w:t>
                  </w:r>
                </w:p>
              </w:tc>
              <w:tc>
                <w:tcPr>
                  <w:tcW w:w="767" w:type="pct"/>
                  <w:vAlign w:val="center"/>
                </w:tcPr>
                <w:p>
                  <w:pPr>
                    <w:pStyle w:val="2"/>
                    <w:rPr>
                      <w:color w:val="auto"/>
                    </w:rPr>
                  </w:pPr>
                  <w:r>
                    <w:rPr>
                      <w:color w:val="auto"/>
                    </w:rPr>
                    <w:t>70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日平均</w:t>
                  </w:r>
                </w:p>
              </w:tc>
              <w:tc>
                <w:tcPr>
                  <w:tcW w:w="767" w:type="pct"/>
                  <w:vAlign w:val="center"/>
                </w:tcPr>
                <w:p>
                  <w:pPr>
                    <w:pStyle w:val="2"/>
                    <w:rPr>
                      <w:color w:val="auto"/>
                    </w:rPr>
                  </w:pPr>
                  <w:r>
                    <w:rPr>
                      <w:color w:val="auto"/>
                    </w:rPr>
                    <w:t>150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restart"/>
                  <w:vAlign w:val="center"/>
                </w:tcPr>
                <w:p>
                  <w:pPr>
                    <w:pStyle w:val="2"/>
                    <w:rPr>
                      <w:color w:val="auto"/>
                    </w:rPr>
                  </w:pPr>
                  <w:r>
                    <w:rPr>
                      <w:color w:val="auto"/>
                    </w:rPr>
                    <w:t>PM</w:t>
                  </w:r>
                  <w:r>
                    <w:rPr>
                      <w:color w:val="auto"/>
                      <w:vertAlign w:val="subscript"/>
                    </w:rPr>
                    <w:t>2.5</w:t>
                  </w:r>
                </w:p>
              </w:tc>
              <w:tc>
                <w:tcPr>
                  <w:tcW w:w="1226" w:type="pct"/>
                  <w:vAlign w:val="center"/>
                </w:tcPr>
                <w:p>
                  <w:pPr>
                    <w:pStyle w:val="2"/>
                    <w:rPr>
                      <w:color w:val="auto"/>
                    </w:rPr>
                  </w:pPr>
                  <w:r>
                    <w:rPr>
                      <w:color w:val="auto"/>
                    </w:rPr>
                    <w:t>年平均</w:t>
                  </w:r>
                </w:p>
              </w:tc>
              <w:tc>
                <w:tcPr>
                  <w:tcW w:w="767" w:type="pct"/>
                  <w:vAlign w:val="center"/>
                </w:tcPr>
                <w:p>
                  <w:pPr>
                    <w:pStyle w:val="2"/>
                    <w:rPr>
                      <w:color w:val="auto"/>
                    </w:rPr>
                  </w:pPr>
                  <w:r>
                    <w:rPr>
                      <w:color w:val="auto"/>
                    </w:rPr>
                    <w:t>35</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日平均</w:t>
                  </w:r>
                </w:p>
              </w:tc>
              <w:tc>
                <w:tcPr>
                  <w:tcW w:w="767" w:type="pct"/>
                  <w:vAlign w:val="center"/>
                </w:tcPr>
                <w:p>
                  <w:pPr>
                    <w:pStyle w:val="2"/>
                    <w:rPr>
                      <w:color w:val="auto"/>
                    </w:rPr>
                  </w:pPr>
                  <w:r>
                    <w:rPr>
                      <w:color w:val="auto"/>
                    </w:rPr>
                    <w:t>75</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restart"/>
                  <w:vAlign w:val="center"/>
                </w:tcPr>
                <w:p>
                  <w:pPr>
                    <w:pStyle w:val="2"/>
                    <w:rPr>
                      <w:color w:val="auto"/>
                    </w:rPr>
                  </w:pPr>
                  <w:r>
                    <w:rPr>
                      <w:color w:val="auto"/>
                    </w:rPr>
                    <w:t>O</w:t>
                  </w:r>
                  <w:r>
                    <w:rPr>
                      <w:color w:val="auto"/>
                      <w:vertAlign w:val="subscript"/>
                    </w:rPr>
                    <w:t>3</w:t>
                  </w:r>
                </w:p>
              </w:tc>
              <w:tc>
                <w:tcPr>
                  <w:tcW w:w="1226" w:type="pct"/>
                  <w:vAlign w:val="center"/>
                </w:tcPr>
                <w:p>
                  <w:pPr>
                    <w:pStyle w:val="2"/>
                    <w:rPr>
                      <w:color w:val="auto"/>
                    </w:rPr>
                  </w:pPr>
                  <w:r>
                    <w:rPr>
                      <w:color w:val="auto"/>
                    </w:rPr>
                    <w:t>日最大8小时平均</w:t>
                  </w:r>
                </w:p>
              </w:tc>
              <w:tc>
                <w:tcPr>
                  <w:tcW w:w="767" w:type="pct"/>
                  <w:vAlign w:val="center"/>
                </w:tcPr>
                <w:p>
                  <w:pPr>
                    <w:pStyle w:val="2"/>
                    <w:rPr>
                      <w:color w:val="auto"/>
                    </w:rPr>
                  </w:pPr>
                  <w:r>
                    <w:rPr>
                      <w:color w:val="auto"/>
                    </w:rPr>
                    <w:t>160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小时平均</w:t>
                  </w:r>
                </w:p>
              </w:tc>
              <w:tc>
                <w:tcPr>
                  <w:tcW w:w="767" w:type="pct"/>
                  <w:vAlign w:val="center"/>
                </w:tcPr>
                <w:p>
                  <w:pPr>
                    <w:pStyle w:val="2"/>
                    <w:rPr>
                      <w:color w:val="auto"/>
                    </w:rPr>
                  </w:pPr>
                  <w:r>
                    <w:rPr>
                      <w:color w:val="auto"/>
                    </w:rPr>
                    <w:t>200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restart"/>
                  <w:vAlign w:val="center"/>
                </w:tcPr>
                <w:p>
                  <w:pPr>
                    <w:pStyle w:val="2"/>
                    <w:rPr>
                      <w:color w:val="auto"/>
                    </w:rPr>
                  </w:pPr>
                  <w:r>
                    <w:rPr>
                      <w:color w:val="auto"/>
                    </w:rPr>
                    <w:t>CO</w:t>
                  </w:r>
                </w:p>
              </w:tc>
              <w:tc>
                <w:tcPr>
                  <w:tcW w:w="1226" w:type="pct"/>
                  <w:vAlign w:val="center"/>
                </w:tcPr>
                <w:p>
                  <w:pPr>
                    <w:pStyle w:val="2"/>
                    <w:rPr>
                      <w:color w:val="auto"/>
                    </w:rPr>
                  </w:pPr>
                  <w:r>
                    <w:rPr>
                      <w:color w:val="auto"/>
                    </w:rPr>
                    <w:t>日平均</w:t>
                  </w:r>
                </w:p>
              </w:tc>
              <w:tc>
                <w:tcPr>
                  <w:tcW w:w="767" w:type="pct"/>
                  <w:vAlign w:val="center"/>
                </w:tcPr>
                <w:p>
                  <w:pPr>
                    <w:pStyle w:val="2"/>
                    <w:rPr>
                      <w:color w:val="auto"/>
                    </w:rPr>
                  </w:pPr>
                  <w:r>
                    <w:rPr>
                      <w:color w:val="auto"/>
                    </w:rPr>
                    <w:t>4</w:t>
                  </w:r>
                </w:p>
              </w:tc>
              <w:tc>
                <w:tcPr>
                  <w:tcW w:w="616" w:type="pct"/>
                  <w:vMerge w:val="restart"/>
                  <w:vAlign w:val="center"/>
                </w:tcPr>
                <w:p>
                  <w:pPr>
                    <w:pStyle w:val="2"/>
                    <w:rPr>
                      <w:color w:val="auto"/>
                    </w:rPr>
                  </w:pPr>
                  <w:r>
                    <w:rPr>
                      <w:color w:val="auto"/>
                    </w:rPr>
                    <w:t>mg/m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color w:val="auto"/>
                    </w:rPr>
                    <w:t>小时平均</w:t>
                  </w:r>
                </w:p>
              </w:tc>
              <w:tc>
                <w:tcPr>
                  <w:tcW w:w="767" w:type="pct"/>
                  <w:vAlign w:val="center"/>
                </w:tcPr>
                <w:p>
                  <w:pPr>
                    <w:pStyle w:val="2"/>
                    <w:rPr>
                      <w:color w:val="auto"/>
                    </w:rPr>
                  </w:pPr>
                  <w:r>
                    <w:rPr>
                      <w:color w:val="auto"/>
                    </w:rPr>
                    <w:t>10</w:t>
                  </w:r>
                </w:p>
              </w:tc>
              <w:tc>
                <w:tcPr>
                  <w:tcW w:w="616"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restart"/>
                  <w:vAlign w:val="center"/>
                </w:tcPr>
                <w:p>
                  <w:pPr>
                    <w:pStyle w:val="2"/>
                    <w:rPr>
                      <w:color w:val="auto"/>
                    </w:rPr>
                  </w:pPr>
                  <w:r>
                    <w:rPr>
                      <w:rFonts w:hint="eastAsia"/>
                      <w:color w:val="auto"/>
                    </w:rPr>
                    <w:t>TSP</w:t>
                  </w:r>
                </w:p>
              </w:tc>
              <w:tc>
                <w:tcPr>
                  <w:tcW w:w="1226" w:type="pct"/>
                  <w:vAlign w:val="center"/>
                </w:tcPr>
                <w:p>
                  <w:pPr>
                    <w:pStyle w:val="2"/>
                    <w:rPr>
                      <w:color w:val="auto"/>
                    </w:rPr>
                  </w:pPr>
                  <w:r>
                    <w:rPr>
                      <w:rFonts w:hint="eastAsia"/>
                      <w:color w:val="auto"/>
                    </w:rPr>
                    <w:t>年平均</w:t>
                  </w:r>
                </w:p>
              </w:tc>
              <w:tc>
                <w:tcPr>
                  <w:tcW w:w="767" w:type="pct"/>
                  <w:vAlign w:val="center"/>
                </w:tcPr>
                <w:p>
                  <w:pPr>
                    <w:pStyle w:val="2"/>
                    <w:rPr>
                      <w:color w:val="auto"/>
                    </w:rPr>
                  </w:pPr>
                  <w:r>
                    <w:rPr>
                      <w:rFonts w:hint="eastAsia"/>
                      <w:color w:val="auto"/>
                    </w:rPr>
                    <w:t>200</w:t>
                  </w:r>
                </w:p>
              </w:tc>
              <w:tc>
                <w:tcPr>
                  <w:tcW w:w="616" w:type="pct"/>
                  <w:vMerge w:val="restart"/>
                  <w:vAlign w:val="center"/>
                </w:tcPr>
                <w:p>
                  <w:pPr>
                    <w:pStyle w:val="2"/>
                    <w:rPr>
                      <w:color w:val="auto"/>
                    </w:rPr>
                  </w:pPr>
                  <w:r>
                    <w:rPr>
                      <w:rFonts w:hint="eastAsia"/>
                      <w:color w:val="auto"/>
                      <w:lang w:eastAsia="zh-CN"/>
                    </w:rPr>
                    <w:t>μg/m</w:t>
                  </w:r>
                  <w:r>
                    <w:rPr>
                      <w:rFonts w:hint="eastAsia"/>
                      <w:color w:val="auto"/>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82" w:type="pct"/>
                  <w:vMerge w:val="continue"/>
                  <w:vAlign w:val="center"/>
                </w:tcPr>
                <w:p>
                  <w:pPr>
                    <w:pStyle w:val="2"/>
                    <w:rPr>
                      <w:color w:val="auto"/>
                    </w:rPr>
                  </w:pPr>
                </w:p>
              </w:tc>
              <w:tc>
                <w:tcPr>
                  <w:tcW w:w="1143" w:type="pct"/>
                  <w:vMerge w:val="continue"/>
                  <w:vAlign w:val="center"/>
                </w:tcPr>
                <w:p>
                  <w:pPr>
                    <w:pStyle w:val="2"/>
                    <w:rPr>
                      <w:color w:val="auto"/>
                    </w:rPr>
                  </w:pPr>
                </w:p>
              </w:tc>
              <w:tc>
                <w:tcPr>
                  <w:tcW w:w="362" w:type="pct"/>
                  <w:vMerge w:val="continue"/>
                  <w:vAlign w:val="center"/>
                </w:tcPr>
                <w:p>
                  <w:pPr>
                    <w:pStyle w:val="2"/>
                    <w:rPr>
                      <w:color w:val="auto"/>
                    </w:rPr>
                  </w:pPr>
                </w:p>
              </w:tc>
              <w:tc>
                <w:tcPr>
                  <w:tcW w:w="500" w:type="pct"/>
                  <w:vMerge w:val="continue"/>
                  <w:vAlign w:val="center"/>
                </w:tcPr>
                <w:p>
                  <w:pPr>
                    <w:pStyle w:val="2"/>
                    <w:rPr>
                      <w:color w:val="auto"/>
                    </w:rPr>
                  </w:pPr>
                </w:p>
              </w:tc>
              <w:tc>
                <w:tcPr>
                  <w:tcW w:w="1226" w:type="pct"/>
                  <w:vAlign w:val="center"/>
                </w:tcPr>
                <w:p>
                  <w:pPr>
                    <w:pStyle w:val="2"/>
                    <w:rPr>
                      <w:color w:val="auto"/>
                    </w:rPr>
                  </w:pPr>
                  <w:r>
                    <w:rPr>
                      <w:rFonts w:hint="eastAsia"/>
                      <w:color w:val="auto"/>
                    </w:rPr>
                    <w:t>24小时平均</w:t>
                  </w:r>
                </w:p>
              </w:tc>
              <w:tc>
                <w:tcPr>
                  <w:tcW w:w="767" w:type="pct"/>
                  <w:vAlign w:val="center"/>
                </w:tcPr>
                <w:p>
                  <w:pPr>
                    <w:pStyle w:val="2"/>
                    <w:rPr>
                      <w:color w:val="auto"/>
                    </w:rPr>
                  </w:pPr>
                  <w:r>
                    <w:rPr>
                      <w:rFonts w:hint="eastAsia"/>
                      <w:color w:val="auto"/>
                    </w:rPr>
                    <w:t>300</w:t>
                  </w:r>
                </w:p>
              </w:tc>
              <w:tc>
                <w:tcPr>
                  <w:tcW w:w="616" w:type="pct"/>
                  <w:vMerge w:val="continue"/>
                  <w:vAlign w:val="center"/>
                </w:tcPr>
                <w:p>
                  <w:pPr>
                    <w:pStyle w:val="2"/>
                    <w:rPr>
                      <w:color w:val="auto"/>
                    </w:rPr>
                  </w:pPr>
                </w:p>
              </w:tc>
            </w:tr>
          </w:tbl>
          <w:p>
            <w:pPr>
              <w:pStyle w:val="5"/>
              <w:rPr>
                <w:color w:val="auto"/>
              </w:rPr>
            </w:pPr>
            <w:r>
              <w:rPr>
                <w:rFonts w:hint="eastAsia"/>
                <w:color w:val="auto"/>
              </w:rPr>
              <w:t>1.2</w:t>
            </w:r>
            <w:r>
              <w:rPr>
                <w:color w:val="auto"/>
              </w:rPr>
              <w:t>声环</w:t>
            </w:r>
            <w:r>
              <w:rPr>
                <w:rFonts w:hint="eastAsia"/>
                <w:color w:val="auto"/>
              </w:rPr>
              <w:t>境</w:t>
            </w:r>
          </w:p>
          <w:p>
            <w:pPr>
              <w:autoSpaceDE w:val="0"/>
              <w:autoSpaceDN w:val="0"/>
              <w:ind w:firstLine="480"/>
              <w:rPr>
                <w:rFonts w:hAnsi="宋体"/>
                <w:b/>
                <w:bCs/>
                <w:color w:val="auto"/>
                <w:kern w:val="0"/>
              </w:rPr>
            </w:pPr>
            <w:r>
              <w:rPr>
                <w:color w:val="auto"/>
              </w:rPr>
              <w:t>该项目所在地声环境质量执行《声环境质量标准》（GB3096－2008）</w:t>
            </w:r>
            <w:r>
              <w:rPr>
                <w:rFonts w:hint="eastAsia"/>
                <w:color w:val="auto"/>
                <w:lang w:val="en-US" w:eastAsia="zh-CN"/>
              </w:rPr>
              <w:t>2</w:t>
            </w:r>
            <w:r>
              <w:rPr>
                <w:color w:val="auto"/>
              </w:rPr>
              <w:t>类</w:t>
            </w:r>
            <w:r>
              <w:rPr>
                <w:rFonts w:hint="eastAsia"/>
                <w:color w:val="auto"/>
              </w:rPr>
              <w:t>区</w:t>
            </w:r>
            <w:r>
              <w:rPr>
                <w:color w:val="auto"/>
              </w:rPr>
              <w:t>标准执行，即昼间≤6</w:t>
            </w:r>
            <w:r>
              <w:rPr>
                <w:rFonts w:hint="eastAsia"/>
                <w:color w:val="auto"/>
                <w:lang w:val="en-US" w:eastAsia="zh-CN"/>
              </w:rPr>
              <w:t>0</w:t>
            </w:r>
            <w:r>
              <w:rPr>
                <w:color w:val="auto"/>
              </w:rPr>
              <w:t>dB</w:t>
            </w:r>
            <w:r>
              <w:rPr>
                <w:rFonts w:hint="eastAsia"/>
                <w:color w:val="auto"/>
              </w:rPr>
              <w:t>（</w:t>
            </w:r>
            <w:r>
              <w:rPr>
                <w:color w:val="auto"/>
              </w:rPr>
              <w:t>A</w:t>
            </w:r>
            <w:r>
              <w:rPr>
                <w:rFonts w:hint="eastAsia"/>
                <w:color w:val="auto"/>
              </w:rPr>
              <w:t>）</w:t>
            </w:r>
            <w:r>
              <w:rPr>
                <w:color w:val="auto"/>
              </w:rPr>
              <w:t>，夜间≤5</w:t>
            </w:r>
            <w:r>
              <w:rPr>
                <w:rFonts w:hint="eastAsia"/>
                <w:color w:val="auto"/>
                <w:lang w:val="en-US" w:eastAsia="zh-CN"/>
              </w:rPr>
              <w:t>0</w:t>
            </w:r>
            <w:r>
              <w:rPr>
                <w:color w:val="auto"/>
              </w:rPr>
              <w:t>dB</w:t>
            </w:r>
            <w:r>
              <w:rPr>
                <w:rFonts w:hint="eastAsia"/>
                <w:color w:val="auto"/>
              </w:rPr>
              <w:t>（</w:t>
            </w:r>
            <w:r>
              <w:rPr>
                <w:color w:val="auto"/>
              </w:rPr>
              <w:t>A</w:t>
            </w:r>
            <w:r>
              <w:rPr>
                <w:rFonts w:hint="eastAsia"/>
                <w:color w:val="auto"/>
              </w:rPr>
              <w:t>）</w:t>
            </w:r>
            <w:r>
              <w:rPr>
                <w:color w:val="auto"/>
              </w:rPr>
              <w:t>。</w:t>
            </w:r>
          </w:p>
          <w:p>
            <w:pPr>
              <w:pStyle w:val="5"/>
              <w:rPr>
                <w:color w:val="auto"/>
              </w:rPr>
            </w:pPr>
            <w:r>
              <w:rPr>
                <w:rFonts w:hint="eastAsia"/>
                <w:color w:val="auto"/>
              </w:rPr>
              <w:t>2、污染物排放标准</w:t>
            </w:r>
          </w:p>
          <w:p>
            <w:pPr>
              <w:pStyle w:val="5"/>
              <w:rPr>
                <w:color w:val="auto"/>
              </w:rPr>
            </w:pPr>
            <w:r>
              <w:rPr>
                <w:rFonts w:hint="eastAsia"/>
                <w:color w:val="auto"/>
              </w:rPr>
              <w:t>2.1</w:t>
            </w:r>
            <w:r>
              <w:rPr>
                <w:color w:val="auto"/>
              </w:rPr>
              <w:t>大气污染物排放标准</w:t>
            </w:r>
          </w:p>
          <w:p>
            <w:pPr>
              <w:ind w:firstLine="480"/>
              <w:rPr>
                <w:color w:val="auto"/>
              </w:rPr>
            </w:pPr>
            <w:r>
              <w:rPr>
                <w:color w:val="auto"/>
              </w:rPr>
              <w:t>本项目颗粒物执行《大气污染物综合排放标准》</w:t>
            </w:r>
            <w:r>
              <w:rPr>
                <w:rFonts w:hint="eastAsia"/>
                <w:color w:val="auto"/>
              </w:rPr>
              <w:t>（</w:t>
            </w:r>
            <w:r>
              <w:rPr>
                <w:color w:val="auto"/>
              </w:rPr>
              <w:t>GB16297-1996</w:t>
            </w:r>
            <w:r>
              <w:rPr>
                <w:rFonts w:hint="eastAsia"/>
                <w:color w:val="auto"/>
              </w:rPr>
              <w:t>）</w:t>
            </w:r>
            <w:r>
              <w:rPr>
                <w:rFonts w:hint="eastAsia"/>
                <w:color w:val="auto"/>
                <w:lang w:eastAsia="zh-CN"/>
              </w:rPr>
              <w:t>表</w:t>
            </w:r>
            <w:r>
              <w:rPr>
                <w:rFonts w:hint="eastAsia"/>
                <w:color w:val="auto"/>
                <w:lang w:val="en-US" w:eastAsia="zh-CN"/>
              </w:rPr>
              <w:t>2排放</w:t>
            </w:r>
            <w:r>
              <w:rPr>
                <w:color w:val="auto"/>
              </w:rPr>
              <w:t>限值</w:t>
            </w:r>
            <w:r>
              <w:rPr>
                <w:rFonts w:hint="eastAsia"/>
                <w:color w:val="auto"/>
              </w:rPr>
              <w:t>，详</w:t>
            </w:r>
            <w:r>
              <w:rPr>
                <w:color w:val="auto"/>
              </w:rPr>
              <w:t>见表</w:t>
            </w:r>
            <w:r>
              <w:rPr>
                <w:rFonts w:hint="eastAsia"/>
                <w:color w:val="auto"/>
                <w:lang w:val="en-US" w:eastAsia="zh-CN"/>
              </w:rPr>
              <w:t>3-9。</w:t>
            </w:r>
            <w:r>
              <w:rPr>
                <w:rFonts w:hint="eastAsia"/>
              </w:rPr>
              <w:t>食堂油烟废气执行《饮食业油烟排放标准》（GB18483-2001）中表1和表2标准</w:t>
            </w:r>
            <w:r>
              <w:rPr>
                <w:rFonts w:hint="eastAsia"/>
                <w:lang w:eastAsia="zh-CN"/>
              </w:rPr>
              <w:t>，详见表</w:t>
            </w:r>
            <w:r>
              <w:rPr>
                <w:rFonts w:hint="eastAsia"/>
                <w:lang w:val="en-US" w:eastAsia="zh-CN"/>
              </w:rPr>
              <w:t>3-10。</w:t>
            </w:r>
          </w:p>
          <w:p>
            <w:pPr>
              <w:pStyle w:val="44"/>
              <w:ind w:firstLine="398" w:firstLineChars="200"/>
              <w:jc w:val="both"/>
              <w:rPr>
                <w:b/>
                <w:bCs/>
                <w:color w:val="auto"/>
                <w:spacing w:val="-6"/>
              </w:rPr>
            </w:pPr>
            <w:r>
              <w:rPr>
                <w:rFonts w:hint="eastAsia"/>
                <w:b/>
                <w:bCs/>
                <w:color w:val="auto"/>
                <w:spacing w:val="-6"/>
              </w:rPr>
              <w:t>表</w:t>
            </w:r>
            <w:r>
              <w:rPr>
                <w:rFonts w:hint="eastAsia"/>
                <w:b/>
                <w:bCs/>
                <w:color w:val="auto"/>
                <w:spacing w:val="-6"/>
                <w:lang w:val="en-US" w:eastAsia="zh-CN"/>
              </w:rPr>
              <w:t>3-9</w:t>
            </w:r>
            <w:r>
              <w:rPr>
                <w:rFonts w:hint="eastAsia"/>
                <w:b/>
                <w:bCs/>
                <w:color w:val="auto"/>
                <w:spacing w:val="-6"/>
              </w:rPr>
              <w:t xml:space="preserve">            《大气污染物综合排放标准》二级标准</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3216"/>
              <w:gridCol w:w="2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189" w:type="pct"/>
                  <w:vMerge w:val="restart"/>
                  <w:vAlign w:val="center"/>
                </w:tcPr>
                <w:p>
                  <w:pPr>
                    <w:pStyle w:val="2"/>
                    <w:widowControl w:val="0"/>
                    <w:rPr>
                      <w:color w:val="auto"/>
                      <w:szCs w:val="21"/>
                    </w:rPr>
                  </w:pPr>
                  <w:r>
                    <w:rPr>
                      <w:color w:val="auto"/>
                      <w:szCs w:val="21"/>
                    </w:rPr>
                    <w:t>污染物</w:t>
                  </w:r>
                </w:p>
              </w:tc>
              <w:tc>
                <w:tcPr>
                  <w:tcW w:w="3810" w:type="pct"/>
                  <w:gridSpan w:val="2"/>
                  <w:vAlign w:val="center"/>
                </w:tcPr>
                <w:p>
                  <w:pPr>
                    <w:pStyle w:val="2"/>
                    <w:widowControl w:val="0"/>
                    <w:rPr>
                      <w:color w:val="auto"/>
                      <w:szCs w:val="21"/>
                    </w:rPr>
                  </w:pPr>
                  <w:r>
                    <w:rPr>
                      <w:color w:val="auto"/>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189" w:type="pct"/>
                  <w:vMerge w:val="continue"/>
                  <w:vAlign w:val="center"/>
                </w:tcPr>
                <w:p>
                  <w:pPr>
                    <w:pStyle w:val="2"/>
                    <w:widowControl w:val="0"/>
                    <w:rPr>
                      <w:color w:val="auto"/>
                      <w:szCs w:val="21"/>
                    </w:rPr>
                  </w:pPr>
                </w:p>
              </w:tc>
              <w:tc>
                <w:tcPr>
                  <w:tcW w:w="2045" w:type="pct"/>
                  <w:vMerge w:val="restart"/>
                  <w:vAlign w:val="center"/>
                </w:tcPr>
                <w:p>
                  <w:pPr>
                    <w:pStyle w:val="2"/>
                    <w:widowControl w:val="0"/>
                    <w:ind w:firstLine="315" w:firstLineChars="150"/>
                    <w:rPr>
                      <w:color w:val="auto"/>
                      <w:szCs w:val="21"/>
                    </w:rPr>
                  </w:pPr>
                  <w:r>
                    <w:rPr>
                      <w:color w:val="auto"/>
                      <w:szCs w:val="21"/>
                    </w:rPr>
                    <w:t>监控点</w:t>
                  </w:r>
                </w:p>
              </w:tc>
              <w:tc>
                <w:tcPr>
                  <w:tcW w:w="1765" w:type="pct"/>
                  <w:vMerge w:val="restart"/>
                  <w:vAlign w:val="center"/>
                </w:tcPr>
                <w:p>
                  <w:pPr>
                    <w:pStyle w:val="2"/>
                    <w:widowControl w:val="0"/>
                    <w:rPr>
                      <w:color w:val="auto"/>
                      <w:szCs w:val="21"/>
                    </w:rPr>
                  </w:pPr>
                  <w:r>
                    <w:rPr>
                      <w:color w:val="auto"/>
                      <w:szCs w:val="21"/>
                    </w:rPr>
                    <w:t>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189" w:type="pct"/>
                  <w:vMerge w:val="continue"/>
                  <w:vAlign w:val="center"/>
                </w:tcPr>
                <w:p>
                  <w:pPr>
                    <w:pStyle w:val="2"/>
                    <w:widowControl w:val="0"/>
                    <w:ind w:firstLine="420"/>
                    <w:rPr>
                      <w:color w:val="auto"/>
                      <w:szCs w:val="21"/>
                    </w:rPr>
                  </w:pPr>
                </w:p>
              </w:tc>
              <w:tc>
                <w:tcPr>
                  <w:tcW w:w="2045" w:type="pct"/>
                  <w:vMerge w:val="continue"/>
                  <w:vAlign w:val="center"/>
                </w:tcPr>
                <w:p>
                  <w:pPr>
                    <w:pStyle w:val="2"/>
                    <w:widowControl w:val="0"/>
                    <w:ind w:firstLine="315" w:firstLineChars="150"/>
                    <w:rPr>
                      <w:color w:val="auto"/>
                      <w:szCs w:val="21"/>
                    </w:rPr>
                  </w:pPr>
                </w:p>
              </w:tc>
              <w:tc>
                <w:tcPr>
                  <w:tcW w:w="1765" w:type="pct"/>
                  <w:vMerge w:val="continue"/>
                  <w:vAlign w:val="center"/>
                </w:tcPr>
                <w:p>
                  <w:pPr>
                    <w:pStyle w:val="2"/>
                    <w:widowControl w:val="0"/>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0" w:hRule="atLeast"/>
              </w:trPr>
              <w:tc>
                <w:tcPr>
                  <w:tcW w:w="1189" w:type="pct"/>
                  <w:vAlign w:val="center"/>
                </w:tcPr>
                <w:p>
                  <w:pPr>
                    <w:pStyle w:val="2"/>
                    <w:widowControl w:val="0"/>
                    <w:rPr>
                      <w:color w:val="auto"/>
                      <w:szCs w:val="21"/>
                    </w:rPr>
                  </w:pPr>
                  <w:r>
                    <w:rPr>
                      <w:color w:val="auto"/>
                      <w:szCs w:val="21"/>
                    </w:rPr>
                    <w:t>颗粒物</w:t>
                  </w:r>
                </w:p>
              </w:tc>
              <w:tc>
                <w:tcPr>
                  <w:tcW w:w="2045" w:type="pct"/>
                  <w:vAlign w:val="center"/>
                </w:tcPr>
                <w:p>
                  <w:pPr>
                    <w:pStyle w:val="2"/>
                    <w:widowControl w:val="0"/>
                    <w:rPr>
                      <w:color w:val="auto"/>
                      <w:szCs w:val="21"/>
                    </w:rPr>
                  </w:pPr>
                  <w:r>
                    <w:rPr>
                      <w:color w:val="auto"/>
                      <w:szCs w:val="21"/>
                    </w:rPr>
                    <w:t>周界外浓度最高点</w:t>
                  </w:r>
                </w:p>
              </w:tc>
              <w:tc>
                <w:tcPr>
                  <w:tcW w:w="1765" w:type="pct"/>
                  <w:vAlign w:val="center"/>
                </w:tcPr>
                <w:p>
                  <w:pPr>
                    <w:pStyle w:val="2"/>
                    <w:widowControl w:val="0"/>
                    <w:rPr>
                      <w:color w:val="auto"/>
                      <w:szCs w:val="21"/>
                    </w:rPr>
                  </w:pPr>
                  <w:r>
                    <w:rPr>
                      <w:color w:val="auto"/>
                      <w:szCs w:val="21"/>
                    </w:rPr>
                    <w:t>1.0</w:t>
                  </w:r>
                </w:p>
              </w:tc>
            </w:tr>
          </w:tbl>
          <w:p>
            <w:pPr>
              <w:pStyle w:val="7"/>
              <w:bidi w:val="0"/>
              <w:rPr>
                <w:rFonts w:hint="default"/>
                <w:lang w:val="en-US" w:eastAsia="zh-CN"/>
              </w:rPr>
            </w:pPr>
            <w:r>
              <w:rPr>
                <w:rFonts w:hint="eastAsia"/>
                <w:lang w:val="en-US" w:eastAsia="zh-CN"/>
              </w:rPr>
              <w:t>表3-10                   饮食业油烟排放标准（节选）</w:t>
            </w:r>
          </w:p>
          <w:tbl>
            <w:tblPr>
              <w:tblStyle w:val="30"/>
              <w:tblW w:w="49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2"/>
              <w:gridCol w:w="3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57" w:type="pct"/>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规模</w:t>
                  </w:r>
                </w:p>
              </w:tc>
              <w:tc>
                <w:tcPr>
                  <w:tcW w:w="2542" w:type="pct"/>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小型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57" w:type="pct"/>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基准灶头数</w:t>
                  </w:r>
                </w:p>
              </w:tc>
              <w:tc>
                <w:tcPr>
                  <w:tcW w:w="2542" w:type="pct"/>
                  <w:tcBorders>
                    <w:tl2br w:val="nil"/>
                    <w:tr2bl w:val="nil"/>
                  </w:tcBorders>
                  <w:vAlign w:val="center"/>
                </w:tcPr>
                <w:p>
                  <w:pPr>
                    <w:pStyle w:val="2"/>
                    <w:widowControl w:val="0"/>
                    <w:adjustRightInd w:val="0"/>
                    <w:spacing w:before="0" w:after="0" w:line="240" w:lineRule="auto"/>
                    <w:ind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57" w:type="pct"/>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最高允许排放浓度（mg/m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w:t>
                  </w:r>
                </w:p>
              </w:tc>
              <w:tc>
                <w:tcPr>
                  <w:tcW w:w="2542" w:type="pct"/>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2457" w:type="pct"/>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净化设施最低去除效率（%）</w:t>
                  </w:r>
                </w:p>
              </w:tc>
              <w:tc>
                <w:tcPr>
                  <w:tcW w:w="2542" w:type="pct"/>
                  <w:tcBorders>
                    <w:tl2br w:val="nil"/>
                    <w:tr2bl w:val="nil"/>
                  </w:tcBorders>
                  <w:vAlign w:val="center"/>
                </w:tcPr>
                <w:p>
                  <w:pPr>
                    <w:pStyle w:val="2"/>
                    <w:widowControl w:val="0"/>
                    <w:adjustRightInd w:val="0"/>
                    <w:spacing w:before="0" w:after="0" w:line="240" w:lineRule="auto"/>
                    <w:ind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r>
          </w:tbl>
          <w:p>
            <w:pPr>
              <w:pStyle w:val="5"/>
              <w:rPr>
                <w:color w:val="auto"/>
              </w:rPr>
            </w:pPr>
            <w:r>
              <w:rPr>
                <w:rFonts w:hint="eastAsia"/>
                <w:color w:val="auto"/>
              </w:rPr>
              <w:t>2.2</w:t>
            </w:r>
            <w:r>
              <w:rPr>
                <w:color w:val="auto"/>
              </w:rPr>
              <w:t>噪声</w:t>
            </w:r>
          </w:p>
          <w:p>
            <w:pPr>
              <w:ind w:firstLine="480"/>
              <w:rPr>
                <w:color w:val="auto"/>
              </w:rPr>
            </w:pPr>
            <w:r>
              <w:rPr>
                <w:color w:val="auto"/>
              </w:rPr>
              <w:t>施工期噪声执行《建筑施工场界环境噪声排放标准》（GB12523-2011）限值。即昼间≤70dB(A)，夜间≤55dB(A)。</w:t>
            </w:r>
          </w:p>
          <w:p>
            <w:pPr>
              <w:ind w:firstLine="480"/>
              <w:rPr>
                <w:color w:val="auto"/>
              </w:rPr>
            </w:pPr>
            <w:r>
              <w:rPr>
                <w:color w:val="auto"/>
              </w:rPr>
              <w:t>运营期执行《工业企业厂界环境噪声排放标准》（GB 12348-2008）中</w:t>
            </w:r>
            <w:r>
              <w:rPr>
                <w:rFonts w:hint="eastAsia"/>
                <w:color w:val="auto"/>
                <w:lang w:val="en-US" w:eastAsia="zh-CN"/>
              </w:rPr>
              <w:t>2</w:t>
            </w:r>
            <w:r>
              <w:rPr>
                <w:color w:val="auto"/>
              </w:rPr>
              <w:t>类</w:t>
            </w:r>
            <w:r>
              <w:rPr>
                <w:rFonts w:hint="eastAsia"/>
                <w:color w:val="auto"/>
              </w:rPr>
              <w:t>区</w:t>
            </w:r>
            <w:r>
              <w:rPr>
                <w:color w:val="auto"/>
              </w:rPr>
              <w:t>声环境功能区标准，昼间6</w:t>
            </w:r>
            <w:r>
              <w:rPr>
                <w:rFonts w:hint="eastAsia"/>
                <w:color w:val="auto"/>
                <w:lang w:val="en-US" w:eastAsia="zh-CN"/>
              </w:rPr>
              <w:t>0</w:t>
            </w:r>
            <w:r>
              <w:rPr>
                <w:color w:val="auto"/>
              </w:rPr>
              <w:t>dB（A），夜间5</w:t>
            </w:r>
            <w:r>
              <w:rPr>
                <w:rFonts w:hint="eastAsia"/>
                <w:color w:val="auto"/>
                <w:lang w:val="en-US" w:eastAsia="zh-CN"/>
              </w:rPr>
              <w:t>0</w:t>
            </w:r>
            <w:r>
              <w:rPr>
                <w:color w:val="auto"/>
              </w:rPr>
              <w:t>dB（A）；</w:t>
            </w:r>
          </w:p>
          <w:p>
            <w:pPr>
              <w:pStyle w:val="5"/>
              <w:rPr>
                <w:color w:val="auto"/>
              </w:rPr>
            </w:pPr>
            <w:r>
              <w:rPr>
                <w:rFonts w:hint="eastAsia"/>
                <w:color w:val="auto"/>
              </w:rPr>
              <w:t>2.</w:t>
            </w:r>
            <w:r>
              <w:rPr>
                <w:rFonts w:hint="eastAsia"/>
                <w:color w:val="auto"/>
                <w:lang w:val="en-US" w:eastAsia="zh-CN"/>
              </w:rPr>
              <w:t>3</w:t>
            </w:r>
            <w:r>
              <w:rPr>
                <w:color w:val="auto"/>
              </w:rPr>
              <w:t>固废</w:t>
            </w:r>
          </w:p>
          <w:p>
            <w:pPr>
              <w:ind w:firstLine="480"/>
              <w:rPr>
                <w:rFonts w:hint="eastAsia"/>
                <w:color w:val="auto"/>
              </w:rPr>
            </w:pPr>
            <w:r>
              <w:rPr>
                <w:rFonts w:hint="eastAsia"/>
                <w:color w:val="auto"/>
              </w:rPr>
              <w:t>按照《中华人民共和国固体</w:t>
            </w:r>
            <w:r>
              <w:rPr>
                <w:rFonts w:hint="eastAsia"/>
                <w:color w:val="auto"/>
                <w:lang w:eastAsia="zh-CN"/>
              </w:rPr>
              <w:t>废物污染环境防治法</w:t>
            </w:r>
            <w:bookmarkStart w:id="70" w:name="_GoBack"/>
            <w:bookmarkEnd w:id="70"/>
            <w:r>
              <w:rPr>
                <w:rFonts w:hint="eastAsia"/>
                <w:color w:val="auto"/>
              </w:rPr>
              <w:t>》的要求，妥善处理，不得形成二次污染。</w:t>
            </w:r>
            <w:r>
              <w:rPr>
                <w:color w:val="auto"/>
              </w:rPr>
              <w:t>固体废物执行《一般工业固体废物贮存</w:t>
            </w:r>
            <w:r>
              <w:rPr>
                <w:rFonts w:hint="eastAsia"/>
                <w:color w:val="auto"/>
              </w:rPr>
              <w:t>和填埋</w:t>
            </w:r>
            <w:r>
              <w:rPr>
                <w:color w:val="auto"/>
              </w:rPr>
              <w:t>污染控制标准》（GB18599-</w:t>
            </w:r>
            <w:r>
              <w:rPr>
                <w:rFonts w:hint="eastAsia"/>
                <w:color w:val="auto"/>
              </w:rPr>
              <w:t>2020</w:t>
            </w:r>
            <w:r>
              <w:rPr>
                <w:color w:val="auto"/>
              </w:rPr>
              <w:t>）</w:t>
            </w:r>
            <w:r>
              <w:rPr>
                <w:rFonts w:hint="eastAsia"/>
                <w:color w:val="auto"/>
              </w:rPr>
              <w:t>；危险废物执行《危险废物贮存污染控制标准》（GB18597-20</w:t>
            </w:r>
            <w:r>
              <w:rPr>
                <w:rFonts w:hint="eastAsia"/>
                <w:color w:val="auto"/>
                <w:lang w:val="en-US" w:eastAsia="zh-CN"/>
              </w:rPr>
              <w:t>23</w:t>
            </w:r>
            <w:r>
              <w:rPr>
                <w:rFonts w:hint="eastAsia"/>
                <w:color w:val="auto"/>
              </w:rPr>
              <w:t>）。</w:t>
            </w:r>
          </w:p>
          <w:p>
            <w:pPr>
              <w:pStyle w:val="5"/>
              <w:bidi w:val="0"/>
              <w:rPr>
                <w:rFonts w:hint="eastAsia"/>
                <w:lang w:val="en-US" w:eastAsia="zh-CN"/>
              </w:rPr>
            </w:pPr>
            <w:r>
              <w:rPr>
                <w:rFonts w:hint="eastAsia"/>
                <w:lang w:val="en-US" w:eastAsia="zh-CN"/>
              </w:rPr>
              <w:t>2.4生活污水</w:t>
            </w:r>
          </w:p>
          <w:p>
            <w:pPr>
              <w:keepNext w:val="0"/>
              <w:keepLines w:val="0"/>
              <w:suppressLineNumbers w:val="0"/>
              <w:bidi w:val="0"/>
              <w:spacing w:before="0" w:beforeAutospacing="0" w:after="0" w:afterAutospacing="0"/>
              <w:ind w:left="0" w:right="0"/>
              <w:rPr>
                <w:rFonts w:hint="eastAsia"/>
                <w:lang w:val="en-US" w:eastAsia="zh-CN"/>
              </w:rPr>
            </w:pPr>
            <w:r>
              <w:rPr>
                <w:rFonts w:hint="default"/>
              </w:rPr>
              <w:t>项目生活污水</w:t>
            </w:r>
            <w:r>
              <w:rPr>
                <w:rFonts w:hint="default"/>
                <w:lang w:eastAsia="zh-CN"/>
              </w:rPr>
              <w:t>执行《污水综合排放标准》（</w:t>
            </w:r>
            <w:r>
              <w:rPr>
                <w:rFonts w:hint="default"/>
                <w:lang w:val="en-US" w:eastAsia="zh-CN"/>
              </w:rPr>
              <w:t>GB8978-1996</w:t>
            </w:r>
            <w:r>
              <w:rPr>
                <w:rFonts w:hint="default"/>
                <w:lang w:eastAsia="zh-CN"/>
              </w:rPr>
              <w:t>）</w:t>
            </w:r>
            <w:r>
              <w:rPr>
                <w:rFonts w:hint="eastAsia"/>
                <w:lang w:eastAsia="zh-CN"/>
              </w:rPr>
              <w:t>三</w:t>
            </w:r>
            <w:r>
              <w:rPr>
                <w:rFonts w:hint="default"/>
                <w:lang w:val="en-US" w:eastAsia="zh-CN"/>
              </w:rPr>
              <w:t>级标准</w:t>
            </w:r>
            <w:r>
              <w:rPr>
                <w:rFonts w:hint="eastAsia"/>
                <w:lang w:val="en-US" w:eastAsia="zh-CN"/>
              </w:rPr>
              <w:t>。</w:t>
            </w:r>
          </w:p>
          <w:p>
            <w:pPr>
              <w:keepNext w:val="0"/>
              <w:keepLines w:val="0"/>
              <w:suppressLineNumbers w:val="0"/>
              <w:bidi w:val="0"/>
              <w:spacing w:before="0" w:beforeAutospacing="0" w:after="0" w:afterAutospacing="0"/>
              <w:ind w:left="0" w:leftChars="0" w:right="0" w:firstLine="0" w:firstLineChars="0"/>
              <w:rPr>
                <w:rFonts w:hint="eastAsia"/>
                <w:lang w:val="en-US" w:eastAsia="zh-CN"/>
              </w:rPr>
            </w:pPr>
            <w:r>
              <w:rPr>
                <w:rFonts w:hint="eastAsia"/>
                <w:lang w:val="en-US" w:eastAsia="zh-CN"/>
              </w:rPr>
              <w:t>见表3-11。</w:t>
            </w:r>
          </w:p>
          <w:p>
            <w:pPr>
              <w:pStyle w:val="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表3-11                 第二类污染物最高允许排放浓度</w:t>
            </w:r>
          </w:p>
          <w:tbl>
            <w:tblPr>
              <w:tblStyle w:val="31"/>
              <w:tblW w:w="78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4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3799" w:type="dxa"/>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污染物</w:t>
                  </w:r>
                </w:p>
              </w:tc>
              <w:tc>
                <w:tcPr>
                  <w:tcW w:w="4020" w:type="dxa"/>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cs="Times New Roman"/>
                      <w:sz w:val="21"/>
                      <w:szCs w:val="21"/>
                      <w:lang w:val="en-US" w:eastAsia="zh-CN"/>
                    </w:rPr>
                    <w:t>三级</w:t>
                  </w:r>
                  <w:r>
                    <w:rPr>
                      <w:rFonts w:hint="eastAsia" w:ascii="Times New Roman" w:hAnsi="Times New Roman" w:cs="Times New Roman"/>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3799" w:type="dxa"/>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化学需氧量</w:t>
                  </w:r>
                </w:p>
              </w:tc>
              <w:tc>
                <w:tcPr>
                  <w:tcW w:w="4020" w:type="dxa"/>
                  <w:tcBorders>
                    <w:tl2br w:val="nil"/>
                    <w:tr2bl w:val="nil"/>
                  </w:tcBorders>
                  <w:vAlign w:val="center"/>
                </w:tcPr>
                <w:p>
                  <w:pPr>
                    <w:pStyle w:val="2"/>
                    <w:widowControl w:val="0"/>
                    <w:adjustRightInd w:val="0"/>
                    <w:spacing w:before="0" w:after="0" w:line="240" w:lineRule="auto"/>
                    <w:ind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500</w:t>
                  </w:r>
                  <w:r>
                    <w:rPr>
                      <w:rFonts w:hint="eastAsia" w:cs="Times New Roman"/>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3799" w:type="dxa"/>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五日生化需氧量</w:t>
                  </w:r>
                </w:p>
              </w:tc>
              <w:tc>
                <w:tcPr>
                  <w:tcW w:w="4020" w:type="dxa"/>
                  <w:tcBorders>
                    <w:tl2br w:val="nil"/>
                    <w:tr2bl w:val="nil"/>
                  </w:tcBorders>
                  <w:vAlign w:val="center"/>
                </w:tcPr>
                <w:p>
                  <w:pPr>
                    <w:pStyle w:val="2"/>
                    <w:widowControl w:val="0"/>
                    <w:adjustRightInd w:val="0"/>
                    <w:spacing w:before="0" w:after="0" w:line="240" w:lineRule="auto"/>
                    <w:ind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w:t>
                  </w:r>
                  <w:r>
                    <w:rPr>
                      <w:rFonts w:hint="eastAsia" w:cs="Times New Roman"/>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3799" w:type="dxa"/>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悬浮物</w:t>
                  </w:r>
                </w:p>
              </w:tc>
              <w:tc>
                <w:tcPr>
                  <w:tcW w:w="4020" w:type="dxa"/>
                  <w:tcBorders>
                    <w:tl2br w:val="nil"/>
                    <w:tr2bl w:val="nil"/>
                  </w:tcBorders>
                  <w:vAlign w:val="center"/>
                </w:tcPr>
                <w:p>
                  <w:pPr>
                    <w:pStyle w:val="2"/>
                    <w:widowControl w:val="0"/>
                    <w:adjustRightInd w:val="0"/>
                    <w:spacing w:before="0" w:after="0" w:line="240" w:lineRule="auto"/>
                    <w:ind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400</w:t>
                  </w:r>
                  <w:r>
                    <w:rPr>
                      <w:rFonts w:hint="eastAsia" w:cs="Times New Roman"/>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3799" w:type="dxa"/>
                  <w:tcBorders>
                    <w:tl2br w:val="nil"/>
                    <w:tr2bl w:val="nil"/>
                  </w:tcBorders>
                  <w:vAlign w:val="center"/>
                </w:tcPr>
                <w:p>
                  <w:pPr>
                    <w:pStyle w:val="2"/>
                    <w:widowControl w:val="0"/>
                    <w:adjustRightInd w:val="0"/>
                    <w:spacing w:before="0" w:after="0" w:line="240" w:lineRule="auto"/>
                    <w:ind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氨氮</w:t>
                  </w:r>
                </w:p>
              </w:tc>
              <w:tc>
                <w:tcPr>
                  <w:tcW w:w="4020" w:type="dxa"/>
                  <w:tcBorders>
                    <w:tl2br w:val="nil"/>
                    <w:tr2bl w:val="nil"/>
                  </w:tcBorders>
                  <w:vAlign w:val="center"/>
                </w:tcPr>
                <w:p>
                  <w:pPr>
                    <w:pStyle w:val="2"/>
                    <w:widowControl w:val="0"/>
                    <w:adjustRightInd w:val="0"/>
                    <w:spacing w:before="0" w:after="0" w:line="240" w:lineRule="auto"/>
                    <w:ind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bl>
          <w:p>
            <w:pPr>
              <w:ind w:firstLine="480"/>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42"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其他</w:t>
            </w:r>
          </w:p>
        </w:tc>
        <w:tc>
          <w:tcPr>
            <w:tcW w:w="8080" w:type="dxa"/>
            <w:vAlign w:val="center"/>
          </w:tcPr>
          <w:p>
            <w:pPr>
              <w:pStyle w:val="9"/>
              <w:ind w:firstLine="0" w:firstLineChars="0"/>
              <w:rPr>
                <w:color w:val="auto"/>
              </w:rPr>
            </w:pPr>
          </w:p>
          <w:p>
            <w:pPr>
              <w:bidi w:val="0"/>
              <w:rPr>
                <w:color w:val="auto"/>
              </w:rPr>
            </w:pPr>
            <w:r>
              <w:rPr>
                <w:rFonts w:hint="eastAsia"/>
                <w:color w:val="auto"/>
                <w:lang w:eastAsia="zh-CN"/>
              </w:rPr>
              <w:t>无</w:t>
            </w:r>
          </w:p>
        </w:tc>
      </w:tr>
    </w:tbl>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720"/>
        <w:jc w:val="center"/>
        <w:textAlignment w:val="auto"/>
        <w:outlineLvl w:val="0"/>
        <w:rPr>
          <w:rFonts w:ascii="黑体" w:hAnsi="黑体" w:eastAsia="黑体"/>
          <w:snapToGrid w:val="0"/>
          <w:color w:val="auto"/>
          <w:sz w:val="30"/>
          <w:szCs w:val="30"/>
        </w:rPr>
      </w:pPr>
      <w:r>
        <w:rPr>
          <w:rFonts w:ascii="黑体" w:hAnsi="黑体" w:eastAsia="黑体"/>
          <w:snapToGrid w:val="0"/>
          <w:color w:val="auto"/>
          <w:kern w:val="2"/>
          <w:sz w:val="36"/>
          <w:szCs w:val="36"/>
        </w:rPr>
        <w:br w:type="page"/>
      </w:r>
      <w:r>
        <w:rPr>
          <w:rFonts w:hint="eastAsia" w:ascii="黑体" w:hAnsi="黑体" w:eastAsia="黑体"/>
          <w:snapToGrid w:val="0"/>
          <w:color w:val="auto"/>
          <w:sz w:val="30"/>
          <w:szCs w:val="30"/>
        </w:rPr>
        <w:t>四、生态环境影响分析</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816" w:type="dxa"/>
            <w:tcMar>
              <w:left w:w="28" w:type="dxa"/>
              <w:right w:w="28" w:type="dxa"/>
            </w:tcMar>
            <w:vAlign w:val="center"/>
          </w:tcPr>
          <w:p>
            <w:pPr>
              <w:pStyle w:val="25"/>
              <w:spacing w:before="0" w:beforeAutospacing="0" w:after="0" w:afterAutospacing="0"/>
              <w:ind w:firstLine="0" w:firstLineChars="0"/>
              <w:jc w:val="center"/>
              <w:rPr>
                <w:rFonts w:cs="宋体"/>
                <w:bCs/>
                <w:color w:val="auto"/>
                <w:kern w:val="2"/>
              </w:rPr>
            </w:pPr>
            <w:bookmarkStart w:id="8" w:name="_Hlk49796138"/>
            <w:r>
              <w:rPr>
                <w:rFonts w:hint="eastAsia" w:cs="宋体"/>
                <w:bCs/>
                <w:color w:val="auto"/>
                <w:spacing w:val="10"/>
                <w:kern w:val="2"/>
              </w:rPr>
              <w:t>施工期生态环境影响分析</w:t>
            </w:r>
            <w:bookmarkEnd w:id="8"/>
          </w:p>
        </w:tc>
        <w:tc>
          <w:tcPr>
            <w:tcW w:w="7626" w:type="dxa"/>
          </w:tcPr>
          <w:p>
            <w:pPr>
              <w:pStyle w:val="5"/>
              <w:bidi w:val="0"/>
              <w:rPr>
                <w:rFonts w:hint="eastAsia"/>
                <w:color w:val="auto"/>
                <w:lang w:eastAsia="zh-CN"/>
              </w:rPr>
            </w:pPr>
            <w:r>
              <w:rPr>
                <w:rFonts w:hint="eastAsia"/>
                <w:color w:val="auto"/>
                <w:lang w:val="en-US" w:eastAsia="zh-CN"/>
              </w:rPr>
              <w:t>1、</w:t>
            </w:r>
            <w:r>
              <w:rPr>
                <w:rFonts w:hint="eastAsia"/>
                <w:color w:val="auto"/>
                <w:lang w:eastAsia="zh-CN"/>
              </w:rPr>
              <w:t>施工期生态环境影响分析</w:t>
            </w:r>
          </w:p>
          <w:p>
            <w:pPr>
              <w:spacing w:line="360" w:lineRule="auto"/>
              <w:ind w:firstLine="482"/>
              <w:rPr>
                <w:rFonts w:hint="eastAsia" w:eastAsia="宋体"/>
                <w:color w:val="auto"/>
                <w:lang w:val="en-US" w:eastAsia="zh-CN"/>
              </w:rPr>
            </w:pPr>
            <w:r>
              <w:rPr>
                <w:rFonts w:hint="eastAsia"/>
                <w:color w:val="auto"/>
              </w:rPr>
              <w:t>施工带清理、开挖和施工活动中施工机械、人员践踏对土壤的扰动、植被的破坏和造成水土流失，对局部生态环境有一定的影响。</w:t>
            </w:r>
            <w:r>
              <w:rPr>
                <w:rFonts w:hint="eastAsia"/>
                <w:color w:val="auto"/>
                <w:lang w:val="en-US" w:eastAsia="zh-CN"/>
              </w:rPr>
              <w:t>本项目工程占地情况详见下表4-1。</w:t>
            </w:r>
          </w:p>
          <w:p>
            <w:pPr>
              <w:pStyle w:val="7"/>
              <w:bidi w:val="0"/>
              <w:rPr>
                <w:rFonts w:hint="eastAsia"/>
                <w:color w:val="auto"/>
              </w:rPr>
            </w:pPr>
            <w:r>
              <w:rPr>
                <w:rFonts w:hint="eastAsia"/>
                <w:color w:val="auto"/>
              </w:rPr>
              <w:t>表</w:t>
            </w:r>
            <w:r>
              <w:rPr>
                <w:rFonts w:hint="eastAsia"/>
                <w:color w:val="auto"/>
                <w:lang w:val="en-US" w:eastAsia="zh-CN"/>
              </w:rPr>
              <w:t xml:space="preserve">4-1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工程占地</w:t>
            </w:r>
            <w:r>
              <w:rPr>
                <w:rFonts w:hint="eastAsia"/>
                <w:color w:val="auto"/>
              </w:rPr>
              <w:t>情况汇总表</w:t>
            </w:r>
          </w:p>
          <w:tbl>
            <w:tblPr>
              <w:tblStyle w:val="83"/>
              <w:tblW w:w="4991"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89"/>
              <w:gridCol w:w="1115"/>
              <w:gridCol w:w="1220"/>
              <w:gridCol w:w="1104"/>
              <w:gridCol w:w="1171"/>
              <w:gridCol w:w="13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损毁单元</w:t>
                  </w:r>
                </w:p>
              </w:tc>
              <w:tc>
                <w:tcPr>
                  <w:tcW w:w="753" w:type="pct"/>
                  <w:tcBorders>
                    <w:tl2br w:val="nil"/>
                    <w:tr2bl w:val="nil"/>
                  </w:tcBorders>
                  <w:shd w:val="clear" w:color="auto" w:fill="auto"/>
                  <w:vAlign w:val="center"/>
                </w:tcPr>
                <w:p>
                  <w:pPr>
                    <w:pStyle w:val="2"/>
                    <w:bidi w:val="0"/>
                    <w:jc w:val="center"/>
                    <w:rPr>
                      <w:color w:val="auto"/>
                    </w:rPr>
                  </w:pPr>
                  <w:r>
                    <w:rPr>
                      <w:color w:val="auto"/>
                    </w:rPr>
                    <w:t>损毁时序</w:t>
                  </w:r>
                </w:p>
              </w:tc>
              <w:tc>
                <w:tcPr>
                  <w:tcW w:w="824" w:type="pct"/>
                  <w:tcBorders>
                    <w:tl2br w:val="nil"/>
                    <w:tr2bl w:val="nil"/>
                  </w:tcBorders>
                  <w:shd w:val="clear" w:color="auto" w:fill="auto"/>
                  <w:vAlign w:val="center"/>
                </w:tcPr>
                <w:p>
                  <w:pPr>
                    <w:pStyle w:val="2"/>
                    <w:bidi w:val="0"/>
                    <w:jc w:val="center"/>
                    <w:rPr>
                      <w:color w:val="auto"/>
                    </w:rPr>
                  </w:pPr>
                  <w:r>
                    <w:rPr>
                      <w:color w:val="auto"/>
                    </w:rPr>
                    <w:t>面积（公顷）</w:t>
                  </w:r>
                </w:p>
              </w:tc>
              <w:tc>
                <w:tcPr>
                  <w:tcW w:w="746" w:type="pct"/>
                  <w:tcBorders>
                    <w:tl2br w:val="nil"/>
                    <w:tr2bl w:val="nil"/>
                  </w:tcBorders>
                  <w:shd w:val="clear" w:color="auto" w:fill="auto"/>
                  <w:vAlign w:val="center"/>
                </w:tcPr>
                <w:p>
                  <w:pPr>
                    <w:pStyle w:val="2"/>
                    <w:bidi w:val="0"/>
                    <w:jc w:val="center"/>
                    <w:rPr>
                      <w:color w:val="auto"/>
                    </w:rPr>
                  </w:pPr>
                  <w:r>
                    <w:rPr>
                      <w:color w:val="auto"/>
                    </w:rPr>
                    <w:t>损毁方式</w:t>
                  </w:r>
                </w:p>
              </w:tc>
              <w:tc>
                <w:tcPr>
                  <w:tcW w:w="791" w:type="pct"/>
                  <w:tcBorders>
                    <w:tl2br w:val="nil"/>
                    <w:tr2bl w:val="nil"/>
                  </w:tcBorders>
                  <w:shd w:val="clear" w:color="auto" w:fill="auto"/>
                  <w:vAlign w:val="center"/>
                </w:tcPr>
                <w:p>
                  <w:pPr>
                    <w:pStyle w:val="2"/>
                    <w:bidi w:val="0"/>
                    <w:jc w:val="center"/>
                    <w:rPr>
                      <w:color w:val="auto"/>
                    </w:rPr>
                  </w:pPr>
                  <w:r>
                    <w:rPr>
                      <w:color w:val="auto"/>
                    </w:rPr>
                    <w:t>损毁程度</w:t>
                  </w:r>
                </w:p>
              </w:tc>
              <w:tc>
                <w:tcPr>
                  <w:tcW w:w="945" w:type="pct"/>
                  <w:tcBorders>
                    <w:tl2br w:val="nil"/>
                    <w:tr2bl w:val="nil"/>
                  </w:tcBorders>
                  <w:shd w:val="clear" w:color="auto" w:fill="auto"/>
                  <w:vAlign w:val="center"/>
                </w:tcPr>
                <w:p>
                  <w:pPr>
                    <w:pStyle w:val="2"/>
                    <w:bidi w:val="0"/>
                    <w:jc w:val="center"/>
                    <w:rPr>
                      <w:color w:val="auto"/>
                    </w:rPr>
                  </w:pPr>
                  <w:r>
                    <w:rPr>
                      <w:color w:val="auto"/>
                    </w:rPr>
                    <w:t>损毁地类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露天采矿场</w:t>
                  </w:r>
                </w:p>
              </w:tc>
              <w:tc>
                <w:tcPr>
                  <w:tcW w:w="753" w:type="pct"/>
                  <w:tcBorders>
                    <w:tl2br w:val="nil"/>
                    <w:tr2bl w:val="nil"/>
                  </w:tcBorders>
                  <w:shd w:val="clear" w:color="auto" w:fill="auto"/>
                  <w:vAlign w:val="center"/>
                </w:tcPr>
                <w:p>
                  <w:pPr>
                    <w:pStyle w:val="2"/>
                    <w:bidi w:val="0"/>
                    <w:jc w:val="center"/>
                    <w:rPr>
                      <w:color w:val="auto"/>
                    </w:rPr>
                  </w:pPr>
                  <w:r>
                    <w:rPr>
                      <w:color w:val="auto"/>
                    </w:rPr>
                    <w:t>拟损毁</w:t>
                  </w:r>
                </w:p>
              </w:tc>
              <w:tc>
                <w:tcPr>
                  <w:tcW w:w="824" w:type="pct"/>
                  <w:tcBorders>
                    <w:tl2br w:val="nil"/>
                    <w:tr2bl w:val="nil"/>
                  </w:tcBorders>
                  <w:shd w:val="clear" w:color="auto" w:fill="auto"/>
                  <w:vAlign w:val="center"/>
                </w:tcPr>
                <w:p>
                  <w:pPr>
                    <w:pStyle w:val="2"/>
                    <w:bidi w:val="0"/>
                    <w:jc w:val="center"/>
                    <w:rPr>
                      <w:color w:val="auto"/>
                    </w:rPr>
                  </w:pPr>
                  <w:r>
                    <w:rPr>
                      <w:color w:val="auto"/>
                    </w:rPr>
                    <w:t>11.31</w:t>
                  </w:r>
                </w:p>
              </w:tc>
              <w:tc>
                <w:tcPr>
                  <w:tcW w:w="746" w:type="pct"/>
                  <w:tcBorders>
                    <w:tl2br w:val="nil"/>
                    <w:tr2bl w:val="nil"/>
                  </w:tcBorders>
                  <w:shd w:val="clear" w:color="auto" w:fill="auto"/>
                  <w:vAlign w:val="center"/>
                </w:tcPr>
                <w:p>
                  <w:pPr>
                    <w:pStyle w:val="2"/>
                    <w:bidi w:val="0"/>
                    <w:jc w:val="center"/>
                    <w:rPr>
                      <w:color w:val="auto"/>
                    </w:rPr>
                  </w:pPr>
                  <w:r>
                    <w:rPr>
                      <w:color w:val="auto"/>
                    </w:rPr>
                    <w:t>挖损</w:t>
                  </w:r>
                </w:p>
              </w:tc>
              <w:tc>
                <w:tcPr>
                  <w:tcW w:w="791" w:type="pct"/>
                  <w:tcBorders>
                    <w:tl2br w:val="nil"/>
                    <w:tr2bl w:val="nil"/>
                  </w:tcBorders>
                  <w:shd w:val="clear" w:color="auto" w:fill="auto"/>
                  <w:vAlign w:val="center"/>
                </w:tcPr>
                <w:p>
                  <w:pPr>
                    <w:pStyle w:val="2"/>
                    <w:bidi w:val="0"/>
                    <w:jc w:val="center"/>
                    <w:rPr>
                      <w:color w:val="auto"/>
                    </w:rPr>
                  </w:pPr>
                  <w:r>
                    <w:rPr>
                      <w:color w:val="auto"/>
                    </w:rPr>
                    <w:t>重度</w:t>
                  </w:r>
                </w:p>
              </w:tc>
              <w:tc>
                <w:tcPr>
                  <w:tcW w:w="945"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废石堆放场</w:t>
                  </w:r>
                </w:p>
              </w:tc>
              <w:tc>
                <w:tcPr>
                  <w:tcW w:w="753" w:type="pct"/>
                  <w:tcBorders>
                    <w:tl2br w:val="nil"/>
                    <w:tr2bl w:val="nil"/>
                  </w:tcBorders>
                  <w:shd w:val="clear" w:color="auto" w:fill="auto"/>
                  <w:vAlign w:val="center"/>
                </w:tcPr>
                <w:p>
                  <w:pPr>
                    <w:pStyle w:val="2"/>
                    <w:bidi w:val="0"/>
                    <w:jc w:val="center"/>
                    <w:rPr>
                      <w:color w:val="auto"/>
                    </w:rPr>
                  </w:pPr>
                  <w:r>
                    <w:rPr>
                      <w:color w:val="auto"/>
                    </w:rPr>
                    <w:t>拟损毁</w:t>
                  </w:r>
                </w:p>
              </w:tc>
              <w:tc>
                <w:tcPr>
                  <w:tcW w:w="824" w:type="pct"/>
                  <w:tcBorders>
                    <w:tl2br w:val="nil"/>
                    <w:tr2bl w:val="nil"/>
                  </w:tcBorders>
                  <w:shd w:val="clear" w:color="auto" w:fill="auto"/>
                  <w:vAlign w:val="center"/>
                </w:tcPr>
                <w:p>
                  <w:pPr>
                    <w:pStyle w:val="2"/>
                    <w:bidi w:val="0"/>
                    <w:jc w:val="center"/>
                    <w:rPr>
                      <w:color w:val="auto"/>
                    </w:rPr>
                  </w:pPr>
                  <w:r>
                    <w:rPr>
                      <w:color w:val="auto"/>
                    </w:rPr>
                    <w:t>10.08</w:t>
                  </w:r>
                </w:p>
              </w:tc>
              <w:tc>
                <w:tcPr>
                  <w:tcW w:w="746" w:type="pct"/>
                  <w:tcBorders>
                    <w:tl2br w:val="nil"/>
                    <w:tr2bl w:val="nil"/>
                  </w:tcBorders>
                  <w:shd w:val="clear" w:color="auto" w:fill="auto"/>
                  <w:vAlign w:val="center"/>
                </w:tcPr>
                <w:p>
                  <w:pPr>
                    <w:pStyle w:val="2"/>
                    <w:bidi w:val="0"/>
                    <w:jc w:val="center"/>
                    <w:rPr>
                      <w:color w:val="auto"/>
                    </w:rPr>
                  </w:pPr>
                  <w:r>
                    <w:rPr>
                      <w:color w:val="auto"/>
                    </w:rPr>
                    <w:t>压占</w:t>
                  </w:r>
                </w:p>
              </w:tc>
              <w:tc>
                <w:tcPr>
                  <w:tcW w:w="791" w:type="pct"/>
                  <w:tcBorders>
                    <w:tl2br w:val="nil"/>
                    <w:tr2bl w:val="nil"/>
                  </w:tcBorders>
                  <w:shd w:val="clear" w:color="auto" w:fill="auto"/>
                  <w:vAlign w:val="center"/>
                </w:tcPr>
                <w:p>
                  <w:pPr>
                    <w:pStyle w:val="2"/>
                    <w:bidi w:val="0"/>
                    <w:jc w:val="center"/>
                    <w:rPr>
                      <w:color w:val="auto"/>
                    </w:rPr>
                  </w:pPr>
                  <w:r>
                    <w:rPr>
                      <w:color w:val="auto"/>
                    </w:rPr>
                    <w:t>中度</w:t>
                  </w:r>
                </w:p>
              </w:tc>
              <w:tc>
                <w:tcPr>
                  <w:tcW w:w="945"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矿部生活区</w:t>
                  </w:r>
                </w:p>
              </w:tc>
              <w:tc>
                <w:tcPr>
                  <w:tcW w:w="753" w:type="pct"/>
                  <w:tcBorders>
                    <w:tl2br w:val="nil"/>
                    <w:tr2bl w:val="nil"/>
                  </w:tcBorders>
                  <w:shd w:val="clear" w:color="auto" w:fill="auto"/>
                  <w:vAlign w:val="center"/>
                </w:tcPr>
                <w:p>
                  <w:pPr>
                    <w:pStyle w:val="2"/>
                    <w:bidi w:val="0"/>
                    <w:jc w:val="center"/>
                    <w:rPr>
                      <w:color w:val="auto"/>
                    </w:rPr>
                  </w:pPr>
                  <w:r>
                    <w:rPr>
                      <w:color w:val="auto"/>
                    </w:rPr>
                    <w:t>拟损毁</w:t>
                  </w:r>
                </w:p>
              </w:tc>
              <w:tc>
                <w:tcPr>
                  <w:tcW w:w="824" w:type="pct"/>
                  <w:tcBorders>
                    <w:tl2br w:val="nil"/>
                    <w:tr2bl w:val="nil"/>
                  </w:tcBorders>
                  <w:shd w:val="clear" w:color="auto" w:fill="auto"/>
                  <w:vAlign w:val="center"/>
                </w:tcPr>
                <w:p>
                  <w:pPr>
                    <w:pStyle w:val="2"/>
                    <w:bidi w:val="0"/>
                    <w:jc w:val="center"/>
                    <w:rPr>
                      <w:color w:val="auto"/>
                    </w:rPr>
                  </w:pPr>
                  <w:r>
                    <w:rPr>
                      <w:color w:val="auto"/>
                    </w:rPr>
                    <w:t>0.3</w:t>
                  </w:r>
                </w:p>
              </w:tc>
              <w:tc>
                <w:tcPr>
                  <w:tcW w:w="746" w:type="pct"/>
                  <w:tcBorders>
                    <w:tl2br w:val="nil"/>
                    <w:tr2bl w:val="nil"/>
                  </w:tcBorders>
                  <w:shd w:val="clear" w:color="auto" w:fill="auto"/>
                  <w:vAlign w:val="center"/>
                </w:tcPr>
                <w:p>
                  <w:pPr>
                    <w:pStyle w:val="2"/>
                    <w:bidi w:val="0"/>
                    <w:jc w:val="center"/>
                    <w:rPr>
                      <w:color w:val="auto"/>
                    </w:rPr>
                  </w:pPr>
                  <w:r>
                    <w:rPr>
                      <w:color w:val="auto"/>
                    </w:rPr>
                    <w:t>压占</w:t>
                  </w:r>
                </w:p>
              </w:tc>
              <w:tc>
                <w:tcPr>
                  <w:tcW w:w="791" w:type="pct"/>
                  <w:tcBorders>
                    <w:tl2br w:val="nil"/>
                    <w:tr2bl w:val="nil"/>
                  </w:tcBorders>
                  <w:shd w:val="clear" w:color="auto" w:fill="auto"/>
                  <w:vAlign w:val="center"/>
                </w:tcPr>
                <w:p>
                  <w:pPr>
                    <w:pStyle w:val="2"/>
                    <w:bidi w:val="0"/>
                    <w:jc w:val="center"/>
                    <w:rPr>
                      <w:color w:val="auto"/>
                    </w:rPr>
                  </w:pPr>
                  <w:r>
                    <w:rPr>
                      <w:color w:val="auto"/>
                    </w:rPr>
                    <w:t>中度</w:t>
                  </w:r>
                </w:p>
              </w:tc>
              <w:tc>
                <w:tcPr>
                  <w:tcW w:w="945"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rFonts w:hint="default" w:eastAsia="宋体"/>
                      <w:color w:val="auto"/>
                      <w:lang w:val="en-US" w:eastAsia="zh-CN"/>
                    </w:rPr>
                  </w:pPr>
                  <w:r>
                    <w:rPr>
                      <w:rFonts w:hint="eastAsia"/>
                      <w:color w:val="auto"/>
                      <w:lang w:val="en-US" w:eastAsia="zh-CN"/>
                    </w:rPr>
                    <w:t>荒料堆放场</w:t>
                  </w:r>
                </w:p>
              </w:tc>
              <w:tc>
                <w:tcPr>
                  <w:tcW w:w="753" w:type="pct"/>
                  <w:tcBorders>
                    <w:tl2br w:val="nil"/>
                    <w:tr2bl w:val="nil"/>
                  </w:tcBorders>
                  <w:shd w:val="clear" w:color="auto" w:fill="auto"/>
                  <w:vAlign w:val="center"/>
                </w:tcPr>
                <w:p>
                  <w:pPr>
                    <w:pStyle w:val="2"/>
                    <w:bidi w:val="0"/>
                    <w:jc w:val="center"/>
                    <w:rPr>
                      <w:color w:val="auto"/>
                    </w:rPr>
                  </w:pPr>
                  <w:r>
                    <w:rPr>
                      <w:color w:val="auto"/>
                    </w:rPr>
                    <w:t>拟损毁</w:t>
                  </w:r>
                </w:p>
              </w:tc>
              <w:tc>
                <w:tcPr>
                  <w:tcW w:w="824" w:type="pct"/>
                  <w:tcBorders>
                    <w:tl2br w:val="nil"/>
                    <w:tr2bl w:val="nil"/>
                  </w:tcBorders>
                  <w:shd w:val="clear" w:color="auto" w:fill="auto"/>
                  <w:vAlign w:val="center"/>
                </w:tcPr>
                <w:p>
                  <w:pPr>
                    <w:pStyle w:val="2"/>
                    <w:bidi w:val="0"/>
                    <w:jc w:val="center"/>
                    <w:rPr>
                      <w:color w:val="auto"/>
                    </w:rPr>
                  </w:pPr>
                  <w:r>
                    <w:rPr>
                      <w:color w:val="auto"/>
                    </w:rPr>
                    <w:t>0.6</w:t>
                  </w:r>
                </w:p>
              </w:tc>
              <w:tc>
                <w:tcPr>
                  <w:tcW w:w="746" w:type="pct"/>
                  <w:tcBorders>
                    <w:tl2br w:val="nil"/>
                    <w:tr2bl w:val="nil"/>
                  </w:tcBorders>
                  <w:shd w:val="clear" w:color="auto" w:fill="auto"/>
                  <w:vAlign w:val="center"/>
                </w:tcPr>
                <w:p>
                  <w:pPr>
                    <w:pStyle w:val="2"/>
                    <w:bidi w:val="0"/>
                    <w:jc w:val="center"/>
                    <w:rPr>
                      <w:color w:val="auto"/>
                    </w:rPr>
                  </w:pPr>
                  <w:r>
                    <w:rPr>
                      <w:color w:val="auto"/>
                    </w:rPr>
                    <w:t>压占</w:t>
                  </w:r>
                </w:p>
              </w:tc>
              <w:tc>
                <w:tcPr>
                  <w:tcW w:w="791" w:type="pct"/>
                  <w:tcBorders>
                    <w:tl2br w:val="nil"/>
                    <w:tr2bl w:val="nil"/>
                  </w:tcBorders>
                  <w:shd w:val="clear" w:color="auto" w:fill="auto"/>
                  <w:vAlign w:val="center"/>
                </w:tcPr>
                <w:p>
                  <w:pPr>
                    <w:pStyle w:val="2"/>
                    <w:bidi w:val="0"/>
                    <w:jc w:val="center"/>
                    <w:rPr>
                      <w:color w:val="auto"/>
                    </w:rPr>
                  </w:pPr>
                  <w:r>
                    <w:rPr>
                      <w:color w:val="auto"/>
                    </w:rPr>
                    <w:t>中度</w:t>
                  </w:r>
                </w:p>
              </w:tc>
              <w:tc>
                <w:tcPr>
                  <w:tcW w:w="945"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表土堆放场</w:t>
                  </w:r>
                </w:p>
              </w:tc>
              <w:tc>
                <w:tcPr>
                  <w:tcW w:w="753" w:type="pct"/>
                  <w:tcBorders>
                    <w:tl2br w:val="nil"/>
                    <w:tr2bl w:val="nil"/>
                  </w:tcBorders>
                  <w:shd w:val="clear" w:color="auto" w:fill="auto"/>
                  <w:vAlign w:val="center"/>
                </w:tcPr>
                <w:p>
                  <w:pPr>
                    <w:pStyle w:val="2"/>
                    <w:bidi w:val="0"/>
                    <w:jc w:val="center"/>
                    <w:rPr>
                      <w:color w:val="auto"/>
                    </w:rPr>
                  </w:pPr>
                  <w:r>
                    <w:rPr>
                      <w:color w:val="auto"/>
                    </w:rPr>
                    <w:t>拟损毁</w:t>
                  </w:r>
                </w:p>
              </w:tc>
              <w:tc>
                <w:tcPr>
                  <w:tcW w:w="824" w:type="pct"/>
                  <w:tcBorders>
                    <w:tl2br w:val="nil"/>
                    <w:tr2bl w:val="nil"/>
                  </w:tcBorders>
                  <w:shd w:val="clear" w:color="auto" w:fill="auto"/>
                  <w:vAlign w:val="center"/>
                </w:tcPr>
                <w:p>
                  <w:pPr>
                    <w:pStyle w:val="2"/>
                    <w:bidi w:val="0"/>
                    <w:jc w:val="center"/>
                    <w:rPr>
                      <w:color w:val="auto"/>
                    </w:rPr>
                  </w:pPr>
                  <w:r>
                    <w:rPr>
                      <w:color w:val="auto"/>
                    </w:rPr>
                    <w:t>1.1</w:t>
                  </w:r>
                </w:p>
              </w:tc>
              <w:tc>
                <w:tcPr>
                  <w:tcW w:w="746" w:type="pct"/>
                  <w:tcBorders>
                    <w:tl2br w:val="nil"/>
                    <w:tr2bl w:val="nil"/>
                  </w:tcBorders>
                  <w:shd w:val="clear" w:color="auto" w:fill="auto"/>
                  <w:vAlign w:val="center"/>
                </w:tcPr>
                <w:p>
                  <w:pPr>
                    <w:pStyle w:val="2"/>
                    <w:bidi w:val="0"/>
                    <w:jc w:val="center"/>
                    <w:rPr>
                      <w:color w:val="auto"/>
                    </w:rPr>
                  </w:pPr>
                  <w:r>
                    <w:rPr>
                      <w:color w:val="auto"/>
                    </w:rPr>
                    <w:t>压占</w:t>
                  </w:r>
                </w:p>
              </w:tc>
              <w:tc>
                <w:tcPr>
                  <w:tcW w:w="791" w:type="pct"/>
                  <w:tcBorders>
                    <w:tl2br w:val="nil"/>
                    <w:tr2bl w:val="nil"/>
                  </w:tcBorders>
                  <w:shd w:val="clear" w:color="auto" w:fill="auto"/>
                  <w:vAlign w:val="center"/>
                </w:tcPr>
                <w:p>
                  <w:pPr>
                    <w:pStyle w:val="2"/>
                    <w:bidi w:val="0"/>
                    <w:jc w:val="center"/>
                    <w:rPr>
                      <w:color w:val="auto"/>
                    </w:rPr>
                  </w:pPr>
                  <w:r>
                    <w:rPr>
                      <w:color w:val="auto"/>
                    </w:rPr>
                    <w:t>中度</w:t>
                  </w:r>
                </w:p>
              </w:tc>
              <w:tc>
                <w:tcPr>
                  <w:tcW w:w="945"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矿山道路</w:t>
                  </w:r>
                </w:p>
              </w:tc>
              <w:tc>
                <w:tcPr>
                  <w:tcW w:w="753" w:type="pct"/>
                  <w:tcBorders>
                    <w:tl2br w:val="nil"/>
                    <w:tr2bl w:val="nil"/>
                  </w:tcBorders>
                  <w:shd w:val="clear" w:color="auto" w:fill="auto"/>
                  <w:vAlign w:val="center"/>
                </w:tcPr>
                <w:p>
                  <w:pPr>
                    <w:pStyle w:val="2"/>
                    <w:bidi w:val="0"/>
                    <w:jc w:val="center"/>
                    <w:rPr>
                      <w:color w:val="auto"/>
                    </w:rPr>
                  </w:pPr>
                  <w:r>
                    <w:rPr>
                      <w:color w:val="auto"/>
                    </w:rPr>
                    <w:t>拟损毁</w:t>
                  </w:r>
                </w:p>
              </w:tc>
              <w:tc>
                <w:tcPr>
                  <w:tcW w:w="824" w:type="pct"/>
                  <w:tcBorders>
                    <w:tl2br w:val="nil"/>
                    <w:tr2bl w:val="nil"/>
                  </w:tcBorders>
                  <w:shd w:val="clear" w:color="auto" w:fill="auto"/>
                  <w:vAlign w:val="center"/>
                </w:tcPr>
                <w:p>
                  <w:pPr>
                    <w:pStyle w:val="2"/>
                    <w:bidi w:val="0"/>
                    <w:jc w:val="center"/>
                    <w:rPr>
                      <w:color w:val="auto"/>
                    </w:rPr>
                  </w:pPr>
                  <w:r>
                    <w:rPr>
                      <w:color w:val="auto"/>
                    </w:rPr>
                    <w:t>1.28</w:t>
                  </w:r>
                </w:p>
              </w:tc>
              <w:tc>
                <w:tcPr>
                  <w:tcW w:w="746" w:type="pct"/>
                  <w:tcBorders>
                    <w:tl2br w:val="nil"/>
                    <w:tr2bl w:val="nil"/>
                  </w:tcBorders>
                  <w:shd w:val="clear" w:color="auto" w:fill="auto"/>
                  <w:vAlign w:val="center"/>
                </w:tcPr>
                <w:p>
                  <w:pPr>
                    <w:pStyle w:val="2"/>
                    <w:bidi w:val="0"/>
                    <w:jc w:val="center"/>
                    <w:rPr>
                      <w:color w:val="auto"/>
                    </w:rPr>
                  </w:pPr>
                  <w:r>
                    <w:rPr>
                      <w:color w:val="auto"/>
                    </w:rPr>
                    <w:t>压占</w:t>
                  </w:r>
                </w:p>
              </w:tc>
              <w:tc>
                <w:tcPr>
                  <w:tcW w:w="791" w:type="pct"/>
                  <w:tcBorders>
                    <w:tl2br w:val="nil"/>
                    <w:tr2bl w:val="nil"/>
                  </w:tcBorders>
                  <w:shd w:val="clear" w:color="auto" w:fill="auto"/>
                  <w:vAlign w:val="center"/>
                </w:tcPr>
                <w:p>
                  <w:pPr>
                    <w:pStyle w:val="2"/>
                    <w:bidi w:val="0"/>
                    <w:jc w:val="center"/>
                    <w:rPr>
                      <w:color w:val="auto"/>
                    </w:rPr>
                  </w:pPr>
                  <w:r>
                    <w:rPr>
                      <w:color w:val="auto"/>
                    </w:rPr>
                    <w:t>中度</w:t>
                  </w:r>
                </w:p>
              </w:tc>
              <w:tc>
                <w:tcPr>
                  <w:tcW w:w="945" w:type="pct"/>
                  <w:tcBorders>
                    <w:tl2br w:val="nil"/>
                    <w:tr2bl w:val="nil"/>
                  </w:tcBorders>
                  <w:shd w:val="clear" w:color="auto" w:fill="auto"/>
                  <w:vAlign w:val="center"/>
                </w:tcPr>
                <w:p>
                  <w:pPr>
                    <w:pStyle w:val="2"/>
                    <w:bidi w:val="0"/>
                    <w:jc w:val="center"/>
                    <w:rPr>
                      <w:rFonts w:hint="eastAsia" w:eastAsia="宋体"/>
                      <w:color w:val="auto"/>
                      <w:lang w:eastAsia="zh-CN"/>
                    </w:rPr>
                  </w:pPr>
                  <w:r>
                    <w:rPr>
                      <w:rFonts w:hint="eastAsia"/>
                      <w:color w:val="auto"/>
                      <w:lang w:eastAsia="zh-CN"/>
                    </w:rPr>
                    <w:t>草地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38" w:type="pct"/>
                  <w:tcBorders>
                    <w:tl2br w:val="nil"/>
                    <w:tr2bl w:val="nil"/>
                  </w:tcBorders>
                  <w:shd w:val="clear" w:color="auto" w:fill="auto"/>
                  <w:vAlign w:val="center"/>
                </w:tcPr>
                <w:p>
                  <w:pPr>
                    <w:pStyle w:val="2"/>
                    <w:bidi w:val="0"/>
                    <w:jc w:val="center"/>
                    <w:rPr>
                      <w:color w:val="auto"/>
                    </w:rPr>
                  </w:pPr>
                  <w:r>
                    <w:rPr>
                      <w:color w:val="auto"/>
                    </w:rPr>
                    <w:t>合计</w:t>
                  </w:r>
                </w:p>
              </w:tc>
              <w:tc>
                <w:tcPr>
                  <w:tcW w:w="753" w:type="pct"/>
                  <w:tcBorders>
                    <w:tl2br w:val="nil"/>
                    <w:tr2bl w:val="nil"/>
                  </w:tcBorders>
                  <w:shd w:val="clear" w:color="auto" w:fill="auto"/>
                  <w:vAlign w:val="center"/>
                </w:tcPr>
                <w:p>
                  <w:pPr>
                    <w:pStyle w:val="2"/>
                    <w:bidi w:val="0"/>
                    <w:jc w:val="center"/>
                    <w:rPr>
                      <w:color w:val="auto"/>
                    </w:rPr>
                  </w:pPr>
                </w:p>
              </w:tc>
              <w:tc>
                <w:tcPr>
                  <w:tcW w:w="824" w:type="pct"/>
                  <w:tcBorders>
                    <w:tl2br w:val="nil"/>
                    <w:tr2bl w:val="nil"/>
                  </w:tcBorders>
                  <w:shd w:val="clear" w:color="auto" w:fill="auto"/>
                  <w:vAlign w:val="center"/>
                </w:tcPr>
                <w:p>
                  <w:pPr>
                    <w:pStyle w:val="2"/>
                    <w:bidi w:val="0"/>
                    <w:jc w:val="center"/>
                    <w:rPr>
                      <w:color w:val="auto"/>
                    </w:rPr>
                  </w:pPr>
                  <w:r>
                    <w:rPr>
                      <w:color w:val="auto"/>
                    </w:rPr>
                    <w:t>24.67</w:t>
                  </w:r>
                </w:p>
              </w:tc>
              <w:tc>
                <w:tcPr>
                  <w:tcW w:w="746" w:type="pct"/>
                  <w:tcBorders>
                    <w:tl2br w:val="nil"/>
                    <w:tr2bl w:val="nil"/>
                  </w:tcBorders>
                  <w:shd w:val="clear" w:color="auto" w:fill="auto"/>
                  <w:vAlign w:val="center"/>
                </w:tcPr>
                <w:p>
                  <w:pPr>
                    <w:pStyle w:val="2"/>
                    <w:bidi w:val="0"/>
                    <w:jc w:val="center"/>
                    <w:rPr>
                      <w:color w:val="auto"/>
                    </w:rPr>
                  </w:pPr>
                </w:p>
              </w:tc>
              <w:tc>
                <w:tcPr>
                  <w:tcW w:w="791" w:type="pct"/>
                  <w:tcBorders>
                    <w:tl2br w:val="nil"/>
                    <w:tr2bl w:val="nil"/>
                  </w:tcBorders>
                  <w:shd w:val="clear" w:color="auto" w:fill="auto"/>
                  <w:vAlign w:val="center"/>
                </w:tcPr>
                <w:p>
                  <w:pPr>
                    <w:pStyle w:val="2"/>
                    <w:bidi w:val="0"/>
                    <w:jc w:val="center"/>
                    <w:rPr>
                      <w:color w:val="auto"/>
                    </w:rPr>
                  </w:pPr>
                </w:p>
              </w:tc>
              <w:tc>
                <w:tcPr>
                  <w:tcW w:w="945" w:type="pct"/>
                  <w:tcBorders>
                    <w:tl2br w:val="nil"/>
                    <w:tr2bl w:val="nil"/>
                  </w:tcBorders>
                  <w:shd w:val="clear" w:color="auto" w:fill="auto"/>
                  <w:vAlign w:val="center"/>
                </w:tcPr>
                <w:p>
                  <w:pPr>
                    <w:pStyle w:val="2"/>
                    <w:bidi w:val="0"/>
                    <w:jc w:val="center"/>
                    <w:rPr>
                      <w:color w:val="auto"/>
                    </w:rPr>
                  </w:pPr>
                </w:p>
              </w:tc>
            </w:tr>
          </w:tbl>
          <w:p>
            <w:pPr>
              <w:spacing w:line="360" w:lineRule="auto"/>
              <w:ind w:firstLine="482"/>
              <w:rPr>
                <w:rFonts w:hint="eastAsia"/>
                <w:color w:val="auto"/>
              </w:rPr>
            </w:pPr>
            <w:r>
              <w:rPr>
                <w:rFonts w:hint="eastAsia"/>
                <w:color w:val="auto"/>
                <w:lang w:eastAsia="zh-CN"/>
              </w:rPr>
              <w:t>施工时均在划定范围内施工，临时</w:t>
            </w:r>
            <w:r>
              <w:rPr>
                <w:rFonts w:hint="eastAsia"/>
                <w:color w:val="auto"/>
              </w:rPr>
              <w:t>占用土地类型为</w:t>
            </w:r>
            <w:r>
              <w:rPr>
                <w:rFonts w:hint="eastAsia"/>
                <w:color w:val="auto"/>
                <w:lang w:val="en-US" w:eastAsia="zh-CN"/>
              </w:rPr>
              <w:t>草地</w:t>
            </w:r>
            <w:r>
              <w:rPr>
                <w:rFonts w:hint="eastAsia"/>
                <w:color w:val="auto"/>
              </w:rPr>
              <w:t>，对土地的损毁类型主要为压占损毁。</w:t>
            </w:r>
          </w:p>
          <w:p>
            <w:pPr>
              <w:bidi w:val="0"/>
              <w:rPr>
                <w:color w:val="auto"/>
              </w:rPr>
            </w:pPr>
            <w:r>
              <w:rPr>
                <w:rFonts w:hint="eastAsia"/>
                <w:color w:val="auto"/>
                <w:lang w:val="en-US" w:eastAsia="zh-CN"/>
              </w:rPr>
              <w:t>（1）</w:t>
            </w:r>
            <w:r>
              <w:rPr>
                <w:color w:val="auto"/>
              </w:rPr>
              <w:t>对地表破坏的影响</w:t>
            </w:r>
          </w:p>
          <w:p>
            <w:pPr>
              <w:spacing w:line="360" w:lineRule="auto"/>
              <w:ind w:firstLine="482"/>
              <w:rPr>
                <w:rFonts w:hint="eastAsia"/>
                <w:color w:val="auto"/>
              </w:rPr>
            </w:pPr>
            <w:r>
              <w:rPr>
                <w:rFonts w:hint="eastAsia"/>
                <w:color w:val="auto"/>
              </w:rPr>
              <w:t>施工期包括矿区道路</w:t>
            </w:r>
            <w:r>
              <w:rPr>
                <w:rFonts w:hint="eastAsia"/>
                <w:color w:val="auto"/>
                <w:lang w:eastAsia="zh-CN"/>
              </w:rPr>
              <w:t>建设、荒料堆场的平整，生活办公区</w:t>
            </w:r>
            <w:r>
              <w:rPr>
                <w:rFonts w:hint="eastAsia"/>
                <w:color w:val="auto"/>
              </w:rPr>
              <w:t>的建设，根据项目区实际情况，工程施工过程中施工人员活动，施工机械</w:t>
            </w:r>
            <w:r>
              <w:rPr>
                <w:rFonts w:hint="eastAsia"/>
                <w:color w:val="auto"/>
                <w:lang w:eastAsia="zh-CN"/>
              </w:rPr>
              <w:t>碾压</w:t>
            </w:r>
            <w:r>
              <w:rPr>
                <w:rFonts w:hint="eastAsia"/>
                <w:color w:val="auto"/>
              </w:rPr>
              <w:t>，施工材料堆放，施工料场开挖，施工临时设施建设，施工场地平整所占用的土地</w:t>
            </w:r>
            <w:r>
              <w:rPr>
                <w:rFonts w:hint="eastAsia"/>
                <w:color w:val="auto"/>
                <w:lang w:eastAsia="zh-CN"/>
              </w:rPr>
              <w:t>，均位于项目区划定范围内</w:t>
            </w:r>
            <w:r>
              <w:rPr>
                <w:rFonts w:hint="eastAsia"/>
                <w:color w:val="auto"/>
              </w:rPr>
              <w:t>。其影响主要表现在三个方面</w:t>
            </w:r>
            <w:r>
              <w:rPr>
                <w:rFonts w:hint="eastAsia"/>
                <w:color w:val="auto"/>
                <w:lang w:eastAsia="zh-CN"/>
              </w:rPr>
              <w:t>：</w:t>
            </w:r>
            <w:r>
              <w:rPr>
                <w:rFonts w:hint="eastAsia"/>
                <w:color w:val="auto"/>
              </w:rPr>
              <w:t>一是取土或弃土、弃渣等造成对地表形态的影响</w:t>
            </w:r>
            <w:r>
              <w:rPr>
                <w:rFonts w:hint="eastAsia"/>
                <w:color w:val="auto"/>
                <w:lang w:eastAsia="zh-CN"/>
              </w:rPr>
              <w:t>；二是</w:t>
            </w:r>
            <w:r>
              <w:rPr>
                <w:color w:val="auto"/>
              </w:rPr>
              <w:t>扩大占用土地的面积而且使表层</w:t>
            </w:r>
            <w:r>
              <w:rPr>
                <w:rFonts w:hint="eastAsia"/>
                <w:color w:val="auto"/>
                <w:lang w:eastAsia="zh-CN"/>
              </w:rPr>
              <w:t>土壤</w:t>
            </w:r>
            <w:r>
              <w:rPr>
                <w:color w:val="auto"/>
              </w:rPr>
              <w:t>被掩盖，产生新的水土流失</w:t>
            </w:r>
            <w:r>
              <w:rPr>
                <w:rFonts w:hint="eastAsia"/>
                <w:color w:val="auto"/>
                <w:lang w:eastAsia="zh-CN"/>
              </w:rPr>
              <w:t>；三</w:t>
            </w:r>
            <w:r>
              <w:rPr>
                <w:rFonts w:hint="eastAsia"/>
                <w:color w:val="auto"/>
              </w:rPr>
              <w:t>是留下的临时设施影响景观的恢复，临时占地的影响性质是暂时性的，采取一定的措施和随着时间的推移，破坏的土地能够得以恢复，它未改变土地的利用形式，属可逆影响。但不采取文明施工和一定的恢复措施，对生态环境所造成的破坏，则往往需要很</w:t>
            </w:r>
            <w:r>
              <w:rPr>
                <w:rFonts w:hint="eastAsia"/>
                <w:color w:val="auto"/>
                <w:lang w:eastAsia="zh-CN"/>
              </w:rPr>
              <w:t>长时间</w:t>
            </w:r>
            <w:r>
              <w:rPr>
                <w:rFonts w:hint="eastAsia"/>
                <w:color w:val="auto"/>
              </w:rPr>
              <w:t>才能恢复。</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）工程建设对景观的影响</w:t>
            </w:r>
          </w:p>
          <w:p>
            <w:pPr>
              <w:bidi w:val="0"/>
              <w:rPr>
                <w:rFonts w:hint="eastAsia"/>
                <w:color w:val="auto"/>
                <w:lang w:eastAsia="zh-CN"/>
              </w:rPr>
            </w:pPr>
            <w:r>
              <w:rPr>
                <w:rFonts w:hint="eastAsia"/>
                <w:color w:val="auto"/>
                <w:lang w:eastAsia="zh-CN"/>
              </w:rPr>
              <w:t>本项目占地类型为</w:t>
            </w:r>
            <w:r>
              <w:rPr>
                <w:rFonts w:hint="eastAsia"/>
                <w:color w:val="auto"/>
                <w:lang w:val="en-US" w:eastAsia="zh-CN"/>
              </w:rPr>
              <w:t>草地</w:t>
            </w:r>
            <w:r>
              <w:rPr>
                <w:rFonts w:hint="eastAsia"/>
                <w:color w:val="auto"/>
                <w:lang w:eastAsia="zh-CN"/>
              </w:rPr>
              <w:t>，施工过程中扰动原有地貌，破坏原有植被，项目建成后建筑物覆盖使因建设造成的裸露地表在工程措施及植物措施防护下，影响将逐渐减小。</w:t>
            </w:r>
          </w:p>
          <w:p>
            <w:pPr>
              <w:bidi w:val="0"/>
              <w:rPr>
                <w:rFonts w:hint="eastAsia"/>
                <w:color w:val="auto"/>
                <w:lang w:eastAsia="zh-CN"/>
              </w:rPr>
            </w:pPr>
            <w:r>
              <w:rPr>
                <w:rFonts w:hint="eastAsia"/>
                <w:color w:val="auto"/>
                <w:lang w:eastAsia="zh-CN"/>
              </w:rPr>
              <w:t>建筑物和采区对周边生态与景观有一定的破坏作用，对地质环境的影响较大，随着矿山开采的进行，原有地表的植被和景观不可避免地受到破坏，矿山开采结束后进行复垦，拆除建筑物，恢复植被。</w:t>
            </w:r>
          </w:p>
          <w:p>
            <w:pPr>
              <w:bidi w:val="0"/>
              <w:rPr>
                <w:rFonts w:hint="eastAsia"/>
                <w:color w:val="auto"/>
                <w:lang w:eastAsia="zh-CN"/>
              </w:rPr>
            </w:pPr>
            <w:r>
              <w:rPr>
                <w:rFonts w:hint="eastAsia"/>
                <w:color w:val="auto"/>
                <w:lang w:val="en-US" w:eastAsia="zh-CN"/>
              </w:rPr>
              <w:t>（3）</w:t>
            </w:r>
            <w:r>
              <w:rPr>
                <w:rFonts w:hint="eastAsia"/>
                <w:color w:val="auto"/>
                <w:lang w:eastAsia="zh-CN"/>
              </w:rPr>
              <w:t>施工过程中对土壤的影响</w:t>
            </w:r>
          </w:p>
          <w:p>
            <w:pPr>
              <w:pStyle w:val="86"/>
              <w:rPr>
                <w:rFonts w:hint="eastAsia"/>
                <w:color w:val="auto"/>
                <w:lang w:eastAsia="zh-CN"/>
              </w:rPr>
            </w:pPr>
            <w:r>
              <w:rPr>
                <w:rFonts w:hint="eastAsia"/>
                <w:color w:val="auto"/>
                <w:lang w:eastAsia="zh-CN"/>
              </w:rPr>
              <w:t>本项目施工过程对地表产生一定的扰动，一定程度上降低了地表土壤的抗蚀能力；工程建设过程中将产生废土石，如管理不善，废土石随处堆放将直接为水土流失提供大量的土源，加剧水土流失。要求建设单位严格对废土石及临时堆场进行管理，剥离表土分层堆放保存，避免水土流失。</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）施工</w:t>
            </w:r>
            <w:r>
              <w:rPr>
                <w:color w:val="auto"/>
              </w:rPr>
              <w:t>对地表植被的影响</w:t>
            </w:r>
          </w:p>
          <w:p>
            <w:pPr>
              <w:rPr>
                <w:rFonts w:hint="eastAsia" w:eastAsia="宋体"/>
                <w:color w:val="auto"/>
                <w:lang w:eastAsia="zh-CN"/>
              </w:rPr>
            </w:pPr>
            <w:r>
              <w:rPr>
                <w:color w:val="auto"/>
              </w:rPr>
              <w:t>由于</w:t>
            </w:r>
            <w:r>
              <w:rPr>
                <w:rFonts w:hint="eastAsia"/>
                <w:color w:val="auto"/>
                <w:lang w:val="en-US" w:eastAsia="zh-CN"/>
              </w:rPr>
              <w:t>项目</w:t>
            </w:r>
            <w:r>
              <w:rPr>
                <w:color w:val="auto"/>
              </w:rPr>
              <w:t>占地</w:t>
            </w:r>
            <w:r>
              <w:rPr>
                <w:rFonts w:hint="eastAsia" w:ascii="Times New Roman" w:hAnsi="Times New Roman" w:eastAsia="宋体" w:cs="Times New Roman"/>
                <w:color w:val="auto"/>
                <w:lang w:eastAsia="zh-CN"/>
              </w:rPr>
              <w:t>的土地利用类型</w:t>
            </w:r>
            <w:r>
              <w:rPr>
                <w:rFonts w:hint="eastAsia" w:cs="Times New Roman"/>
                <w:color w:val="auto"/>
                <w:lang w:eastAsia="zh-CN"/>
              </w:rPr>
              <w:t>为</w:t>
            </w:r>
            <w:r>
              <w:rPr>
                <w:rFonts w:hint="eastAsia" w:cs="Times New Roman"/>
                <w:color w:val="auto"/>
                <w:lang w:val="en-US" w:eastAsia="zh-CN"/>
              </w:rPr>
              <w:t>草地</w:t>
            </w:r>
            <w:r>
              <w:rPr>
                <w:rFonts w:hint="eastAsia" w:ascii="Times New Roman" w:hAnsi="Times New Roman" w:eastAsia="宋体" w:cs="Times New Roman"/>
                <w:color w:val="auto"/>
                <w:lang w:eastAsia="zh-CN"/>
              </w:rPr>
              <w:t>，</w:t>
            </w:r>
            <w:r>
              <w:rPr>
                <w:color w:val="auto"/>
              </w:rPr>
              <w:t>植被覆盖率</w:t>
            </w:r>
            <w:r>
              <w:rPr>
                <w:rFonts w:hint="eastAsia" w:ascii="Times New Roman" w:hAnsi="Times New Roman" w:eastAsia="宋体" w:cs="Times New Roman"/>
                <w:color w:val="auto"/>
                <w:lang w:eastAsia="zh-CN"/>
              </w:rPr>
              <w:t>在</w:t>
            </w:r>
            <w:r>
              <w:rPr>
                <w:rFonts w:hint="eastAsia"/>
                <w:color w:val="auto"/>
                <w:lang w:val="en-US" w:eastAsia="zh-CN"/>
              </w:rPr>
              <w:t>30%～60%</w:t>
            </w:r>
            <w:r>
              <w:rPr>
                <w:rFonts w:hint="eastAsia"/>
                <w:color w:val="auto"/>
                <w:lang w:eastAsia="zh-CN"/>
              </w:rPr>
              <w:t>，在建设过程中的</w:t>
            </w:r>
            <w:r>
              <w:rPr>
                <w:rFonts w:hint="eastAsia"/>
                <w:color w:val="auto"/>
              </w:rPr>
              <w:t>废石堆放场</w:t>
            </w:r>
            <w:r>
              <w:rPr>
                <w:rFonts w:hint="eastAsia"/>
                <w:color w:val="auto"/>
                <w:lang w:eastAsia="zh-CN"/>
              </w:rPr>
              <w:t>、</w:t>
            </w:r>
            <w:r>
              <w:rPr>
                <w:rFonts w:hint="eastAsia"/>
                <w:color w:val="auto"/>
              </w:rPr>
              <w:t>矿部生活区</w:t>
            </w:r>
            <w:r>
              <w:rPr>
                <w:rFonts w:hint="eastAsia"/>
                <w:color w:val="auto"/>
                <w:lang w:eastAsia="zh-CN"/>
              </w:rPr>
              <w:t>、</w:t>
            </w:r>
            <w:r>
              <w:rPr>
                <w:rFonts w:hint="eastAsia"/>
                <w:color w:val="auto"/>
              </w:rPr>
              <w:t>荒料堆放场</w:t>
            </w:r>
            <w:r>
              <w:rPr>
                <w:rFonts w:hint="eastAsia"/>
                <w:color w:val="auto"/>
                <w:lang w:eastAsia="zh-CN"/>
              </w:rPr>
              <w:t>、</w:t>
            </w:r>
            <w:r>
              <w:rPr>
                <w:rFonts w:hint="eastAsia"/>
                <w:color w:val="auto"/>
              </w:rPr>
              <w:t>表土堆放场</w:t>
            </w:r>
            <w:r>
              <w:rPr>
                <w:rFonts w:hint="eastAsia"/>
                <w:color w:val="auto"/>
                <w:lang w:eastAsia="zh-CN"/>
              </w:rPr>
              <w:t>、</w:t>
            </w:r>
            <w:r>
              <w:rPr>
                <w:rFonts w:hint="eastAsia"/>
                <w:color w:val="auto"/>
              </w:rPr>
              <w:t>矿山道路</w:t>
            </w:r>
            <w:r>
              <w:rPr>
                <w:rFonts w:hint="eastAsia"/>
                <w:color w:val="auto"/>
                <w:lang w:eastAsia="zh-CN"/>
              </w:rPr>
              <w:t>占地对区域内植被</w:t>
            </w:r>
            <w:r>
              <w:rPr>
                <w:color w:val="auto"/>
              </w:rPr>
              <w:t>扰动影响较</w:t>
            </w:r>
            <w:r>
              <w:rPr>
                <w:rFonts w:hint="eastAsia"/>
                <w:color w:val="auto"/>
                <w:lang w:eastAsia="zh-CN"/>
              </w:rPr>
              <w:t>大，在建设过程中严禁超矿区范围活动，对</w:t>
            </w:r>
            <w:r>
              <w:rPr>
                <w:rFonts w:hint="eastAsia"/>
                <w:color w:val="auto"/>
                <w:lang w:val="en-US" w:eastAsia="zh-CN"/>
              </w:rPr>
              <w:t>周围</w:t>
            </w:r>
            <w:r>
              <w:rPr>
                <w:rFonts w:hint="eastAsia"/>
                <w:color w:val="auto"/>
                <w:lang w:eastAsia="zh-CN"/>
              </w:rPr>
              <w:t>的影响较小。</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eastAsia"/>
                <w:color w:val="auto"/>
                <w:lang w:val="en-US" w:eastAsia="zh-CN"/>
              </w:rPr>
            </w:pPr>
            <w:r>
              <w:rPr>
                <w:rFonts w:hint="default"/>
                <w:color w:val="auto"/>
                <w:lang w:val="en-US" w:eastAsia="zh-CN"/>
              </w:rPr>
              <w:t>本项目施工区域以</w:t>
            </w:r>
            <w:r>
              <w:rPr>
                <w:rFonts w:hint="eastAsia"/>
                <w:color w:val="auto"/>
                <w:lang w:val="en-US" w:eastAsia="zh-CN"/>
              </w:rPr>
              <w:t>草地</w:t>
            </w:r>
            <w:r>
              <w:rPr>
                <w:rFonts w:hint="default"/>
                <w:color w:val="auto"/>
                <w:lang w:val="en-US" w:eastAsia="zh-CN"/>
              </w:rPr>
              <w:t>为主</w:t>
            </w:r>
            <w:r>
              <w:rPr>
                <w:rFonts w:hint="eastAsia"/>
                <w:color w:val="auto"/>
                <w:lang w:val="en-US" w:eastAsia="zh-CN"/>
              </w:rPr>
              <w:t>，</w:t>
            </w:r>
            <w:r>
              <w:rPr>
                <w:rFonts w:hint="default"/>
                <w:color w:val="auto"/>
                <w:lang w:val="en-US" w:eastAsia="zh-CN"/>
              </w:rPr>
              <w:t>生物量损失按下式计算</w:t>
            </w:r>
            <w:r>
              <w:rPr>
                <w:rFonts w:hint="eastAsia"/>
                <w:color w:val="auto"/>
                <w:lang w:val="en-US" w:eastAsia="zh-CN"/>
              </w:rPr>
              <w:t>：</w:t>
            </w:r>
          </w:p>
          <w:p>
            <w:pPr>
              <w:pStyle w:val="22"/>
              <w:keepNext w:val="0"/>
              <w:keepLines w:val="0"/>
              <w:pageBreakBefore w:val="0"/>
              <w:widowControl w:val="0"/>
              <w:kinsoku/>
              <w:wordWrap/>
              <w:overflowPunct/>
              <w:topLinePunct w:val="0"/>
              <w:autoSpaceDE/>
              <w:autoSpaceDN/>
              <w:bidi w:val="0"/>
              <w:adjustRightInd w:val="0"/>
              <w:snapToGrid w:val="0"/>
              <w:ind w:left="0" w:firstLine="480" w:firstLineChars="200"/>
              <w:jc w:val="center"/>
              <w:textAlignment w:val="auto"/>
              <w:rPr>
                <w:rFonts w:hint="eastAsia"/>
                <w:color w:val="auto"/>
                <w:lang w:val="en-US" w:eastAsia="zh-CN"/>
              </w:rPr>
            </w:pPr>
            <w:r>
              <w:rPr>
                <w:rFonts w:hint="eastAsia"/>
                <w:color w:val="auto"/>
                <w:lang w:val="en-US" w:eastAsia="zh-CN"/>
              </w:rPr>
              <w:t>Y=Si·Wi</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式中，Y—永久性生物量损失，t；</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Si—占地面积，hm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Wi—单位面积生物量，t/hm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bidi w:val="0"/>
              <w:rPr>
                <w:rFonts w:hint="eastAsia"/>
                <w:color w:val="auto"/>
              </w:rPr>
            </w:pPr>
            <w:r>
              <w:rPr>
                <w:rFonts w:hint="default"/>
                <w:color w:val="auto"/>
                <w:lang w:val="en-US" w:eastAsia="zh-CN"/>
              </w:rPr>
              <w:t>本项目施工区域为</w:t>
            </w:r>
            <w:r>
              <w:rPr>
                <w:rFonts w:hint="eastAsia"/>
                <w:color w:val="auto"/>
                <w:lang w:val="en-US" w:eastAsia="zh-CN"/>
              </w:rPr>
              <w:t>草地</w:t>
            </w:r>
            <w:r>
              <w:rPr>
                <w:rFonts w:hint="default"/>
                <w:color w:val="auto"/>
                <w:lang w:val="en-US" w:eastAsia="zh-CN"/>
              </w:rPr>
              <w:t>，</w:t>
            </w:r>
            <w:r>
              <w:rPr>
                <w:rFonts w:hint="eastAsia"/>
                <w:color w:val="auto"/>
                <w:lang w:val="en-US" w:eastAsia="zh-CN"/>
              </w:rPr>
              <w:t>根据《天然草原等级评定技术规范》（NY/T15792007），本项目</w:t>
            </w:r>
            <w:r>
              <w:rPr>
                <w:rFonts w:hint="default"/>
                <w:color w:val="auto"/>
                <w:lang w:val="en-US" w:eastAsia="zh-CN"/>
              </w:rPr>
              <w:t>植被覆盖率约为</w:t>
            </w:r>
            <w:r>
              <w:rPr>
                <w:rFonts w:hint="eastAsia"/>
                <w:color w:val="auto"/>
                <w:lang w:val="en-US" w:eastAsia="zh-CN"/>
              </w:rPr>
              <w:t>30%～60</w:t>
            </w:r>
            <w:r>
              <w:rPr>
                <w:rFonts w:hint="default"/>
                <w:color w:val="auto"/>
                <w:lang w:val="en-US" w:eastAsia="zh-CN"/>
              </w:rPr>
              <w:t>%，平均生物量</w:t>
            </w:r>
            <w:r>
              <w:rPr>
                <w:rFonts w:hint="eastAsia"/>
                <w:color w:val="auto"/>
                <w:lang w:val="en-US" w:eastAsia="zh-CN"/>
              </w:rPr>
              <w:t>2</w:t>
            </w:r>
            <w:r>
              <w:rPr>
                <w:rFonts w:hint="default"/>
                <w:color w:val="auto"/>
                <w:highlight w:val="none"/>
                <w:lang w:val="en-US" w:eastAsia="zh-CN"/>
              </w:rPr>
              <w:t>t/hm</w:t>
            </w:r>
            <w:r>
              <w:rPr>
                <w:rFonts w:hint="default"/>
                <w:color w:val="auto"/>
                <w:highlight w:val="none"/>
                <w:vertAlign w:val="superscript"/>
                <w:lang w:val="en-US" w:eastAsia="zh-CN"/>
              </w:rPr>
              <w:t>2</w:t>
            </w:r>
            <w:r>
              <w:rPr>
                <w:rFonts w:hint="default"/>
                <w:color w:val="auto"/>
                <w:highlight w:val="none"/>
                <w:lang w:val="en-US" w:eastAsia="zh-CN"/>
              </w:rPr>
              <w:t>，本项目</w:t>
            </w:r>
            <w:r>
              <w:rPr>
                <w:rFonts w:hint="eastAsia"/>
                <w:color w:val="auto"/>
                <w:highlight w:val="none"/>
                <w:lang w:val="en-US" w:eastAsia="zh-CN"/>
              </w:rPr>
              <w:t>施工期</w:t>
            </w:r>
            <w:r>
              <w:rPr>
                <w:rFonts w:hint="default"/>
                <w:color w:val="auto"/>
                <w:highlight w:val="none"/>
                <w:lang w:val="en-US" w:eastAsia="zh-CN"/>
              </w:rPr>
              <w:t>占地面积</w:t>
            </w:r>
            <w:r>
              <w:rPr>
                <w:rFonts w:hint="eastAsia"/>
                <w:color w:val="auto"/>
                <w:lang w:val="en-US" w:eastAsia="zh-CN"/>
              </w:rPr>
              <w:t>13.36</w:t>
            </w:r>
            <w:r>
              <w:rPr>
                <w:rFonts w:hint="default"/>
                <w:color w:val="auto"/>
                <w:highlight w:val="none"/>
                <w:lang w:val="en-US" w:eastAsia="zh-CN"/>
              </w:rPr>
              <w:t>hm</w:t>
            </w:r>
            <w:r>
              <w:rPr>
                <w:rFonts w:hint="default"/>
                <w:color w:val="auto"/>
                <w:highlight w:val="none"/>
                <w:vertAlign w:val="superscript"/>
                <w:lang w:val="en-US" w:eastAsia="zh-CN"/>
              </w:rPr>
              <w:t>2</w:t>
            </w:r>
            <w:r>
              <w:rPr>
                <w:rFonts w:hint="eastAsia"/>
                <w:color w:val="auto"/>
                <w:highlight w:val="none"/>
                <w:lang w:val="en-US" w:eastAsia="zh-CN"/>
              </w:rPr>
              <w:t>，</w:t>
            </w:r>
            <w:r>
              <w:rPr>
                <w:rFonts w:hint="default"/>
                <w:color w:val="auto"/>
                <w:highlight w:val="none"/>
                <w:lang w:val="en-US" w:eastAsia="zh-CN"/>
              </w:rPr>
              <w:t>将造成</w:t>
            </w:r>
            <w:r>
              <w:rPr>
                <w:rFonts w:hint="eastAsia"/>
                <w:color w:val="auto"/>
                <w:highlight w:val="none"/>
                <w:lang w:val="en-US" w:eastAsia="zh-CN"/>
              </w:rPr>
              <w:t>26.72t</w:t>
            </w:r>
            <w:r>
              <w:rPr>
                <w:rFonts w:hint="default"/>
                <w:color w:val="auto"/>
                <w:highlight w:val="none"/>
                <w:lang w:val="en-US" w:eastAsia="zh-CN"/>
              </w:rPr>
              <w:t>植被损失。通过加强施工管理，认真做好施工结束后的</w:t>
            </w:r>
            <w:r>
              <w:rPr>
                <w:rFonts w:hint="eastAsia"/>
                <w:color w:val="auto"/>
                <w:highlight w:val="none"/>
                <w:lang w:val="en-US" w:eastAsia="zh-CN"/>
              </w:rPr>
              <w:t>项</w:t>
            </w:r>
            <w:r>
              <w:rPr>
                <w:rFonts w:hint="eastAsia"/>
                <w:color w:val="auto"/>
                <w:lang w:val="en-US" w:eastAsia="zh-CN"/>
              </w:rPr>
              <w:t>目区活动范围</w:t>
            </w:r>
            <w:r>
              <w:rPr>
                <w:rFonts w:hint="default"/>
                <w:color w:val="auto"/>
                <w:lang w:val="en-US" w:eastAsia="zh-CN"/>
              </w:rPr>
              <w:t>，施工完成后及时做好植被恢复工作，对周边宜绿化区域进行绿化。工程建设对植被的环境影响可接受。</w:t>
            </w:r>
          </w:p>
          <w:p>
            <w:pPr>
              <w:bidi w:val="0"/>
              <w:rPr>
                <w:rFonts w:hint="eastAsia"/>
                <w:color w:val="auto"/>
                <w:lang w:eastAsia="zh-CN"/>
              </w:rPr>
            </w:pPr>
            <w:r>
              <w:rPr>
                <w:rFonts w:hint="eastAsia"/>
                <w:color w:val="auto"/>
                <w:lang w:val="en-US" w:eastAsia="zh-CN"/>
              </w:rPr>
              <w:t>（5）</w:t>
            </w:r>
            <w:r>
              <w:rPr>
                <w:rFonts w:hint="eastAsia"/>
                <w:color w:val="auto"/>
                <w:lang w:eastAsia="zh-CN"/>
              </w:rPr>
              <w:t>施工过程中对动物的影响</w:t>
            </w:r>
          </w:p>
          <w:p>
            <w:pPr>
              <w:bidi w:val="0"/>
              <w:rPr>
                <w:color w:val="auto"/>
              </w:rPr>
            </w:pPr>
            <w:r>
              <w:rPr>
                <w:color w:val="auto"/>
              </w:rPr>
              <w:t>在施工过程中，由于各类机械产生的噪声和人为活动的干扰，会使野生动物和一些鸟类向外迁移，使评价区周边的局部地区动物的密度相应增加；将直接影响到这一地区的某些野生动物种群数量。由于评价区野生动物种类较少。动物在受到人为影响时均可就近迁入周边地区继续生存繁衍，因此项目建设期不会使评价区内的野生动物物种数量发生较大的变化，其种群数量也不会发生明显变化。只要加强对施工人员的管理，矿区开发对区域野生动物资源不会造成毁灭性影响。</w:t>
            </w:r>
          </w:p>
          <w:p>
            <w:pPr>
              <w:bidi w:val="0"/>
              <w:rPr>
                <w:rFonts w:hint="eastAsia"/>
                <w:color w:val="auto"/>
                <w:lang w:eastAsia="zh-CN"/>
              </w:rPr>
            </w:pPr>
            <w:r>
              <w:rPr>
                <w:rFonts w:hint="eastAsia"/>
                <w:color w:val="auto"/>
                <w:lang w:val="en-US" w:eastAsia="zh-CN"/>
              </w:rPr>
              <w:t>（6）</w:t>
            </w:r>
            <w:r>
              <w:rPr>
                <w:rFonts w:hint="eastAsia"/>
                <w:color w:val="auto"/>
                <w:lang w:eastAsia="zh-CN"/>
              </w:rPr>
              <w:t>水土流失的影响</w:t>
            </w:r>
          </w:p>
          <w:p>
            <w:pPr>
              <w:bidi w:val="0"/>
              <w:rPr>
                <w:rFonts w:hint="default"/>
                <w:color w:val="auto"/>
                <w:lang w:val="en-US" w:eastAsia="zh-CN"/>
              </w:rPr>
            </w:pPr>
            <w:r>
              <w:rPr>
                <w:rFonts w:hint="eastAsia"/>
                <w:color w:val="auto"/>
                <w:lang w:eastAsia="zh-CN"/>
              </w:rPr>
              <w:t>拟建项目建设过程中，由于施工人员践踏、机械作业等，将对地表植被及土壤结构造成破坏，遇到雨天将会造成水土流失，开挖的土石方将占用一定的土地，对占地范围产生扰动、植被破坏，开挖土石方堆存易发生水土流失。工程建设新增水土流失产生于以下方面：①拟建项目实施期间，由于场地开拓及平整地基土层的填挖、施工人员临时生活区、施工道路的布置等，均有可能造成原生地表植被的破坏，引发和加剧水土流失。②</w:t>
            </w:r>
            <w:r>
              <w:rPr>
                <w:rFonts w:hint="eastAsia"/>
                <w:color w:val="auto"/>
                <w:lang w:val="en-US" w:eastAsia="zh-CN"/>
              </w:rPr>
              <w:t>表土、废渣</w:t>
            </w:r>
            <w:r>
              <w:rPr>
                <w:rFonts w:hint="eastAsia"/>
                <w:color w:val="auto"/>
                <w:lang w:eastAsia="zh-CN"/>
              </w:rPr>
              <w:t>堆放被风蚀的可能性较大若堆放或保护措施不当，将会在大风作用下产生水土流失。本项目及其配套设施建设将扰动原地貌，改变地形地貌，破坏植被，工程建设对拟建项目占地范围内的土地产生扰动，项目临时占地面积较小，影响范围也有限，对项目区周边水土流失的影响不大。</w:t>
            </w:r>
          </w:p>
          <w:p>
            <w:pPr>
              <w:bidi w:val="0"/>
              <w:rPr>
                <w:rFonts w:hint="eastAsia"/>
                <w:color w:val="auto"/>
                <w:lang w:val="en-US" w:eastAsia="zh-CN"/>
              </w:rPr>
            </w:pPr>
            <w:r>
              <w:rPr>
                <w:rFonts w:hint="eastAsia"/>
                <w:color w:val="auto"/>
                <w:lang w:val="en-US" w:eastAsia="zh-CN"/>
              </w:rPr>
              <w:t>（7）土地沙化的影响</w:t>
            </w:r>
          </w:p>
          <w:p>
            <w:pPr>
              <w:bidi w:val="0"/>
              <w:rPr>
                <w:rFonts w:hint="eastAsia"/>
                <w:color w:val="auto"/>
                <w:lang w:val="en-US" w:eastAsia="zh-CN"/>
              </w:rPr>
            </w:pPr>
            <w:r>
              <w:rPr>
                <w:rFonts w:hint="eastAsia"/>
                <w:color w:val="auto"/>
                <w:lang w:val="en-US" w:eastAsia="zh-CN"/>
              </w:rPr>
              <w:t>项目区土地沙化影响因素为：①项目建设过程中对原地貌的扰动将降低项目占地范围内的土壤抗侵蚀能力，造成土地沙化；②由于项目区内，空气干燥，若项目土石方堆存过程中未采取防尘网苫盖、洒水抑尘等措施，地表沙化的土壤及废土、废石遇大风天气易产生严重的扬尘。</w:t>
            </w:r>
          </w:p>
          <w:p>
            <w:pPr>
              <w:bidi w:val="0"/>
              <w:rPr>
                <w:rFonts w:hint="eastAsia"/>
                <w:color w:val="auto"/>
                <w:lang w:val="en-US" w:eastAsia="zh-CN"/>
              </w:rPr>
            </w:pPr>
            <w:r>
              <w:rPr>
                <w:rFonts w:hint="eastAsia"/>
                <w:color w:val="auto"/>
                <w:lang w:val="en-US" w:eastAsia="zh-CN"/>
              </w:rPr>
              <w:t>项目区内植被覆盖率较高，植被破坏造成土地沙化的影响较小，施工过程中严格对土石方采取覆盖、洒水降尘等措施，施工期对土地沙化的影响较小。</w:t>
            </w:r>
          </w:p>
          <w:p>
            <w:pPr>
              <w:pStyle w:val="5"/>
              <w:bidi w:val="0"/>
              <w:rPr>
                <w:rFonts w:hint="eastAsia"/>
                <w:color w:val="auto"/>
                <w:lang w:eastAsia="zh-CN"/>
              </w:rPr>
            </w:pPr>
            <w:r>
              <w:rPr>
                <w:rFonts w:hint="eastAsia"/>
                <w:color w:val="auto"/>
                <w:lang w:val="en-US" w:eastAsia="zh-CN"/>
              </w:rPr>
              <w:t>2、</w:t>
            </w:r>
            <w:r>
              <w:rPr>
                <w:rFonts w:hint="eastAsia"/>
                <w:color w:val="auto"/>
                <w:lang w:eastAsia="zh-CN"/>
              </w:rPr>
              <w:t>施工期废气影响分析</w:t>
            </w:r>
          </w:p>
          <w:p>
            <w:pPr>
              <w:adjustRightInd w:val="0"/>
              <w:snapToGrid w:val="0"/>
              <w:spacing w:line="360" w:lineRule="auto"/>
              <w:ind w:firstLine="480" w:firstLineChars="200"/>
              <w:rPr>
                <w:color w:val="auto"/>
              </w:rPr>
            </w:pPr>
            <w:r>
              <w:rPr>
                <w:color w:val="auto"/>
              </w:rPr>
              <w:t>施工阶段，需频繁使用机动车辆运输建筑原材料、施工设备、器材及建筑垃圾，排出的机动车尾气主要污染物是HC、CO、NOx等，同时车辆运行、装卸建筑材料时将产生扬尘。</w:t>
            </w:r>
          </w:p>
          <w:p>
            <w:pPr>
              <w:adjustRightInd w:val="0"/>
              <w:snapToGrid w:val="0"/>
              <w:spacing w:line="360" w:lineRule="auto"/>
              <w:ind w:firstLine="480" w:firstLineChars="200"/>
              <w:rPr>
                <w:rFonts w:hint="eastAsia"/>
                <w:color w:val="auto"/>
              </w:rPr>
            </w:pPr>
            <w:r>
              <w:rPr>
                <w:color w:val="auto"/>
              </w:rPr>
              <w:t>施工扬尘污染主要造成大气中</w:t>
            </w:r>
            <w:r>
              <w:rPr>
                <w:rFonts w:hint="eastAsia"/>
                <w:color w:val="auto"/>
                <w:lang w:eastAsia="zh-CN"/>
              </w:rPr>
              <w:t>颗粒物</w:t>
            </w:r>
            <w:r>
              <w:rPr>
                <w:color w:val="auto"/>
              </w:rPr>
              <w:t>值增高，根据类比资料，施工扬尘的起尘量与许多因素有关。影响起尘量的因素包括：基础开挖起尘量、施工渣土堆场起尘量、进出车辆带</w:t>
            </w:r>
            <w:r>
              <w:rPr>
                <w:rFonts w:hint="eastAsia"/>
                <w:color w:val="auto"/>
                <w:lang w:eastAsia="zh-CN"/>
              </w:rPr>
              <w:t>泥沙</w:t>
            </w:r>
            <w:r>
              <w:rPr>
                <w:color w:val="auto"/>
              </w:rPr>
              <w:t>量、水泥搬运量以及起尘高度、采取的防护措施、空气湿度、风速等。</w:t>
            </w:r>
            <w:r>
              <w:rPr>
                <w:rFonts w:hint="eastAsia"/>
                <w:color w:val="auto"/>
              </w:rPr>
              <w:t>由于施工现场运输车辆及设备数量不大，废气产生量较小，空气对流较好且运行车辆、机械多为移动污染源，车辆与机械尾气会及时被吸收与削减，影响较小。</w:t>
            </w:r>
          </w:p>
          <w:p>
            <w:pPr>
              <w:adjustRightInd w:val="0"/>
              <w:snapToGrid w:val="0"/>
              <w:spacing w:line="360" w:lineRule="auto"/>
              <w:ind w:firstLine="480" w:firstLineChars="200"/>
              <w:rPr>
                <w:color w:val="auto"/>
              </w:rPr>
            </w:pPr>
            <w:r>
              <w:rPr>
                <w:rFonts w:hint="eastAsia"/>
                <w:color w:val="auto"/>
              </w:rPr>
              <w:t>综上，在文明施工，采取相应环保措施的前提下，施工废气对周边环境影响较小。</w:t>
            </w:r>
          </w:p>
          <w:p>
            <w:pPr>
              <w:pStyle w:val="5"/>
              <w:bidi w:val="0"/>
              <w:rPr>
                <w:rFonts w:hint="eastAsia" w:eastAsia="宋体"/>
                <w:color w:val="auto"/>
                <w:lang w:eastAsia="zh-CN"/>
              </w:rPr>
            </w:pPr>
            <w:r>
              <w:rPr>
                <w:rFonts w:hint="eastAsia"/>
                <w:color w:val="auto"/>
                <w:lang w:val="en-US" w:eastAsia="zh-CN"/>
              </w:rPr>
              <w:t>3、</w:t>
            </w:r>
            <w:r>
              <w:rPr>
                <w:color w:val="auto"/>
              </w:rPr>
              <w:t>施工期水</w:t>
            </w:r>
            <w:r>
              <w:rPr>
                <w:rFonts w:hint="eastAsia"/>
                <w:color w:val="auto"/>
                <w:lang w:eastAsia="zh-CN"/>
              </w:rPr>
              <w:t>环境影响分析</w:t>
            </w:r>
          </w:p>
          <w:p>
            <w:pPr>
              <w:adjustRightInd w:val="0"/>
              <w:snapToGrid w:val="0"/>
              <w:spacing w:line="360" w:lineRule="auto"/>
              <w:ind w:firstLine="480" w:firstLineChars="200"/>
              <w:rPr>
                <w:color w:val="auto"/>
              </w:rPr>
            </w:pPr>
            <w:r>
              <w:rPr>
                <w:color w:val="auto"/>
              </w:rPr>
              <w:t>施工期废水主要为工地建筑工人产生的生活污水和工程废水。</w:t>
            </w:r>
          </w:p>
          <w:p>
            <w:pPr>
              <w:adjustRightInd w:val="0"/>
              <w:snapToGrid w:val="0"/>
              <w:spacing w:line="360" w:lineRule="auto"/>
              <w:ind w:firstLine="480" w:firstLineChars="200"/>
              <w:rPr>
                <w:color w:val="auto"/>
              </w:rPr>
            </w:pPr>
            <w:r>
              <w:rPr>
                <w:rFonts w:hint="eastAsia"/>
                <w:color w:val="auto"/>
              </w:rPr>
              <w:t>（1）</w:t>
            </w:r>
            <w:r>
              <w:rPr>
                <w:color w:val="auto"/>
              </w:rPr>
              <w:t>施工期生活污水</w:t>
            </w:r>
          </w:p>
          <w:p>
            <w:pPr>
              <w:adjustRightInd w:val="0"/>
              <w:snapToGrid w:val="0"/>
              <w:spacing w:line="360" w:lineRule="auto"/>
              <w:ind w:firstLine="480" w:firstLineChars="200"/>
              <w:rPr>
                <w:rFonts w:hint="eastAsia"/>
                <w:color w:val="auto"/>
                <w:lang w:eastAsia="zh-CN"/>
              </w:rPr>
            </w:pPr>
            <w:r>
              <w:rPr>
                <w:color w:val="auto"/>
              </w:rPr>
              <w:t>施工期间进场施工人数</w:t>
            </w:r>
            <w:r>
              <w:rPr>
                <w:rFonts w:hint="eastAsia"/>
                <w:color w:val="auto"/>
                <w:lang w:val="en-US" w:eastAsia="zh-CN"/>
              </w:rPr>
              <w:t>约30</w:t>
            </w:r>
            <w:r>
              <w:rPr>
                <w:color w:val="auto"/>
              </w:rPr>
              <w:t>人计。工地生活用水按</w:t>
            </w:r>
            <w:r>
              <w:rPr>
                <w:rFonts w:hint="eastAsia"/>
                <w:color w:val="auto"/>
                <w:lang w:val="en-US" w:eastAsia="zh-CN"/>
              </w:rPr>
              <w:t>25L</w:t>
            </w:r>
            <w:r>
              <w:rPr>
                <w:color w:val="auto"/>
              </w:rPr>
              <w:t>/人·d计，用水量为</w:t>
            </w:r>
            <w:r>
              <w:rPr>
                <w:rFonts w:hint="eastAsia"/>
                <w:color w:val="auto"/>
                <w:lang w:val="en-US" w:eastAsia="zh-CN"/>
              </w:rPr>
              <w:t>0.75</w:t>
            </w:r>
            <w:r>
              <w:rPr>
                <w:color w:val="auto"/>
              </w:rPr>
              <w:t>m</w:t>
            </w:r>
            <w:r>
              <w:rPr>
                <w:color w:val="auto"/>
                <w:vertAlign w:val="superscript"/>
              </w:rPr>
              <w:t>3</w:t>
            </w:r>
            <w:r>
              <w:rPr>
                <w:color w:val="auto"/>
              </w:rPr>
              <w:t>/d，施工期</w:t>
            </w:r>
            <w:r>
              <w:rPr>
                <w:rFonts w:hint="eastAsia"/>
                <w:color w:val="auto"/>
                <w:lang w:eastAsia="zh-CN"/>
              </w:rPr>
              <w:t>共</w:t>
            </w:r>
            <w:r>
              <w:rPr>
                <w:rFonts w:hint="eastAsia"/>
                <w:color w:val="auto"/>
                <w:lang w:val="en-US" w:eastAsia="zh-CN"/>
              </w:rPr>
              <w:t>60d</w:t>
            </w:r>
            <w:r>
              <w:rPr>
                <w:color w:val="auto"/>
              </w:rPr>
              <w:t>，</w:t>
            </w:r>
            <w:r>
              <w:rPr>
                <w:rFonts w:hint="eastAsia"/>
                <w:color w:val="auto"/>
                <w:lang w:eastAsia="zh-CN"/>
              </w:rPr>
              <w:t>总用水</w:t>
            </w:r>
            <w:r>
              <w:rPr>
                <w:rFonts w:hint="eastAsia"/>
                <w:color w:val="auto"/>
                <w:lang w:val="en-US" w:eastAsia="zh-CN"/>
              </w:rPr>
              <w:t>45</w:t>
            </w:r>
            <w:r>
              <w:rPr>
                <w:color w:val="auto"/>
              </w:rPr>
              <w:t>m</w:t>
            </w:r>
            <w:r>
              <w:rPr>
                <w:color w:val="auto"/>
                <w:vertAlign w:val="superscript"/>
              </w:rPr>
              <w:t>3</w:t>
            </w:r>
            <w:r>
              <w:rPr>
                <w:rFonts w:hint="eastAsia"/>
                <w:color w:val="auto"/>
                <w:lang w:val="en-US" w:eastAsia="zh-CN"/>
              </w:rPr>
              <w:t>，</w:t>
            </w:r>
            <w:r>
              <w:rPr>
                <w:color w:val="auto"/>
              </w:rPr>
              <w:t>排放系数以0.80计，排放量约为</w:t>
            </w:r>
            <w:r>
              <w:rPr>
                <w:rFonts w:hint="eastAsia"/>
                <w:color w:val="auto"/>
                <w:lang w:val="en-US" w:eastAsia="zh-CN"/>
              </w:rPr>
              <w:t>0.6</w:t>
            </w:r>
            <w:r>
              <w:rPr>
                <w:color w:val="auto"/>
              </w:rPr>
              <w:t>m</w:t>
            </w:r>
            <w:r>
              <w:rPr>
                <w:color w:val="auto"/>
                <w:vertAlign w:val="superscript"/>
              </w:rPr>
              <w:t>3</w:t>
            </w:r>
            <w:r>
              <w:rPr>
                <w:color w:val="auto"/>
              </w:rPr>
              <w:t>/d</w:t>
            </w:r>
            <w:r>
              <w:rPr>
                <w:rFonts w:hint="eastAsia"/>
                <w:color w:val="auto"/>
                <w:lang w:eastAsia="zh-CN"/>
              </w:rPr>
              <w:t>，总排水量</w:t>
            </w:r>
            <w:r>
              <w:rPr>
                <w:rFonts w:hint="eastAsia"/>
                <w:color w:val="auto"/>
                <w:lang w:val="en-US" w:eastAsia="zh-CN"/>
              </w:rPr>
              <w:t>36</w:t>
            </w:r>
            <w:r>
              <w:rPr>
                <w:color w:val="auto"/>
              </w:rPr>
              <w:t>m</w:t>
            </w:r>
            <w:r>
              <w:rPr>
                <w:color w:val="auto"/>
                <w:vertAlign w:val="superscript"/>
              </w:rPr>
              <w:t>3</w:t>
            </w:r>
            <w:r>
              <w:rPr>
                <w:color w:val="auto"/>
              </w:rPr>
              <w:t>。</w:t>
            </w:r>
            <w:r>
              <w:rPr>
                <w:rFonts w:hint="eastAsia"/>
                <w:color w:val="auto"/>
                <w:lang w:eastAsia="zh-CN"/>
              </w:rPr>
              <w:t>生活污水量少，</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eastAsia="zh-CN"/>
              </w:rPr>
              <w:t>。</w:t>
            </w:r>
          </w:p>
          <w:p>
            <w:pPr>
              <w:adjustRightInd w:val="0"/>
              <w:snapToGrid w:val="0"/>
              <w:spacing w:line="360" w:lineRule="auto"/>
              <w:ind w:firstLine="480" w:firstLineChars="200"/>
              <w:rPr>
                <w:color w:val="auto"/>
              </w:rPr>
            </w:pPr>
            <w:r>
              <w:rPr>
                <w:rFonts w:hint="eastAsia"/>
                <w:color w:val="auto"/>
              </w:rPr>
              <w:t>（2）</w:t>
            </w:r>
            <w:r>
              <w:rPr>
                <w:color w:val="auto"/>
              </w:rPr>
              <w:t>工程废水</w:t>
            </w:r>
          </w:p>
          <w:p>
            <w:pPr>
              <w:adjustRightInd w:val="0"/>
              <w:snapToGrid w:val="0"/>
              <w:spacing w:line="360" w:lineRule="auto"/>
              <w:ind w:firstLine="480" w:firstLineChars="200"/>
              <w:rPr>
                <w:rFonts w:hint="eastAsia"/>
                <w:color w:val="auto"/>
                <w:lang w:eastAsia="zh-CN"/>
              </w:rPr>
            </w:pPr>
            <w:r>
              <w:rPr>
                <w:color w:val="auto"/>
              </w:rPr>
              <w:t>工程废水包括进出施工场地的车辆清洗废水及工程废水，主要污染物是SS，水量较少</w:t>
            </w:r>
            <w:r>
              <w:rPr>
                <w:rFonts w:hint="eastAsia"/>
                <w:color w:val="auto"/>
                <w:lang w:eastAsia="zh-CN"/>
              </w:rPr>
              <w:t>，建设临时沉淀池蒸发池，蒸发不外排。</w:t>
            </w:r>
          </w:p>
          <w:p>
            <w:pPr>
              <w:spacing w:line="360" w:lineRule="auto"/>
              <w:ind w:firstLine="482"/>
              <w:rPr>
                <w:rFonts w:ascii="宋体" w:hAnsi="宋体" w:eastAsia="宋体" w:cs="宋体"/>
                <w:color w:val="auto"/>
                <w:sz w:val="24"/>
                <w:szCs w:val="24"/>
              </w:rPr>
            </w:pPr>
            <w:r>
              <w:rPr>
                <w:rFonts w:ascii="宋体" w:hAnsi="宋体" w:eastAsia="宋体" w:cs="宋体"/>
                <w:color w:val="auto"/>
                <w:sz w:val="24"/>
                <w:szCs w:val="24"/>
              </w:rPr>
              <w:t>施工期废水采取以上措施后对周边地表水环境影响较小。</w:t>
            </w:r>
          </w:p>
          <w:p>
            <w:pPr>
              <w:pStyle w:val="5"/>
              <w:bidi w:val="0"/>
              <w:rPr>
                <w:rFonts w:hint="eastAsia" w:eastAsia="宋体"/>
                <w:color w:val="auto"/>
                <w:lang w:eastAsia="zh-CN"/>
              </w:rPr>
            </w:pPr>
            <w:r>
              <w:rPr>
                <w:rFonts w:hint="eastAsia"/>
                <w:color w:val="auto"/>
                <w:lang w:val="en-US" w:eastAsia="zh-CN"/>
              </w:rPr>
              <w:t>4、</w:t>
            </w:r>
            <w:r>
              <w:rPr>
                <w:color w:val="auto"/>
              </w:rPr>
              <w:t>施工噪声</w:t>
            </w:r>
            <w:r>
              <w:rPr>
                <w:rFonts w:hint="eastAsia"/>
                <w:color w:val="auto"/>
                <w:lang w:eastAsia="zh-CN"/>
              </w:rPr>
              <w:t>影响分析</w:t>
            </w:r>
          </w:p>
          <w:p>
            <w:pPr>
              <w:adjustRightInd w:val="0"/>
              <w:snapToGrid w:val="0"/>
              <w:spacing w:line="360" w:lineRule="auto"/>
              <w:ind w:firstLine="480" w:firstLineChars="200"/>
              <w:rPr>
                <w:color w:val="auto"/>
              </w:rPr>
            </w:pPr>
            <w:r>
              <w:rPr>
                <w:color w:val="auto"/>
              </w:rPr>
              <w:t>施工期的噪声主要来源于包括施工现场的各类机械设备和物料运输的交通噪声。施工场地噪声主要是施工机械设备噪声，物料装卸碰撞噪声及施工人员的活动噪声，各施工阶段的主要噪声源及其声级见表</w:t>
            </w:r>
            <w:r>
              <w:rPr>
                <w:rFonts w:hint="eastAsia"/>
                <w:color w:val="auto"/>
                <w:lang w:val="en-US" w:eastAsia="zh-CN"/>
              </w:rPr>
              <w:t>22</w:t>
            </w:r>
            <w:r>
              <w:rPr>
                <w:color w:val="auto"/>
              </w:rPr>
              <w:t>。</w:t>
            </w:r>
          </w:p>
          <w:p>
            <w:pPr>
              <w:adjustRightInd w:val="0"/>
              <w:snapToGrid w:val="0"/>
              <w:spacing w:line="360" w:lineRule="auto"/>
              <w:ind w:firstLine="480" w:firstLineChars="200"/>
              <w:rPr>
                <w:rFonts w:hint="eastAsia"/>
                <w:color w:val="auto"/>
              </w:rPr>
            </w:pPr>
            <w:r>
              <w:rPr>
                <w:color w:val="auto"/>
              </w:rPr>
              <w:t>声级最大的是</w:t>
            </w:r>
            <w:r>
              <w:rPr>
                <w:rFonts w:hint="eastAsia"/>
                <w:color w:val="auto"/>
              </w:rPr>
              <w:t>挖土机</w:t>
            </w:r>
            <w:r>
              <w:rPr>
                <w:rFonts w:hint="eastAsia"/>
                <w:color w:val="auto"/>
                <w:lang w:eastAsia="zh-CN"/>
              </w:rPr>
              <w:t>、</w:t>
            </w:r>
            <w:r>
              <w:rPr>
                <w:rFonts w:hint="eastAsia"/>
                <w:color w:val="auto"/>
              </w:rPr>
              <w:t>冲击机</w:t>
            </w:r>
            <w:r>
              <w:rPr>
                <w:rFonts w:hint="eastAsia"/>
                <w:color w:val="auto"/>
                <w:lang w:eastAsia="zh-CN"/>
              </w:rPr>
              <w:t>、</w:t>
            </w:r>
            <w:r>
              <w:rPr>
                <w:rFonts w:hint="eastAsia"/>
                <w:color w:val="auto"/>
              </w:rPr>
              <w:t>推土机</w:t>
            </w:r>
            <w:r>
              <w:rPr>
                <w:color w:val="auto"/>
              </w:rPr>
              <w:t>，可达1</w:t>
            </w:r>
            <w:r>
              <w:rPr>
                <w:rFonts w:hint="eastAsia"/>
                <w:color w:val="auto"/>
                <w:lang w:val="en-US" w:eastAsia="zh-CN"/>
              </w:rPr>
              <w:t>0</w:t>
            </w:r>
            <w:r>
              <w:rPr>
                <w:color w:val="auto"/>
              </w:rPr>
              <w:t>5dB(A)。物料运输的交通噪声主要是各施工阶段物料运输车辆引起的噪声，各阶段的车辆类型及声级见表</w:t>
            </w:r>
            <w:r>
              <w:rPr>
                <w:rFonts w:hint="eastAsia"/>
                <w:color w:val="auto"/>
                <w:lang w:val="en-US" w:eastAsia="zh-CN"/>
              </w:rPr>
              <w:t>4-2</w:t>
            </w:r>
            <w:r>
              <w:rPr>
                <w:color w:val="auto"/>
              </w:rPr>
              <w:t>。</w:t>
            </w:r>
          </w:p>
          <w:p>
            <w:pPr>
              <w:pStyle w:val="7"/>
              <w:bidi w:val="0"/>
              <w:rPr>
                <w:rFonts w:hint="eastAsia"/>
                <w:color w:val="auto"/>
              </w:rPr>
            </w:pPr>
            <w:r>
              <w:rPr>
                <w:rFonts w:hint="eastAsia"/>
                <w:color w:val="auto"/>
              </w:rPr>
              <w:t>表</w:t>
            </w:r>
            <w:r>
              <w:rPr>
                <w:rFonts w:hint="eastAsia"/>
                <w:color w:val="auto"/>
                <w:lang w:val="en-US" w:eastAsia="zh-CN"/>
              </w:rPr>
              <w:t>4-2</w:t>
            </w:r>
            <w:r>
              <w:rPr>
                <w:rFonts w:hint="eastAsia"/>
                <w:color w:val="auto"/>
              </w:rPr>
              <w:t xml:space="preserve">                     各施工阶段主要噪声源状况</w:t>
            </w:r>
          </w:p>
          <w:tbl>
            <w:tblPr>
              <w:tblStyle w:val="30"/>
              <w:tblW w:w="500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322"/>
              <w:gridCol w:w="1234"/>
              <w:gridCol w:w="1117"/>
              <w:gridCol w:w="1421"/>
              <w:gridCol w:w="1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9" w:type="pct"/>
                  <w:noWrap w:val="0"/>
                  <w:vAlign w:val="center"/>
                </w:tcPr>
                <w:p>
                  <w:pPr>
                    <w:pStyle w:val="2"/>
                    <w:bidi w:val="0"/>
                    <w:rPr>
                      <w:color w:val="auto"/>
                    </w:rPr>
                  </w:pPr>
                  <w:r>
                    <w:rPr>
                      <w:color w:val="auto"/>
                    </w:rPr>
                    <w:t>施工阶段</w:t>
                  </w:r>
                </w:p>
              </w:tc>
              <w:tc>
                <w:tcPr>
                  <w:tcW w:w="891" w:type="pct"/>
                  <w:noWrap w:val="0"/>
                  <w:vAlign w:val="center"/>
                </w:tcPr>
                <w:p>
                  <w:pPr>
                    <w:pStyle w:val="2"/>
                    <w:bidi w:val="0"/>
                    <w:rPr>
                      <w:color w:val="auto"/>
                    </w:rPr>
                  </w:pPr>
                  <w:r>
                    <w:rPr>
                      <w:color w:val="auto"/>
                    </w:rPr>
                    <w:t>声 源</w:t>
                  </w:r>
                </w:p>
              </w:tc>
              <w:tc>
                <w:tcPr>
                  <w:tcW w:w="832" w:type="pct"/>
                  <w:noWrap w:val="0"/>
                  <w:vAlign w:val="center"/>
                </w:tcPr>
                <w:p>
                  <w:pPr>
                    <w:pStyle w:val="2"/>
                    <w:bidi w:val="0"/>
                    <w:rPr>
                      <w:color w:val="auto"/>
                    </w:rPr>
                  </w:pPr>
                  <w:r>
                    <w:rPr>
                      <w:color w:val="auto"/>
                    </w:rPr>
                    <w:t>声级[dB（A）]</w:t>
                  </w:r>
                </w:p>
              </w:tc>
              <w:tc>
                <w:tcPr>
                  <w:tcW w:w="753" w:type="pct"/>
                  <w:noWrap w:val="0"/>
                  <w:vAlign w:val="center"/>
                </w:tcPr>
                <w:p>
                  <w:pPr>
                    <w:pStyle w:val="2"/>
                    <w:bidi w:val="0"/>
                    <w:rPr>
                      <w:color w:val="auto"/>
                    </w:rPr>
                  </w:pPr>
                  <w:r>
                    <w:rPr>
                      <w:color w:val="auto"/>
                    </w:rPr>
                    <w:t>施工阶段</w:t>
                  </w:r>
                </w:p>
              </w:tc>
              <w:tc>
                <w:tcPr>
                  <w:tcW w:w="958" w:type="pct"/>
                  <w:noWrap w:val="0"/>
                  <w:vAlign w:val="center"/>
                </w:tcPr>
                <w:p>
                  <w:pPr>
                    <w:pStyle w:val="2"/>
                    <w:bidi w:val="0"/>
                    <w:rPr>
                      <w:color w:val="auto"/>
                    </w:rPr>
                  </w:pPr>
                  <w:r>
                    <w:rPr>
                      <w:color w:val="auto"/>
                    </w:rPr>
                    <w:t>声 源</w:t>
                  </w:r>
                </w:p>
              </w:tc>
              <w:tc>
                <w:tcPr>
                  <w:tcW w:w="793" w:type="pct"/>
                  <w:noWrap w:val="0"/>
                  <w:vAlign w:val="center"/>
                </w:tcPr>
                <w:p>
                  <w:pPr>
                    <w:pStyle w:val="2"/>
                    <w:bidi w:val="0"/>
                    <w:rPr>
                      <w:color w:val="auto"/>
                    </w:rPr>
                  </w:pPr>
                  <w:r>
                    <w:rPr>
                      <w:color w:val="auto"/>
                    </w:rPr>
                    <w:t>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769" w:type="pct"/>
                  <w:noWrap w:val="0"/>
                  <w:vAlign w:val="center"/>
                </w:tcPr>
                <w:p>
                  <w:pPr>
                    <w:pStyle w:val="2"/>
                    <w:bidi w:val="0"/>
                    <w:rPr>
                      <w:color w:val="auto"/>
                    </w:rPr>
                  </w:pPr>
                  <w:r>
                    <w:rPr>
                      <w:color w:val="auto"/>
                    </w:rPr>
                    <w:t>土石方阶段</w:t>
                  </w:r>
                </w:p>
              </w:tc>
              <w:tc>
                <w:tcPr>
                  <w:tcW w:w="891" w:type="pct"/>
                  <w:noWrap w:val="0"/>
                  <w:vAlign w:val="center"/>
                </w:tcPr>
                <w:p>
                  <w:pPr>
                    <w:pStyle w:val="2"/>
                    <w:bidi w:val="0"/>
                    <w:rPr>
                      <w:color w:val="auto"/>
                    </w:rPr>
                  </w:pPr>
                  <w:r>
                    <w:rPr>
                      <w:color w:val="auto"/>
                    </w:rPr>
                    <w:t>挖土机</w:t>
                  </w:r>
                </w:p>
                <w:p>
                  <w:pPr>
                    <w:pStyle w:val="2"/>
                    <w:bidi w:val="0"/>
                    <w:rPr>
                      <w:color w:val="auto"/>
                    </w:rPr>
                  </w:pPr>
                  <w:r>
                    <w:rPr>
                      <w:color w:val="auto"/>
                    </w:rPr>
                    <w:t>冲击机</w:t>
                  </w:r>
                </w:p>
                <w:p>
                  <w:pPr>
                    <w:pStyle w:val="2"/>
                    <w:bidi w:val="0"/>
                    <w:rPr>
                      <w:rFonts w:hint="eastAsia"/>
                      <w:color w:val="auto"/>
                      <w:lang w:eastAsia="zh-CN"/>
                    </w:rPr>
                  </w:pPr>
                  <w:r>
                    <w:rPr>
                      <w:rFonts w:hint="eastAsia"/>
                      <w:color w:val="auto"/>
                      <w:lang w:eastAsia="zh-CN"/>
                    </w:rPr>
                    <w:t>推土机</w:t>
                  </w:r>
                </w:p>
              </w:tc>
              <w:tc>
                <w:tcPr>
                  <w:tcW w:w="832" w:type="pct"/>
                  <w:noWrap w:val="0"/>
                  <w:vAlign w:val="center"/>
                </w:tcPr>
                <w:p>
                  <w:pPr>
                    <w:pStyle w:val="2"/>
                    <w:bidi w:val="0"/>
                    <w:rPr>
                      <w:color w:val="auto"/>
                    </w:rPr>
                  </w:pPr>
                  <w:r>
                    <w:rPr>
                      <w:color w:val="auto"/>
                    </w:rPr>
                    <w:t>78</w:t>
                  </w:r>
                  <w:r>
                    <w:rPr>
                      <w:rFonts w:hint="eastAsia"/>
                      <w:color w:val="auto"/>
                      <w:lang w:eastAsia="zh-CN"/>
                    </w:rPr>
                    <w:t>~</w:t>
                  </w:r>
                  <w:r>
                    <w:rPr>
                      <w:color w:val="auto"/>
                    </w:rPr>
                    <w:t>96</w:t>
                  </w:r>
                </w:p>
                <w:p>
                  <w:pPr>
                    <w:pStyle w:val="2"/>
                    <w:bidi w:val="0"/>
                    <w:rPr>
                      <w:color w:val="auto"/>
                    </w:rPr>
                  </w:pPr>
                  <w:r>
                    <w:rPr>
                      <w:color w:val="auto"/>
                    </w:rPr>
                    <w:t>95</w:t>
                  </w:r>
                </w:p>
                <w:p>
                  <w:pPr>
                    <w:pStyle w:val="2"/>
                    <w:bidi w:val="0"/>
                    <w:rPr>
                      <w:rFonts w:hint="eastAsia"/>
                      <w:color w:val="auto"/>
                    </w:rPr>
                  </w:pPr>
                  <w:r>
                    <w:rPr>
                      <w:color w:val="auto"/>
                    </w:rPr>
                    <w:t>75</w:t>
                  </w:r>
                  <w:r>
                    <w:rPr>
                      <w:rFonts w:hint="eastAsia"/>
                      <w:color w:val="auto"/>
                      <w:lang w:eastAsia="zh-CN"/>
                    </w:rPr>
                    <w:t>~</w:t>
                  </w:r>
                  <w:r>
                    <w:rPr>
                      <w:color w:val="auto"/>
                    </w:rPr>
                    <w:t>85</w:t>
                  </w:r>
                </w:p>
              </w:tc>
              <w:tc>
                <w:tcPr>
                  <w:tcW w:w="753" w:type="pct"/>
                  <w:vMerge w:val="restart"/>
                  <w:noWrap w:val="0"/>
                  <w:vAlign w:val="center"/>
                </w:tcPr>
                <w:p>
                  <w:pPr>
                    <w:pStyle w:val="2"/>
                    <w:bidi w:val="0"/>
                    <w:rPr>
                      <w:color w:val="auto"/>
                    </w:rPr>
                  </w:pPr>
                  <w:r>
                    <w:rPr>
                      <w:rFonts w:hint="eastAsia"/>
                      <w:color w:val="auto"/>
                      <w:lang w:val="en-US" w:eastAsia="zh-CN"/>
                    </w:rPr>
                    <w:t>设备</w:t>
                  </w:r>
                  <w:r>
                    <w:rPr>
                      <w:color w:val="auto"/>
                    </w:rPr>
                    <w:t>安装阶段</w:t>
                  </w:r>
                </w:p>
              </w:tc>
              <w:tc>
                <w:tcPr>
                  <w:tcW w:w="958" w:type="pct"/>
                  <w:vMerge w:val="restart"/>
                  <w:noWrap w:val="0"/>
                  <w:vAlign w:val="center"/>
                </w:tcPr>
                <w:p>
                  <w:pPr>
                    <w:pStyle w:val="2"/>
                    <w:bidi w:val="0"/>
                    <w:rPr>
                      <w:color w:val="auto"/>
                    </w:rPr>
                  </w:pPr>
                  <w:r>
                    <w:rPr>
                      <w:color w:val="auto"/>
                    </w:rPr>
                    <w:t>电钻</w:t>
                  </w:r>
                </w:p>
                <w:p>
                  <w:pPr>
                    <w:pStyle w:val="2"/>
                    <w:bidi w:val="0"/>
                    <w:rPr>
                      <w:color w:val="auto"/>
                    </w:rPr>
                  </w:pPr>
                  <w:r>
                    <w:rPr>
                      <w:color w:val="auto"/>
                    </w:rPr>
                    <w:t>电锤</w:t>
                  </w:r>
                </w:p>
              </w:tc>
              <w:tc>
                <w:tcPr>
                  <w:tcW w:w="793" w:type="pct"/>
                  <w:vMerge w:val="restart"/>
                  <w:noWrap w:val="0"/>
                  <w:vAlign w:val="center"/>
                </w:tcPr>
                <w:p>
                  <w:pPr>
                    <w:pStyle w:val="2"/>
                    <w:bidi w:val="0"/>
                    <w:rPr>
                      <w:color w:val="auto"/>
                    </w:rPr>
                  </w:pPr>
                  <w:r>
                    <w:rPr>
                      <w:color w:val="auto"/>
                    </w:rPr>
                    <w:t>100</w:t>
                  </w:r>
                  <w:r>
                    <w:rPr>
                      <w:rFonts w:hint="eastAsia"/>
                      <w:color w:val="auto"/>
                      <w:lang w:eastAsia="zh-CN"/>
                    </w:rPr>
                    <w:t>~</w:t>
                  </w:r>
                  <w:r>
                    <w:rPr>
                      <w:color w:val="auto"/>
                    </w:rPr>
                    <w:t>115</w:t>
                  </w:r>
                </w:p>
                <w:p>
                  <w:pPr>
                    <w:pStyle w:val="2"/>
                    <w:bidi w:val="0"/>
                    <w:rPr>
                      <w:color w:val="auto"/>
                    </w:rPr>
                  </w:pPr>
                  <w:r>
                    <w:rPr>
                      <w:color w:val="auto"/>
                    </w:rPr>
                    <w:t>100</w:t>
                  </w:r>
                  <w:r>
                    <w:rPr>
                      <w:rFonts w:hint="eastAsia"/>
                      <w:color w:val="auto"/>
                      <w:lang w:eastAsia="zh-CN"/>
                    </w:rPr>
                    <w:t>~</w:t>
                  </w:r>
                  <w:r>
                    <w:rPr>
                      <w:color w:val="auto"/>
                    </w:rPr>
                    <w:t>105</w:t>
                  </w:r>
                </w:p>
                <w:p>
                  <w:pPr>
                    <w:pStyle w:val="2"/>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769" w:type="pct"/>
                  <w:noWrap w:val="0"/>
                  <w:vAlign w:val="center"/>
                </w:tcPr>
                <w:p>
                  <w:pPr>
                    <w:pStyle w:val="2"/>
                    <w:bidi w:val="0"/>
                    <w:rPr>
                      <w:color w:val="auto"/>
                    </w:rPr>
                  </w:pPr>
                  <w:r>
                    <w:rPr>
                      <w:color w:val="auto"/>
                    </w:rPr>
                    <w:t>底板与结构阶段</w:t>
                  </w:r>
                </w:p>
              </w:tc>
              <w:tc>
                <w:tcPr>
                  <w:tcW w:w="891" w:type="pct"/>
                  <w:noWrap w:val="0"/>
                  <w:vAlign w:val="center"/>
                </w:tcPr>
                <w:p>
                  <w:pPr>
                    <w:pStyle w:val="2"/>
                    <w:bidi w:val="0"/>
                    <w:rPr>
                      <w:color w:val="auto"/>
                    </w:rPr>
                  </w:pPr>
                  <w:r>
                    <w:rPr>
                      <w:color w:val="auto"/>
                    </w:rPr>
                    <w:t>电锯</w:t>
                  </w:r>
                </w:p>
                <w:p>
                  <w:pPr>
                    <w:pStyle w:val="2"/>
                    <w:bidi w:val="0"/>
                    <w:rPr>
                      <w:color w:val="auto"/>
                    </w:rPr>
                  </w:pPr>
                  <w:r>
                    <w:rPr>
                      <w:color w:val="auto"/>
                    </w:rPr>
                    <w:t>电焊机</w:t>
                  </w:r>
                </w:p>
                <w:p>
                  <w:pPr>
                    <w:pStyle w:val="2"/>
                    <w:bidi w:val="0"/>
                    <w:rPr>
                      <w:color w:val="auto"/>
                    </w:rPr>
                  </w:pPr>
                  <w:r>
                    <w:rPr>
                      <w:color w:val="auto"/>
                    </w:rPr>
                    <w:t>空压机</w:t>
                  </w:r>
                </w:p>
              </w:tc>
              <w:tc>
                <w:tcPr>
                  <w:tcW w:w="832" w:type="pct"/>
                  <w:noWrap w:val="0"/>
                  <w:vAlign w:val="center"/>
                </w:tcPr>
                <w:p>
                  <w:pPr>
                    <w:pStyle w:val="2"/>
                    <w:bidi w:val="0"/>
                    <w:rPr>
                      <w:color w:val="auto"/>
                    </w:rPr>
                  </w:pPr>
                  <w:r>
                    <w:rPr>
                      <w:color w:val="auto"/>
                    </w:rPr>
                    <w:t>100</w:t>
                  </w:r>
                  <w:r>
                    <w:rPr>
                      <w:rFonts w:hint="eastAsia"/>
                      <w:color w:val="auto"/>
                      <w:lang w:eastAsia="zh-CN"/>
                    </w:rPr>
                    <w:t>~</w:t>
                  </w:r>
                  <w:r>
                    <w:rPr>
                      <w:color w:val="auto"/>
                    </w:rPr>
                    <w:t>105</w:t>
                  </w:r>
                </w:p>
                <w:p>
                  <w:pPr>
                    <w:pStyle w:val="2"/>
                    <w:bidi w:val="0"/>
                    <w:rPr>
                      <w:color w:val="auto"/>
                    </w:rPr>
                  </w:pPr>
                  <w:r>
                    <w:rPr>
                      <w:color w:val="auto"/>
                    </w:rPr>
                    <w:t>90</w:t>
                  </w:r>
                  <w:r>
                    <w:rPr>
                      <w:rFonts w:hint="eastAsia"/>
                      <w:color w:val="auto"/>
                      <w:lang w:eastAsia="zh-CN"/>
                    </w:rPr>
                    <w:t>~</w:t>
                  </w:r>
                  <w:r>
                    <w:rPr>
                      <w:color w:val="auto"/>
                    </w:rPr>
                    <w:t>95</w:t>
                  </w:r>
                </w:p>
                <w:p>
                  <w:pPr>
                    <w:pStyle w:val="2"/>
                    <w:bidi w:val="0"/>
                    <w:rPr>
                      <w:color w:val="auto"/>
                    </w:rPr>
                  </w:pPr>
                  <w:r>
                    <w:rPr>
                      <w:color w:val="auto"/>
                    </w:rPr>
                    <w:t>75</w:t>
                  </w:r>
                  <w:r>
                    <w:rPr>
                      <w:rFonts w:hint="eastAsia"/>
                      <w:color w:val="auto"/>
                      <w:lang w:eastAsia="zh-CN"/>
                    </w:rPr>
                    <w:t>~</w:t>
                  </w:r>
                  <w:r>
                    <w:rPr>
                      <w:color w:val="auto"/>
                    </w:rPr>
                    <w:t>85</w:t>
                  </w:r>
                </w:p>
              </w:tc>
              <w:tc>
                <w:tcPr>
                  <w:tcW w:w="753" w:type="pct"/>
                  <w:vMerge w:val="continue"/>
                  <w:noWrap w:val="0"/>
                  <w:vAlign w:val="center"/>
                </w:tcPr>
                <w:p>
                  <w:pPr>
                    <w:pStyle w:val="2"/>
                    <w:bidi w:val="0"/>
                    <w:rPr>
                      <w:color w:val="auto"/>
                    </w:rPr>
                  </w:pPr>
                </w:p>
              </w:tc>
              <w:tc>
                <w:tcPr>
                  <w:tcW w:w="958" w:type="pct"/>
                  <w:vMerge w:val="continue"/>
                  <w:noWrap w:val="0"/>
                  <w:vAlign w:val="center"/>
                </w:tcPr>
                <w:p>
                  <w:pPr>
                    <w:pStyle w:val="2"/>
                    <w:bidi w:val="0"/>
                    <w:rPr>
                      <w:color w:val="auto"/>
                    </w:rPr>
                  </w:pPr>
                </w:p>
              </w:tc>
              <w:tc>
                <w:tcPr>
                  <w:tcW w:w="793" w:type="pct"/>
                  <w:vMerge w:val="continue"/>
                  <w:noWrap w:val="0"/>
                  <w:vAlign w:val="center"/>
                </w:tcPr>
                <w:p>
                  <w:pPr>
                    <w:pStyle w:val="2"/>
                    <w:bidi w:val="0"/>
                    <w:rPr>
                      <w:color w:val="auto"/>
                    </w:rPr>
                  </w:pPr>
                </w:p>
              </w:tc>
            </w:tr>
          </w:tbl>
          <w:p>
            <w:pPr>
              <w:pStyle w:val="7"/>
              <w:bidi w:val="0"/>
              <w:rPr>
                <w:rFonts w:hint="eastAsia"/>
                <w:color w:val="auto"/>
              </w:rPr>
            </w:pPr>
            <w:r>
              <w:rPr>
                <w:rFonts w:hint="eastAsia"/>
                <w:color w:val="auto"/>
              </w:rPr>
              <w:t>表</w:t>
            </w:r>
            <w:r>
              <w:rPr>
                <w:rFonts w:hint="eastAsia"/>
                <w:color w:val="auto"/>
                <w:lang w:val="en-US" w:eastAsia="zh-CN"/>
              </w:rPr>
              <w:t>4-3</w:t>
            </w:r>
            <w:r>
              <w:rPr>
                <w:rFonts w:hint="eastAsia"/>
                <w:color w:val="auto"/>
              </w:rPr>
              <w:t xml:space="preserve">                   各施工阶段交通运输车辆状况   </w:t>
            </w:r>
          </w:p>
          <w:tbl>
            <w:tblPr>
              <w:tblStyle w:val="30"/>
              <w:tblW w:w="7358"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151"/>
              <w:gridCol w:w="1542"/>
              <w:gridCol w:w="19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718" w:type="dxa"/>
                  <w:noWrap w:val="0"/>
                  <w:vAlign w:val="center"/>
                </w:tcPr>
                <w:p>
                  <w:pPr>
                    <w:pStyle w:val="2"/>
                    <w:bidi w:val="0"/>
                    <w:rPr>
                      <w:color w:val="auto"/>
                    </w:rPr>
                  </w:pPr>
                  <w:r>
                    <w:rPr>
                      <w:color w:val="auto"/>
                    </w:rPr>
                    <w:t>施工阶段</w:t>
                  </w:r>
                </w:p>
              </w:tc>
              <w:tc>
                <w:tcPr>
                  <w:tcW w:w="2151" w:type="dxa"/>
                  <w:noWrap w:val="0"/>
                  <w:vAlign w:val="center"/>
                </w:tcPr>
                <w:p>
                  <w:pPr>
                    <w:pStyle w:val="2"/>
                    <w:bidi w:val="0"/>
                    <w:rPr>
                      <w:color w:val="auto"/>
                    </w:rPr>
                  </w:pPr>
                  <w:r>
                    <w:rPr>
                      <w:color w:val="auto"/>
                    </w:rPr>
                    <w:t>运输内容</w:t>
                  </w:r>
                </w:p>
              </w:tc>
              <w:tc>
                <w:tcPr>
                  <w:tcW w:w="1542" w:type="dxa"/>
                  <w:noWrap w:val="0"/>
                  <w:vAlign w:val="center"/>
                </w:tcPr>
                <w:p>
                  <w:pPr>
                    <w:pStyle w:val="2"/>
                    <w:bidi w:val="0"/>
                    <w:rPr>
                      <w:color w:val="auto"/>
                    </w:rPr>
                  </w:pPr>
                  <w:r>
                    <w:rPr>
                      <w:color w:val="auto"/>
                    </w:rPr>
                    <w:t>车辆类型</w:t>
                  </w:r>
                </w:p>
              </w:tc>
              <w:tc>
                <w:tcPr>
                  <w:tcW w:w="1947" w:type="dxa"/>
                  <w:noWrap w:val="0"/>
                  <w:vAlign w:val="center"/>
                </w:tcPr>
                <w:p>
                  <w:pPr>
                    <w:pStyle w:val="2"/>
                    <w:bidi w:val="0"/>
                    <w:rPr>
                      <w:color w:val="auto"/>
                    </w:rPr>
                  </w:pPr>
                  <w:r>
                    <w:rPr>
                      <w:color w:val="auto"/>
                    </w:rPr>
                    <w:t xml:space="preserve">声级[dB（A）]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718" w:type="dxa"/>
                  <w:noWrap w:val="0"/>
                  <w:vAlign w:val="center"/>
                </w:tcPr>
                <w:p>
                  <w:pPr>
                    <w:pStyle w:val="2"/>
                    <w:bidi w:val="0"/>
                    <w:rPr>
                      <w:color w:val="auto"/>
                    </w:rPr>
                  </w:pPr>
                  <w:r>
                    <w:rPr>
                      <w:color w:val="auto"/>
                    </w:rPr>
                    <w:t>土方阶段</w:t>
                  </w:r>
                </w:p>
              </w:tc>
              <w:tc>
                <w:tcPr>
                  <w:tcW w:w="2151" w:type="dxa"/>
                  <w:noWrap w:val="0"/>
                  <w:vAlign w:val="center"/>
                </w:tcPr>
                <w:p>
                  <w:pPr>
                    <w:pStyle w:val="2"/>
                    <w:bidi w:val="0"/>
                    <w:rPr>
                      <w:color w:val="auto"/>
                    </w:rPr>
                  </w:pPr>
                  <w:r>
                    <w:rPr>
                      <w:color w:val="auto"/>
                    </w:rPr>
                    <w:t>土方外运</w:t>
                  </w:r>
                </w:p>
              </w:tc>
              <w:tc>
                <w:tcPr>
                  <w:tcW w:w="1542" w:type="dxa"/>
                  <w:noWrap w:val="0"/>
                  <w:vAlign w:val="center"/>
                </w:tcPr>
                <w:p>
                  <w:pPr>
                    <w:pStyle w:val="2"/>
                    <w:bidi w:val="0"/>
                    <w:rPr>
                      <w:color w:val="auto"/>
                    </w:rPr>
                  </w:pPr>
                  <w:r>
                    <w:rPr>
                      <w:color w:val="auto"/>
                    </w:rPr>
                    <w:t>大型载重车</w:t>
                  </w:r>
                </w:p>
                <w:p>
                  <w:pPr>
                    <w:pStyle w:val="2"/>
                    <w:bidi w:val="0"/>
                    <w:rPr>
                      <w:color w:val="auto"/>
                    </w:rPr>
                  </w:pPr>
                  <w:r>
                    <w:rPr>
                      <w:color w:val="auto"/>
                    </w:rPr>
                    <w:t>载重车</w:t>
                  </w:r>
                </w:p>
                <w:p>
                  <w:pPr>
                    <w:pStyle w:val="2"/>
                    <w:bidi w:val="0"/>
                    <w:rPr>
                      <w:color w:val="auto"/>
                    </w:rPr>
                  </w:pPr>
                  <w:r>
                    <w:rPr>
                      <w:color w:val="auto"/>
                    </w:rPr>
                    <w:t>轻型载重卡车</w:t>
                  </w:r>
                </w:p>
              </w:tc>
              <w:tc>
                <w:tcPr>
                  <w:tcW w:w="1947" w:type="dxa"/>
                  <w:noWrap w:val="0"/>
                  <w:vAlign w:val="center"/>
                </w:tcPr>
                <w:p>
                  <w:pPr>
                    <w:pStyle w:val="2"/>
                    <w:bidi w:val="0"/>
                    <w:rPr>
                      <w:color w:val="auto"/>
                    </w:rPr>
                  </w:pPr>
                  <w:r>
                    <w:rPr>
                      <w:color w:val="auto"/>
                    </w:rPr>
                    <w:t>90</w:t>
                  </w:r>
                </w:p>
                <w:p>
                  <w:pPr>
                    <w:pStyle w:val="2"/>
                    <w:bidi w:val="0"/>
                    <w:rPr>
                      <w:color w:val="auto"/>
                    </w:rPr>
                  </w:pPr>
                  <w:r>
                    <w:rPr>
                      <w:color w:val="auto"/>
                    </w:rPr>
                    <w:t>80</w:t>
                  </w:r>
                  <w:r>
                    <w:rPr>
                      <w:rFonts w:hint="eastAsia"/>
                      <w:color w:val="auto"/>
                      <w:lang w:eastAsia="zh-CN"/>
                    </w:rPr>
                    <w:t>~</w:t>
                  </w:r>
                  <w:r>
                    <w:rPr>
                      <w:color w:val="auto"/>
                    </w:rPr>
                    <w:t>85</w:t>
                  </w:r>
                </w:p>
                <w:p>
                  <w:pPr>
                    <w:pStyle w:val="2"/>
                    <w:bidi w:val="0"/>
                    <w:rPr>
                      <w:color w:val="auto"/>
                    </w:rPr>
                  </w:pPr>
                  <w:r>
                    <w:rPr>
                      <w:color w:val="auto"/>
                    </w:rPr>
                    <w:t>75</w:t>
                  </w:r>
                </w:p>
              </w:tc>
            </w:tr>
          </w:tbl>
          <w:p>
            <w:pPr>
              <w:bidi w:val="0"/>
              <w:rPr>
                <w:rFonts w:hint="eastAsia"/>
                <w:color w:val="auto"/>
              </w:rPr>
            </w:pPr>
            <w:r>
              <w:rPr>
                <w:color w:val="auto"/>
              </w:rPr>
              <w:t>由于施工期较短且施工量较小，因此只要尽量采取低噪声设备，合理划定施 工机械作业范围，限制施工时间（夜间22</w:t>
            </w:r>
            <w:r>
              <w:rPr>
                <w:rFonts w:hint="eastAsia"/>
                <w:color w:val="auto"/>
                <w:lang w:eastAsia="zh-CN"/>
              </w:rPr>
              <w:t>：</w:t>
            </w:r>
            <w:r>
              <w:rPr>
                <w:color w:val="auto"/>
              </w:rPr>
              <w:t>00—6</w:t>
            </w:r>
            <w:r>
              <w:rPr>
                <w:rFonts w:hint="eastAsia"/>
                <w:color w:val="auto"/>
                <w:lang w:eastAsia="zh-CN"/>
              </w:rPr>
              <w:t>：</w:t>
            </w:r>
            <w:r>
              <w:rPr>
                <w:color w:val="auto"/>
              </w:rPr>
              <w:t>00 禁止施工），则施工噪声不会对周围声环境产生大的影响。</w:t>
            </w:r>
          </w:p>
          <w:p>
            <w:pPr>
              <w:pStyle w:val="5"/>
              <w:bidi w:val="0"/>
              <w:rPr>
                <w:color w:val="auto"/>
              </w:rPr>
            </w:pPr>
            <w:r>
              <w:rPr>
                <w:rFonts w:hint="eastAsia"/>
                <w:color w:val="auto"/>
                <w:lang w:val="en-US" w:eastAsia="zh-CN"/>
              </w:rPr>
              <w:t>5、</w:t>
            </w:r>
            <w:r>
              <w:rPr>
                <w:color w:val="auto"/>
              </w:rPr>
              <w:t>施工期固体废弃物</w:t>
            </w:r>
          </w:p>
          <w:p>
            <w:pPr>
              <w:adjustRightInd w:val="0"/>
              <w:snapToGrid w:val="0"/>
              <w:spacing w:line="360" w:lineRule="auto"/>
              <w:ind w:firstLine="480" w:firstLineChars="200"/>
              <w:rPr>
                <w:rFonts w:hint="eastAsia"/>
                <w:color w:val="auto"/>
                <w:lang w:eastAsia="zh-CN"/>
              </w:rPr>
            </w:pPr>
            <w:r>
              <w:rPr>
                <w:color w:val="auto"/>
              </w:rPr>
              <w:t>施工期固体废弃物来自工程施工过程中及路面挖掘产生的固体废物。另外，</w:t>
            </w:r>
            <w:r>
              <w:rPr>
                <w:rFonts w:hint="eastAsia"/>
                <w:color w:val="auto"/>
                <w:lang w:eastAsia="zh-CN"/>
              </w:rPr>
              <w:t>道路、</w:t>
            </w:r>
            <w:r>
              <w:rPr>
                <w:color w:val="auto"/>
              </w:rPr>
              <w:t>建筑施工中将产生一定量建筑材料、废渣</w:t>
            </w:r>
            <w:r>
              <w:rPr>
                <w:rFonts w:hint="eastAsia"/>
                <w:color w:val="auto"/>
                <w:lang w:eastAsia="zh-CN"/>
              </w:rPr>
              <w:t>、土方</w:t>
            </w:r>
            <w:r>
              <w:rPr>
                <w:color w:val="auto"/>
              </w:rPr>
              <w:t>等</w:t>
            </w:r>
            <w:r>
              <w:rPr>
                <w:rFonts w:hint="eastAsia"/>
                <w:color w:val="auto"/>
                <w:lang w:eastAsia="zh-CN"/>
              </w:rPr>
              <w:t>，集中收集至临时堆放场，并遮盖篷布，建筑垃圾定期清运至废石场，土方量就地回填。</w:t>
            </w:r>
          </w:p>
          <w:p>
            <w:pPr>
              <w:adjustRightInd w:val="0"/>
              <w:snapToGrid w:val="0"/>
              <w:spacing w:line="360" w:lineRule="auto"/>
              <w:ind w:firstLine="480" w:firstLineChars="200"/>
              <w:rPr>
                <w:color w:val="auto"/>
              </w:rPr>
            </w:pPr>
            <w:r>
              <w:rPr>
                <w:color w:val="auto"/>
              </w:rPr>
              <w:t>同时施工人员也将产生一定生活垃圾</w:t>
            </w:r>
            <w:r>
              <w:rPr>
                <w:rFonts w:hint="eastAsia"/>
                <w:color w:val="auto"/>
                <w:lang w:eastAsia="zh-CN"/>
              </w:rPr>
              <w:t>，施工人员</w:t>
            </w:r>
            <w:r>
              <w:rPr>
                <w:rFonts w:hint="eastAsia"/>
                <w:color w:val="auto"/>
                <w:lang w:val="en-US" w:eastAsia="zh-CN"/>
              </w:rPr>
              <w:t>30人，生活垃圾产生量约0.5kg/人·d，施工期60d，生活垃圾产生量为0.03t，</w:t>
            </w:r>
            <w:r>
              <w:rPr>
                <w:rFonts w:hint="eastAsia"/>
                <w:color w:val="auto"/>
                <w:lang w:eastAsia="zh-CN"/>
              </w:rPr>
              <w:t>生活垃圾集中收集至垃圾池，</w:t>
            </w:r>
            <w:r>
              <w:rPr>
                <w:rFonts w:hint="eastAsia"/>
                <w:color w:val="auto"/>
                <w:lang w:val="en-US" w:eastAsia="zh-CN"/>
              </w:rPr>
              <w:t>委托环卫部门处置</w:t>
            </w:r>
            <w:r>
              <w:rPr>
                <w:color w:val="auto"/>
              </w:rPr>
              <w:t>。</w:t>
            </w:r>
          </w:p>
          <w:p>
            <w:pPr>
              <w:bidi w:val="0"/>
              <w:rPr>
                <w:rFonts w:ascii="宋体" w:hAnsi="宋体" w:cs="宋体"/>
                <w:bCs/>
                <w:color w:val="auto"/>
              </w:rPr>
            </w:pPr>
            <w:r>
              <w:rPr>
                <w:rFonts w:hint="eastAsia"/>
                <w:color w:val="auto"/>
                <w:lang w:eastAsia="zh-CN"/>
              </w:rPr>
              <w:t>综上，</w:t>
            </w:r>
            <w:r>
              <w:rPr>
                <w:color w:val="auto"/>
              </w:rPr>
              <w:t>施工期固废均能得到合理处置或综合利用，对环境影响很小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Mar>
              <w:left w:w="28" w:type="dxa"/>
              <w:right w:w="28" w:type="dxa"/>
            </w:tcMar>
            <w:vAlign w:val="center"/>
          </w:tcPr>
          <w:p>
            <w:pPr>
              <w:pStyle w:val="25"/>
              <w:spacing w:before="0" w:beforeAutospacing="0" w:after="0" w:afterAutospacing="0"/>
              <w:ind w:firstLine="0" w:firstLineChars="0"/>
              <w:jc w:val="center"/>
              <w:rPr>
                <w:rFonts w:cs="宋体"/>
                <w:bCs/>
                <w:color w:val="auto"/>
                <w:kern w:val="2"/>
              </w:rPr>
            </w:pPr>
            <w:r>
              <w:rPr>
                <w:rFonts w:hint="eastAsia" w:cs="宋体"/>
                <w:bCs/>
                <w:color w:val="auto"/>
                <w:spacing w:val="10"/>
                <w:kern w:val="2"/>
              </w:rPr>
              <w:t>运营期生态环境影响分析</w:t>
            </w:r>
          </w:p>
        </w:tc>
        <w:tc>
          <w:tcPr>
            <w:tcW w:w="7626" w:type="dxa"/>
          </w:tcPr>
          <w:p>
            <w:pPr>
              <w:pStyle w:val="5"/>
              <w:bidi w:val="0"/>
              <w:rPr>
                <w:rFonts w:hint="eastAsia"/>
                <w:color w:val="auto"/>
              </w:rPr>
            </w:pPr>
            <w:r>
              <w:rPr>
                <w:rFonts w:hint="eastAsia"/>
                <w:color w:val="auto"/>
                <w:lang w:val="en-US" w:eastAsia="zh-CN"/>
              </w:rPr>
              <w:t>1</w:t>
            </w:r>
            <w:r>
              <w:rPr>
                <w:rFonts w:hint="eastAsia"/>
                <w:color w:val="auto"/>
              </w:rPr>
              <w:t>、</w:t>
            </w:r>
            <w:r>
              <w:rPr>
                <w:rFonts w:hint="eastAsia"/>
                <w:color w:val="auto"/>
                <w:lang w:eastAsia="zh-CN"/>
              </w:rPr>
              <w:t>运营期</w:t>
            </w:r>
            <w:r>
              <w:rPr>
                <w:color w:val="auto"/>
              </w:rPr>
              <w:t>生态影响</w:t>
            </w:r>
            <w:r>
              <w:rPr>
                <w:rFonts w:hint="eastAsia"/>
                <w:color w:val="auto"/>
              </w:rPr>
              <w:t>分析</w:t>
            </w:r>
          </w:p>
          <w:p>
            <w:pPr>
              <w:pStyle w:val="5"/>
              <w:bidi w:val="0"/>
              <w:rPr>
                <w:rFonts w:hint="eastAsia"/>
                <w:color w:val="auto"/>
                <w:lang w:eastAsia="zh-CN"/>
              </w:rPr>
            </w:pPr>
            <w:r>
              <w:rPr>
                <w:rFonts w:hint="eastAsia"/>
                <w:color w:val="auto"/>
                <w:lang w:val="en-US" w:eastAsia="zh-CN"/>
              </w:rPr>
              <w:t>1</w:t>
            </w:r>
            <w:r>
              <w:rPr>
                <w:rFonts w:hint="eastAsia"/>
                <w:color w:val="auto"/>
              </w:rPr>
              <w:t>.1</w:t>
            </w:r>
            <w:r>
              <w:rPr>
                <w:color w:val="auto"/>
              </w:rPr>
              <w:t>工程占地情况</w:t>
            </w:r>
          </w:p>
          <w:p>
            <w:pPr>
              <w:bidi w:val="0"/>
              <w:rPr>
                <w:rFonts w:hint="eastAsia"/>
                <w:color w:val="auto"/>
              </w:rPr>
            </w:pPr>
            <w:r>
              <w:rPr>
                <w:rFonts w:hint="eastAsia"/>
                <w:color w:val="auto"/>
                <w:lang w:eastAsia="zh-CN"/>
              </w:rPr>
              <w:t>总</w:t>
            </w:r>
            <w:r>
              <w:rPr>
                <w:rFonts w:hint="eastAsia"/>
                <w:color w:val="auto"/>
                <w:lang w:val="en-US" w:eastAsia="zh-CN"/>
              </w:rPr>
              <w:t>矿区划定范围138.41公顷，项目</w:t>
            </w:r>
            <w:r>
              <w:rPr>
                <w:rFonts w:hint="eastAsia"/>
                <w:color w:val="auto"/>
                <w:lang w:eastAsia="zh-CN"/>
              </w:rPr>
              <w:t>占地面积</w:t>
            </w:r>
            <w:r>
              <w:rPr>
                <w:color w:val="auto"/>
              </w:rPr>
              <w:t>24.67</w:t>
            </w:r>
            <w:r>
              <w:rPr>
                <w:rFonts w:hint="eastAsia"/>
                <w:color w:val="auto"/>
                <w:lang w:val="en-US" w:eastAsia="zh-CN"/>
              </w:rPr>
              <w:t>公顷。</w:t>
            </w:r>
            <w:r>
              <w:rPr>
                <w:rFonts w:hint="eastAsia"/>
                <w:color w:val="auto"/>
              </w:rPr>
              <w:t>根据现场调查，拟建矿山道路占用土地类型为</w:t>
            </w:r>
            <w:r>
              <w:rPr>
                <w:rFonts w:hint="eastAsia"/>
                <w:color w:val="auto"/>
                <w:lang w:val="en-US" w:eastAsia="zh-CN"/>
              </w:rPr>
              <w:t>草地</w:t>
            </w:r>
            <w:r>
              <w:rPr>
                <w:rFonts w:hint="eastAsia"/>
                <w:color w:val="auto"/>
              </w:rPr>
              <w:t>，对土地的损毁类型主要为压占损毁</w:t>
            </w:r>
            <w:r>
              <w:rPr>
                <w:rFonts w:hint="eastAsia"/>
                <w:color w:val="auto"/>
                <w:lang w:eastAsia="zh-CN"/>
              </w:rPr>
              <w:t>，详见表</w:t>
            </w:r>
            <w:r>
              <w:rPr>
                <w:rFonts w:hint="eastAsia"/>
                <w:color w:val="auto"/>
                <w:lang w:val="en-US" w:eastAsia="zh-CN"/>
              </w:rPr>
              <w:t>4-4</w:t>
            </w:r>
            <w:r>
              <w:rPr>
                <w:rFonts w:hint="eastAsia"/>
                <w:color w:val="auto"/>
              </w:rPr>
              <w:t>。</w:t>
            </w:r>
          </w:p>
          <w:p>
            <w:pPr>
              <w:pStyle w:val="7"/>
              <w:bidi w:val="0"/>
              <w:rPr>
                <w:rFonts w:hint="eastAsia"/>
                <w:color w:val="auto"/>
              </w:rPr>
            </w:pPr>
            <w:r>
              <w:rPr>
                <w:rFonts w:hint="eastAsia"/>
                <w:color w:val="auto"/>
              </w:rPr>
              <w:t>表</w:t>
            </w:r>
            <w:r>
              <w:rPr>
                <w:rFonts w:hint="eastAsia"/>
                <w:color w:val="auto"/>
                <w:lang w:val="en-US" w:eastAsia="zh-CN"/>
              </w:rPr>
              <w:t>4-4</w:t>
            </w:r>
            <w:r>
              <w:rPr>
                <w:rFonts w:hint="eastAsia"/>
                <w:color w:val="auto"/>
              </w:rPr>
              <w:t xml:space="preserve"> </w:t>
            </w:r>
            <w:r>
              <w:rPr>
                <w:rFonts w:hint="eastAsia"/>
                <w:color w:val="auto"/>
                <w:lang w:val="en-US" w:eastAsia="zh-CN"/>
              </w:rPr>
              <w:t xml:space="preserve">         </w:t>
            </w:r>
            <w:r>
              <w:rPr>
                <w:rFonts w:hint="eastAsia"/>
                <w:color w:val="auto"/>
              </w:rPr>
              <w:t xml:space="preserve">   矿山损毁土地情况汇总表</w:t>
            </w:r>
          </w:p>
          <w:tbl>
            <w:tblPr>
              <w:tblStyle w:val="83"/>
              <w:tblW w:w="4997" w:type="pct"/>
              <w:tblInd w:w="1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69"/>
              <w:gridCol w:w="594"/>
              <w:gridCol w:w="1789"/>
              <w:gridCol w:w="1886"/>
              <w:gridCol w:w="10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797" w:type="pct"/>
                  <w:gridSpan w:val="2"/>
                  <w:tcBorders>
                    <w:tl2br w:val="nil"/>
                    <w:tr2bl w:val="nil"/>
                  </w:tcBorders>
                  <w:vAlign w:val="center"/>
                </w:tcPr>
                <w:p>
                  <w:pPr>
                    <w:pStyle w:val="2"/>
                    <w:bidi w:val="0"/>
                    <w:rPr>
                      <w:color w:val="auto"/>
                    </w:rPr>
                  </w:pPr>
                  <w:r>
                    <w:rPr>
                      <w:color w:val="auto"/>
                    </w:rPr>
                    <w:t>工程名称</w:t>
                  </w:r>
                </w:p>
              </w:tc>
              <w:tc>
                <w:tcPr>
                  <w:tcW w:w="1207" w:type="pct"/>
                  <w:tcBorders>
                    <w:tl2br w:val="nil"/>
                    <w:tr2bl w:val="nil"/>
                  </w:tcBorders>
                  <w:vAlign w:val="center"/>
                </w:tcPr>
                <w:p>
                  <w:pPr>
                    <w:pStyle w:val="2"/>
                    <w:bidi w:val="0"/>
                    <w:rPr>
                      <w:color w:val="auto"/>
                    </w:rPr>
                  </w:pPr>
                  <w:r>
                    <w:rPr>
                      <w:color w:val="auto"/>
                    </w:rPr>
                    <w:t>占地面积（公顷）</w:t>
                  </w:r>
                </w:p>
              </w:tc>
              <w:tc>
                <w:tcPr>
                  <w:tcW w:w="1273" w:type="pct"/>
                  <w:tcBorders>
                    <w:tl2br w:val="nil"/>
                    <w:tr2bl w:val="nil"/>
                  </w:tcBorders>
                  <w:vAlign w:val="center"/>
                </w:tcPr>
                <w:p>
                  <w:pPr>
                    <w:pStyle w:val="2"/>
                    <w:bidi w:val="0"/>
                    <w:rPr>
                      <w:color w:val="auto"/>
                    </w:rPr>
                  </w:pPr>
                  <w:r>
                    <w:rPr>
                      <w:color w:val="auto"/>
                    </w:rPr>
                    <w:t>建筑面积（公顷）</w:t>
                  </w:r>
                </w:p>
              </w:tc>
              <w:tc>
                <w:tcPr>
                  <w:tcW w:w="721" w:type="pct"/>
                  <w:tcBorders>
                    <w:tl2br w:val="nil"/>
                    <w:tr2bl w:val="nil"/>
                  </w:tcBorders>
                  <w:vAlign w:val="center"/>
                </w:tcPr>
                <w:p>
                  <w:pPr>
                    <w:pStyle w:val="2"/>
                    <w:bidi w:val="0"/>
                    <w:rPr>
                      <w:color w:val="auto"/>
                    </w:rPr>
                  </w:pPr>
                  <w:r>
                    <w:rPr>
                      <w:color w:val="auto"/>
                    </w:rPr>
                    <w:t>分布位置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96" w:type="pct"/>
                  <w:tcBorders>
                    <w:tl2br w:val="nil"/>
                    <w:tr2bl w:val="nil"/>
                  </w:tcBorders>
                  <w:vAlign w:val="center"/>
                </w:tcPr>
                <w:p>
                  <w:pPr>
                    <w:pStyle w:val="2"/>
                    <w:bidi w:val="0"/>
                    <w:rPr>
                      <w:color w:val="auto"/>
                    </w:rPr>
                  </w:pPr>
                  <w:r>
                    <w:rPr>
                      <w:color w:val="auto"/>
                    </w:rPr>
                    <w:t>规划矿部生活区</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0.3</w:t>
                  </w:r>
                </w:p>
              </w:tc>
              <w:tc>
                <w:tcPr>
                  <w:tcW w:w="1273" w:type="pct"/>
                  <w:tcBorders>
                    <w:tl2br w:val="nil"/>
                    <w:tr2bl w:val="nil"/>
                  </w:tcBorders>
                  <w:vAlign w:val="center"/>
                </w:tcPr>
                <w:p>
                  <w:pPr>
                    <w:pStyle w:val="2"/>
                    <w:bidi w:val="0"/>
                    <w:rPr>
                      <w:color w:val="auto"/>
                    </w:rPr>
                  </w:pPr>
                  <w:r>
                    <w:rPr>
                      <w:color w:val="auto"/>
                    </w:rPr>
                    <w:t>0.055</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96" w:type="pct"/>
                  <w:tcBorders>
                    <w:tl2br w:val="nil"/>
                    <w:tr2bl w:val="nil"/>
                  </w:tcBorders>
                  <w:vAlign w:val="center"/>
                </w:tcPr>
                <w:p>
                  <w:pPr>
                    <w:pStyle w:val="2"/>
                    <w:bidi w:val="0"/>
                    <w:rPr>
                      <w:rFonts w:hint="default" w:eastAsia="宋体"/>
                      <w:color w:val="auto"/>
                      <w:lang w:val="en-US" w:eastAsia="zh-CN"/>
                    </w:rPr>
                  </w:pPr>
                  <w:r>
                    <w:rPr>
                      <w:color w:val="auto"/>
                    </w:rPr>
                    <w:t>规划</w:t>
                  </w:r>
                  <w:r>
                    <w:rPr>
                      <w:rFonts w:hint="eastAsia"/>
                      <w:color w:val="auto"/>
                      <w:lang w:val="en-US" w:eastAsia="zh-CN"/>
                    </w:rPr>
                    <w:t>荒料堆放场</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0.60</w:t>
                  </w:r>
                </w:p>
              </w:tc>
              <w:tc>
                <w:tcPr>
                  <w:tcW w:w="1273" w:type="pct"/>
                  <w:tcBorders>
                    <w:tl2br w:val="nil"/>
                    <w:tr2bl w:val="nil"/>
                  </w:tcBorders>
                  <w:vAlign w:val="center"/>
                </w:tcPr>
                <w:p>
                  <w:pPr>
                    <w:pStyle w:val="2"/>
                    <w:bidi w:val="0"/>
                    <w:rPr>
                      <w:color w:val="auto"/>
                    </w:rPr>
                  </w:pPr>
                  <w:r>
                    <w:rPr>
                      <w:color w:val="auto"/>
                    </w:rPr>
                    <w:t>0.03</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96" w:type="pct"/>
                  <w:tcBorders>
                    <w:tl2br w:val="nil"/>
                    <w:tr2bl w:val="nil"/>
                  </w:tcBorders>
                  <w:vAlign w:val="center"/>
                </w:tcPr>
                <w:p>
                  <w:pPr>
                    <w:pStyle w:val="2"/>
                    <w:bidi w:val="0"/>
                    <w:rPr>
                      <w:color w:val="auto"/>
                    </w:rPr>
                  </w:pPr>
                  <w:r>
                    <w:rPr>
                      <w:color w:val="auto"/>
                    </w:rPr>
                    <w:t>规划1号废石堆放场</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7.44</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96" w:type="pct"/>
                  <w:tcBorders>
                    <w:tl2br w:val="nil"/>
                    <w:tr2bl w:val="nil"/>
                  </w:tcBorders>
                  <w:vAlign w:val="center"/>
                </w:tcPr>
                <w:p>
                  <w:pPr>
                    <w:pStyle w:val="2"/>
                    <w:bidi w:val="0"/>
                    <w:rPr>
                      <w:color w:val="auto"/>
                    </w:rPr>
                  </w:pPr>
                  <w:r>
                    <w:rPr>
                      <w:color w:val="auto"/>
                    </w:rPr>
                    <w:t>规划2号废石堆放场</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2.64</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96" w:type="pct"/>
                  <w:tcBorders>
                    <w:tl2br w:val="nil"/>
                    <w:tr2bl w:val="nil"/>
                  </w:tcBorders>
                  <w:vAlign w:val="center"/>
                </w:tcPr>
                <w:p>
                  <w:pPr>
                    <w:pStyle w:val="2"/>
                    <w:bidi w:val="0"/>
                    <w:rPr>
                      <w:color w:val="auto"/>
                    </w:rPr>
                  </w:pPr>
                  <w:r>
                    <w:rPr>
                      <w:color w:val="auto"/>
                    </w:rPr>
                    <w:t>规划矿山道路</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1.28</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96" w:type="pct"/>
                  <w:tcBorders>
                    <w:tl2br w:val="nil"/>
                    <w:tr2bl w:val="nil"/>
                  </w:tcBorders>
                  <w:vAlign w:val="center"/>
                </w:tcPr>
                <w:p>
                  <w:pPr>
                    <w:pStyle w:val="2"/>
                    <w:bidi w:val="0"/>
                    <w:rPr>
                      <w:color w:val="auto"/>
                    </w:rPr>
                  </w:pPr>
                  <w:r>
                    <w:rPr>
                      <w:color w:val="auto"/>
                    </w:rPr>
                    <w:t>规划表土堆放场</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1.10</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96" w:type="pct"/>
                  <w:tcBorders>
                    <w:tl2br w:val="nil"/>
                    <w:tr2bl w:val="nil"/>
                  </w:tcBorders>
                  <w:vAlign w:val="center"/>
                </w:tcPr>
                <w:p>
                  <w:pPr>
                    <w:pStyle w:val="2"/>
                    <w:bidi w:val="0"/>
                    <w:rPr>
                      <w:color w:val="auto"/>
                    </w:rPr>
                  </w:pPr>
                  <w:r>
                    <w:rPr>
                      <w:color w:val="auto"/>
                    </w:rPr>
                    <w:t>规划露天采矿场 V1</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2.90</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96" w:type="pct"/>
                  <w:tcBorders>
                    <w:tl2br w:val="nil"/>
                    <w:tr2bl w:val="nil"/>
                  </w:tcBorders>
                  <w:vAlign w:val="center"/>
                </w:tcPr>
                <w:p>
                  <w:pPr>
                    <w:pStyle w:val="2"/>
                    <w:bidi w:val="0"/>
                    <w:rPr>
                      <w:color w:val="auto"/>
                    </w:rPr>
                  </w:pPr>
                  <w:r>
                    <w:rPr>
                      <w:color w:val="auto"/>
                    </w:rPr>
                    <w:t>规划露天采矿场 V2</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4.39</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396" w:type="pct"/>
                  <w:tcBorders>
                    <w:tl2br w:val="nil"/>
                    <w:tr2bl w:val="nil"/>
                  </w:tcBorders>
                  <w:vAlign w:val="center"/>
                </w:tcPr>
                <w:p>
                  <w:pPr>
                    <w:pStyle w:val="2"/>
                    <w:bidi w:val="0"/>
                    <w:rPr>
                      <w:color w:val="auto"/>
                    </w:rPr>
                  </w:pPr>
                  <w:r>
                    <w:rPr>
                      <w:color w:val="auto"/>
                    </w:rPr>
                    <w:t>规划露天采矿场 V3</w:t>
                  </w:r>
                </w:p>
              </w:tc>
              <w:tc>
                <w:tcPr>
                  <w:tcW w:w="401" w:type="pct"/>
                  <w:tcBorders>
                    <w:tl2br w:val="nil"/>
                    <w:tr2bl w:val="nil"/>
                  </w:tcBorders>
                  <w:vAlign w:val="center"/>
                </w:tcPr>
                <w:p>
                  <w:pPr>
                    <w:pStyle w:val="2"/>
                    <w:bidi w:val="0"/>
                    <w:rPr>
                      <w:color w:val="auto"/>
                    </w:rPr>
                  </w:pPr>
                  <w:r>
                    <w:rPr>
                      <w:color w:val="auto"/>
                    </w:rPr>
                    <w:t>规划</w:t>
                  </w:r>
                </w:p>
              </w:tc>
              <w:tc>
                <w:tcPr>
                  <w:tcW w:w="1207" w:type="pct"/>
                  <w:tcBorders>
                    <w:tl2br w:val="nil"/>
                    <w:tr2bl w:val="nil"/>
                  </w:tcBorders>
                  <w:vAlign w:val="center"/>
                </w:tcPr>
                <w:p>
                  <w:pPr>
                    <w:pStyle w:val="2"/>
                    <w:bidi w:val="0"/>
                    <w:rPr>
                      <w:color w:val="auto"/>
                    </w:rPr>
                  </w:pPr>
                  <w:r>
                    <w:rPr>
                      <w:color w:val="auto"/>
                    </w:rPr>
                    <w:t>4.02</w:t>
                  </w:r>
                </w:p>
              </w:tc>
              <w:tc>
                <w:tcPr>
                  <w:tcW w:w="1273" w:type="pct"/>
                  <w:tcBorders>
                    <w:tl2br w:val="nil"/>
                    <w:tr2bl w:val="nil"/>
                  </w:tcBorders>
                  <w:vAlign w:val="center"/>
                </w:tcPr>
                <w:p>
                  <w:pPr>
                    <w:pStyle w:val="2"/>
                    <w:bidi w:val="0"/>
                    <w:rPr>
                      <w:color w:val="auto"/>
                    </w:rPr>
                  </w:pPr>
                  <w:r>
                    <w:rPr>
                      <w:color w:val="auto"/>
                    </w:rPr>
                    <w:t>0.00</w:t>
                  </w:r>
                </w:p>
              </w:tc>
              <w:tc>
                <w:tcPr>
                  <w:tcW w:w="721" w:type="pct"/>
                  <w:tcBorders>
                    <w:tl2br w:val="nil"/>
                    <w:tr2bl w:val="nil"/>
                  </w:tcBorders>
                  <w:vAlign w:val="center"/>
                </w:tcPr>
                <w:p>
                  <w:pPr>
                    <w:pStyle w:val="2"/>
                    <w:bidi w:val="0"/>
                    <w:rPr>
                      <w:color w:val="auto"/>
                    </w:rPr>
                  </w:pPr>
                  <w:r>
                    <w:rPr>
                      <w:color w:val="auto"/>
                    </w:rPr>
                    <w:t>界内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396" w:type="pct"/>
                  <w:tcBorders>
                    <w:tl2br w:val="nil"/>
                    <w:tr2bl w:val="nil"/>
                  </w:tcBorders>
                  <w:vAlign w:val="center"/>
                </w:tcPr>
                <w:p>
                  <w:pPr>
                    <w:pStyle w:val="2"/>
                    <w:bidi w:val="0"/>
                    <w:rPr>
                      <w:color w:val="auto"/>
                    </w:rPr>
                  </w:pPr>
                  <w:r>
                    <w:rPr>
                      <w:color w:val="auto"/>
                    </w:rPr>
                    <w:t>总计</w:t>
                  </w:r>
                </w:p>
              </w:tc>
              <w:tc>
                <w:tcPr>
                  <w:tcW w:w="401" w:type="pct"/>
                  <w:tcBorders>
                    <w:tl2br w:val="nil"/>
                    <w:tr2bl w:val="nil"/>
                  </w:tcBorders>
                  <w:vAlign w:val="center"/>
                </w:tcPr>
                <w:p>
                  <w:pPr>
                    <w:pStyle w:val="2"/>
                    <w:bidi w:val="0"/>
                    <w:rPr>
                      <w:color w:val="auto"/>
                    </w:rPr>
                  </w:pPr>
                </w:p>
              </w:tc>
              <w:tc>
                <w:tcPr>
                  <w:tcW w:w="1207" w:type="pct"/>
                  <w:tcBorders>
                    <w:tl2br w:val="nil"/>
                    <w:tr2bl w:val="nil"/>
                  </w:tcBorders>
                  <w:vAlign w:val="center"/>
                </w:tcPr>
                <w:p>
                  <w:pPr>
                    <w:pStyle w:val="2"/>
                    <w:bidi w:val="0"/>
                    <w:rPr>
                      <w:color w:val="auto"/>
                    </w:rPr>
                  </w:pPr>
                  <w:r>
                    <w:rPr>
                      <w:color w:val="auto"/>
                    </w:rPr>
                    <w:t>24.67</w:t>
                  </w:r>
                </w:p>
              </w:tc>
              <w:tc>
                <w:tcPr>
                  <w:tcW w:w="1273" w:type="pct"/>
                  <w:tcBorders>
                    <w:tl2br w:val="nil"/>
                    <w:tr2bl w:val="nil"/>
                  </w:tcBorders>
                  <w:vAlign w:val="center"/>
                </w:tcPr>
                <w:p>
                  <w:pPr>
                    <w:pStyle w:val="2"/>
                    <w:bidi w:val="0"/>
                    <w:rPr>
                      <w:color w:val="auto"/>
                    </w:rPr>
                  </w:pPr>
                  <w:r>
                    <w:rPr>
                      <w:color w:val="auto"/>
                    </w:rPr>
                    <w:t>0.085</w:t>
                  </w:r>
                </w:p>
              </w:tc>
              <w:tc>
                <w:tcPr>
                  <w:tcW w:w="721" w:type="pct"/>
                  <w:tcBorders>
                    <w:tl2br w:val="nil"/>
                    <w:tr2bl w:val="nil"/>
                  </w:tcBorders>
                  <w:vAlign w:val="center"/>
                </w:tcPr>
                <w:p>
                  <w:pPr>
                    <w:pStyle w:val="2"/>
                    <w:bidi w:val="0"/>
                    <w:rPr>
                      <w:color w:val="auto"/>
                    </w:rPr>
                  </w:pPr>
                </w:p>
              </w:tc>
            </w:tr>
          </w:tbl>
          <w:p>
            <w:pPr>
              <w:pStyle w:val="5"/>
              <w:bidi w:val="0"/>
              <w:rPr>
                <w:rFonts w:hint="eastAsia"/>
                <w:color w:val="auto"/>
                <w:lang w:eastAsia="zh-CN"/>
              </w:rPr>
            </w:pPr>
            <w:r>
              <w:rPr>
                <w:rFonts w:hint="eastAsia"/>
                <w:color w:val="auto"/>
                <w:lang w:val="en-US" w:eastAsia="zh-CN"/>
              </w:rPr>
              <w:t>1</w:t>
            </w:r>
            <w:r>
              <w:rPr>
                <w:color w:val="auto"/>
              </w:rPr>
              <w:t>.2</w:t>
            </w:r>
            <w:r>
              <w:rPr>
                <w:rFonts w:hint="eastAsia"/>
                <w:color w:val="auto"/>
                <w:lang w:val="en-US" w:eastAsia="zh-CN"/>
              </w:rPr>
              <w:t>对景观的影响</w:t>
            </w:r>
            <w:r>
              <w:rPr>
                <w:rFonts w:hint="eastAsia"/>
                <w:color w:val="auto"/>
                <w:lang w:eastAsia="zh-CN"/>
              </w:rPr>
              <w:t>分析</w:t>
            </w:r>
          </w:p>
          <w:p>
            <w:pPr>
              <w:keepNext w:val="0"/>
              <w:keepLines w:val="0"/>
              <w:widowControl/>
              <w:suppressLineNumbers w:val="0"/>
              <w:jc w:val="left"/>
              <w:rPr>
                <w:rFonts w:hint="default"/>
                <w:color w:val="auto"/>
                <w:lang w:val="en-US" w:eastAsia="zh-CN"/>
              </w:rPr>
            </w:pPr>
            <w:r>
              <w:rPr>
                <w:rFonts w:hint="eastAsia"/>
                <w:color w:val="auto"/>
                <w:lang w:val="en-US" w:eastAsia="zh-CN"/>
              </w:rPr>
              <w:t>本项目工程的建设会导致局部地形地貌发生改变，荒料堆场、废石堆场、采场、生活区、矿道路的占地表面植被丰富，地表植被的铲除或压占对生态景观的产生一定影响，矿山开挖造成山体发生变化，对项目区的景观产生一定的影响。</w:t>
            </w:r>
          </w:p>
          <w:p>
            <w:pPr>
              <w:bidi w:val="0"/>
              <w:rPr>
                <w:rFonts w:hint="eastAsia" w:eastAsia="宋体"/>
                <w:color w:val="auto"/>
                <w:lang w:eastAsia="zh-CN"/>
              </w:rPr>
            </w:pPr>
            <w:r>
              <w:rPr>
                <w:rFonts w:hint="eastAsia"/>
                <w:color w:val="auto"/>
              </w:rPr>
              <w:t>矿山开采主要影响是对地质环境的影响，</w:t>
            </w:r>
            <w:r>
              <w:rPr>
                <w:rFonts w:ascii="宋体" w:hAnsi="宋体"/>
                <w:color w:val="auto"/>
                <w:sz w:val="24"/>
              </w:rPr>
              <w:t>体产于岩体内，区内地层岩性单一，地质构造简单，矿体顶、底板围岩均为浅灰白色二长花岗岩，</w:t>
            </w:r>
            <w:r>
              <w:rPr>
                <w:rFonts w:hint="eastAsia" w:ascii="宋体" w:hAnsi="宋体"/>
                <w:color w:val="auto"/>
                <w:sz w:val="24"/>
              </w:rPr>
              <w:t>岩石结构致密，质地坚硬，力学强度较高，岩体较完整</w:t>
            </w:r>
            <w:r>
              <w:rPr>
                <w:rFonts w:ascii="宋体" w:hAnsi="宋体"/>
                <w:color w:val="auto"/>
                <w:sz w:val="24"/>
              </w:rPr>
              <w:t>，不易</w:t>
            </w:r>
            <w:r>
              <w:rPr>
                <w:rFonts w:hint="eastAsia" w:ascii="宋体" w:hAnsi="宋体"/>
                <w:color w:val="auto"/>
                <w:sz w:val="24"/>
              </w:rPr>
              <w:t>形成危岩体</w:t>
            </w:r>
            <w:r>
              <w:rPr>
                <w:rFonts w:ascii="宋体" w:hAnsi="宋体"/>
                <w:color w:val="auto"/>
                <w:sz w:val="24"/>
              </w:rPr>
              <w:t>，矿床力学稳固性能好</w:t>
            </w:r>
            <w:r>
              <w:rPr>
                <w:rFonts w:hint="eastAsia" w:ascii="宋体" w:hAnsi="宋体"/>
                <w:color w:val="auto"/>
                <w:sz w:val="24"/>
                <w:lang w:eastAsia="zh-CN"/>
              </w:rPr>
              <w:t>，</w:t>
            </w:r>
            <w:r>
              <w:rPr>
                <w:rFonts w:hint="eastAsia"/>
                <w:color w:val="auto"/>
              </w:rPr>
              <w:t>开采过程中</w:t>
            </w:r>
            <w:r>
              <w:rPr>
                <w:rFonts w:hint="eastAsia" w:ascii="宋体" w:hAnsi="宋体" w:cs="宋体"/>
                <w:color w:val="auto"/>
                <w:sz w:val="24"/>
              </w:rPr>
              <w:t>崩塌地质灾害危害程度小</w:t>
            </w:r>
            <w:r>
              <w:rPr>
                <w:rFonts w:hint="eastAsia" w:ascii="宋体" w:hAnsi="宋体" w:cs="宋体"/>
                <w:color w:val="auto"/>
                <w:sz w:val="24"/>
                <w:lang w:eastAsia="zh-CN"/>
              </w:rPr>
              <w:t>；</w:t>
            </w:r>
            <w:r>
              <w:rPr>
                <w:rFonts w:hint="eastAsia" w:ascii="宋体" w:hAnsi="宋体" w:cs="宋体"/>
                <w:color w:val="auto"/>
                <w:sz w:val="24"/>
              </w:rPr>
              <w:t>岩土体干燥，无软弱结构面，滑坡地质灾害不发育</w:t>
            </w:r>
            <w:r>
              <w:rPr>
                <w:rFonts w:hint="eastAsia" w:ascii="宋体" w:hAnsi="宋体" w:cs="宋体"/>
                <w:color w:val="auto"/>
                <w:sz w:val="24"/>
                <w:lang w:eastAsia="zh-CN"/>
              </w:rPr>
              <w:t>；项目</w:t>
            </w:r>
            <w:r>
              <w:rPr>
                <w:rFonts w:hint="eastAsia" w:ascii="宋体" w:hAnsi="宋体" w:cs="宋体"/>
                <w:color w:val="auto"/>
                <w:kern w:val="0"/>
                <w:sz w:val="24"/>
              </w:rPr>
              <w:t>区内自然状态下松散物来源少，形成泥石流地质灾害的物源条件不充分，泥石流地质灾害危害程度小</w:t>
            </w:r>
            <w:r>
              <w:rPr>
                <w:rFonts w:hint="eastAsia"/>
                <w:color w:val="auto"/>
              </w:rPr>
              <w:t>。矿区永久占地将改变区域土地利用功能，降低土壤的侵蚀能力，引起水土流失</w:t>
            </w:r>
            <w:r>
              <w:rPr>
                <w:rFonts w:hint="eastAsia"/>
                <w:color w:val="auto"/>
                <w:lang w:eastAsia="zh-CN"/>
              </w:rPr>
              <w:t>。</w:t>
            </w:r>
          </w:p>
          <w:p>
            <w:pPr>
              <w:bidi w:val="0"/>
              <w:rPr>
                <w:color w:val="auto"/>
              </w:rPr>
            </w:pPr>
            <w:r>
              <w:rPr>
                <w:rFonts w:hint="eastAsia"/>
                <w:color w:val="auto"/>
              </w:rPr>
              <w:t>拟建项目建设规模较小、采深不是很大，并且项目设计采取了应有的预防措施，诱发地质灾害的影响因素能得到抑制，项目区原生地质结构虽然发生改变，但发生地质灾害的可能较小。</w:t>
            </w:r>
          </w:p>
          <w:p>
            <w:pPr>
              <w:pStyle w:val="5"/>
              <w:bidi w:val="0"/>
              <w:rPr>
                <w:rFonts w:hint="eastAsia"/>
                <w:color w:val="auto"/>
                <w:lang w:eastAsia="zh-CN"/>
              </w:rPr>
            </w:pPr>
            <w:r>
              <w:rPr>
                <w:rFonts w:hint="eastAsia"/>
                <w:color w:val="auto"/>
                <w:lang w:val="en-US" w:eastAsia="zh-CN"/>
              </w:rPr>
              <w:t>1.3</w:t>
            </w:r>
            <w:r>
              <w:rPr>
                <w:rFonts w:hint="eastAsia"/>
                <w:color w:val="auto"/>
                <w:lang w:eastAsia="zh-CN"/>
              </w:rPr>
              <w:t>对土壤环境的影响</w:t>
            </w:r>
          </w:p>
          <w:p>
            <w:pPr>
              <w:ind w:firstLine="480"/>
              <w:rPr>
                <w:rFonts w:hint="eastAsia"/>
                <w:color w:val="auto"/>
                <w:lang w:eastAsia="zh-CN"/>
              </w:rPr>
            </w:pPr>
            <w:r>
              <w:rPr>
                <w:color w:val="auto"/>
                <w:kern w:val="44"/>
              </w:rPr>
              <w:t>本项目对土壤结构的影响主要表现在项目建设及生产过程中对土壤的占压和扰动破坏。土壤结构是经过较长的历史时期形成的，开挖必将破坏土壤结构，尤其是土壤中的团粒结构，一旦遭到破坏，必须经过较长时间才能恢复。在开挖区将改变土壤结构，即使回填后也会使土壤的容量、土体结构、土壤腐蚀指数等发生较大的变化；除开挖部分的植被受到破坏外，也会因项目施工及生产过程中机具车辆碾压、施工人员的踩踏和土石的堆放原因，而改变土壤结构。开挖和回填混合了原有的长期在发展中形成的层次，不同的层次被打乱并混合在一起，影响了土地的发育，也影响地表植被的生长。</w:t>
            </w:r>
          </w:p>
          <w:p>
            <w:pPr>
              <w:pStyle w:val="5"/>
              <w:bidi w:val="0"/>
              <w:rPr>
                <w:rFonts w:hint="default" w:ascii="Times New Roman" w:hAnsi="Times New Roman" w:eastAsia="宋体" w:cs="Times New Roman"/>
                <w:b/>
                <w:bCs/>
                <w:color w:val="auto"/>
                <w:kern w:val="2"/>
                <w:sz w:val="24"/>
                <w:szCs w:val="24"/>
                <w:lang w:val="en-US" w:eastAsia="zh-CN" w:bidi="ar"/>
              </w:rPr>
            </w:pPr>
            <w:r>
              <w:rPr>
                <w:rFonts w:hint="eastAsia"/>
                <w:color w:val="auto"/>
                <w:lang w:val="en-US" w:eastAsia="zh-CN"/>
              </w:rPr>
              <w:t>1.4</w:t>
            </w:r>
            <w:r>
              <w:rPr>
                <w:rFonts w:hint="default" w:ascii="Times New Roman" w:hAnsi="Times New Roman" w:eastAsia="宋体" w:cs="Times New Roman"/>
                <w:b/>
                <w:bCs/>
                <w:color w:val="auto"/>
                <w:kern w:val="2"/>
                <w:sz w:val="24"/>
                <w:szCs w:val="24"/>
                <w:lang w:val="en-US" w:eastAsia="zh-CN" w:bidi="ar"/>
              </w:rPr>
              <w:t>突发性事故对植被的影响</w:t>
            </w:r>
          </w:p>
          <w:p>
            <w:pPr>
              <w:bidi w:val="0"/>
              <w:rPr>
                <w:rFonts w:hint="eastAsia"/>
                <w:color w:val="auto"/>
                <w:lang w:val="en-US" w:eastAsia="zh-CN"/>
              </w:rPr>
            </w:pPr>
            <w:r>
              <w:rPr>
                <w:rFonts w:hint="default"/>
                <w:color w:val="auto"/>
              </w:rPr>
              <w:t>项目</w:t>
            </w:r>
            <w:r>
              <w:rPr>
                <w:rFonts w:hint="eastAsia"/>
                <w:color w:val="auto"/>
                <w:lang w:val="en-US" w:eastAsia="zh-CN"/>
              </w:rPr>
              <w:t>生产过程</w:t>
            </w:r>
            <w:r>
              <w:rPr>
                <w:rFonts w:hint="default"/>
                <w:color w:val="auto"/>
              </w:rPr>
              <w:t>中对生态环境造成严重破坏的主要事故类型为</w:t>
            </w:r>
            <w:r>
              <w:rPr>
                <w:rFonts w:hint="eastAsia"/>
                <w:color w:val="auto"/>
                <w:lang w:val="en-US" w:eastAsia="zh-CN"/>
              </w:rPr>
              <w:t>润滑油、柴油</w:t>
            </w:r>
            <w:r>
              <w:rPr>
                <w:rFonts w:hint="default"/>
                <w:color w:val="auto"/>
              </w:rPr>
              <w:t>泄漏，其产生的污染物排放均会对评价范围内的植被造成不同程度的影响，影响程度</w:t>
            </w:r>
            <w:r>
              <w:rPr>
                <w:rFonts w:hint="eastAsia"/>
                <w:color w:val="auto"/>
                <w:lang w:val="en-US" w:eastAsia="zh-CN"/>
              </w:rPr>
              <w:t>与发生事故时泄漏的油量及是否发生火灾有很大关系。植被生存土壤上附着的原油越多，植物死亡率就越高。如果发生火灾，则植被的地上部分会完全被毁，但如果土壤环境未被破坏，第二年植被将会重新生长。</w:t>
            </w:r>
          </w:p>
          <w:p>
            <w:pPr>
              <w:bidi w:val="0"/>
              <w:rPr>
                <w:rFonts w:hint="eastAsia"/>
                <w:color w:val="auto"/>
                <w:lang w:val="en-US" w:eastAsia="zh-CN"/>
              </w:rPr>
            </w:pPr>
            <w:r>
              <w:rPr>
                <w:rFonts w:hint="eastAsia"/>
                <w:color w:val="auto"/>
                <w:lang w:val="en-US" w:eastAsia="zh-CN"/>
              </w:rPr>
              <w:t>交通事故通常发生在道路两旁，发生的概率及影响范围均极小，仅对路边很小范围的植被产生严重污染。事故发生于一个较小的范围内，且可通过对柴油的及时清理而减轻其影响，不会对整个区域植被产生明显不利影响。</w:t>
            </w:r>
          </w:p>
          <w:p>
            <w:pPr>
              <w:pStyle w:val="5"/>
              <w:bidi w:val="0"/>
              <w:rPr>
                <w:rFonts w:hint="eastAsia"/>
                <w:color w:val="auto"/>
                <w:lang w:eastAsia="zh-CN"/>
              </w:rPr>
            </w:pPr>
            <w:r>
              <w:rPr>
                <w:rFonts w:hint="eastAsia"/>
                <w:color w:val="auto"/>
                <w:lang w:val="en-US" w:eastAsia="zh-CN"/>
              </w:rPr>
              <w:t>1.5</w:t>
            </w:r>
            <w:r>
              <w:rPr>
                <w:rFonts w:hint="eastAsia"/>
                <w:color w:val="auto"/>
                <w:lang w:eastAsia="zh-CN"/>
              </w:rPr>
              <w:t>对植被的影响</w:t>
            </w:r>
          </w:p>
          <w:p>
            <w:pPr>
              <w:rPr>
                <w:rFonts w:hint="eastAsia" w:eastAsia="宋体"/>
                <w:color w:val="auto"/>
                <w:lang w:eastAsia="zh-CN"/>
              </w:rPr>
            </w:pPr>
            <w:r>
              <w:rPr>
                <w:color w:val="auto"/>
              </w:rPr>
              <w:t>项目建设</w:t>
            </w:r>
            <w:r>
              <w:rPr>
                <w:rFonts w:hint="eastAsia"/>
                <w:color w:val="auto"/>
              </w:rPr>
              <w:t>生产</w:t>
            </w:r>
            <w:r>
              <w:rPr>
                <w:color w:val="auto"/>
              </w:rPr>
              <w:t>过程中</w:t>
            </w:r>
            <w:r>
              <w:rPr>
                <w:color w:val="auto"/>
                <w:spacing w:val="-2"/>
              </w:rPr>
              <w:t>采矿场</w:t>
            </w:r>
            <w:r>
              <w:rPr>
                <w:rFonts w:hint="eastAsia"/>
                <w:color w:val="auto"/>
                <w:lang w:val="en-US" w:eastAsia="zh-CN"/>
              </w:rPr>
              <w:t>需要进行表土剥离</w:t>
            </w:r>
            <w:r>
              <w:rPr>
                <w:color w:val="auto"/>
              </w:rPr>
              <w:t>，植被覆盖率</w:t>
            </w:r>
            <w:r>
              <w:rPr>
                <w:rFonts w:hint="eastAsia" w:ascii="Times New Roman" w:hAnsi="Times New Roman" w:eastAsia="宋体" w:cs="Times New Roman"/>
                <w:color w:val="auto"/>
                <w:lang w:eastAsia="zh-CN"/>
              </w:rPr>
              <w:t>在</w:t>
            </w:r>
            <w:r>
              <w:rPr>
                <w:rFonts w:hint="eastAsia"/>
                <w:color w:val="auto"/>
                <w:lang w:val="en-US" w:eastAsia="zh-CN"/>
              </w:rPr>
              <w:t>30%～60%</w:t>
            </w:r>
            <w:r>
              <w:rPr>
                <w:rFonts w:hint="eastAsia"/>
                <w:color w:val="auto"/>
                <w:lang w:eastAsia="zh-CN"/>
              </w:rPr>
              <w:t>，</w:t>
            </w:r>
            <w:r>
              <w:rPr>
                <w:rFonts w:hint="eastAsia"/>
                <w:color w:val="auto"/>
                <w:lang w:val="en-US" w:eastAsia="zh-CN"/>
              </w:rPr>
              <w:t>对</w:t>
            </w:r>
            <w:r>
              <w:rPr>
                <w:rFonts w:hint="eastAsia"/>
                <w:color w:val="auto"/>
                <w:lang w:eastAsia="zh-CN"/>
              </w:rPr>
              <w:t>区域内植被</w:t>
            </w:r>
            <w:r>
              <w:rPr>
                <w:color w:val="auto"/>
              </w:rPr>
              <w:t>扰动影响较</w:t>
            </w:r>
            <w:r>
              <w:rPr>
                <w:rFonts w:hint="eastAsia"/>
                <w:color w:val="auto"/>
                <w:lang w:eastAsia="zh-CN"/>
              </w:rPr>
              <w:t>大。</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eastAsia"/>
                <w:color w:val="auto"/>
                <w:lang w:val="en-US" w:eastAsia="zh-CN"/>
              </w:rPr>
            </w:pPr>
            <w:r>
              <w:rPr>
                <w:rFonts w:hint="default"/>
                <w:color w:val="auto"/>
                <w:lang w:val="en-US" w:eastAsia="zh-CN"/>
              </w:rPr>
              <w:t>本项目</w:t>
            </w:r>
            <w:r>
              <w:rPr>
                <w:color w:val="auto"/>
                <w:spacing w:val="-2"/>
              </w:rPr>
              <w:t>采矿场</w:t>
            </w:r>
            <w:r>
              <w:rPr>
                <w:rFonts w:hint="default"/>
                <w:color w:val="auto"/>
                <w:lang w:val="en-US" w:eastAsia="zh-CN"/>
              </w:rPr>
              <w:t>以</w:t>
            </w:r>
            <w:r>
              <w:rPr>
                <w:rFonts w:hint="eastAsia"/>
                <w:color w:val="auto"/>
                <w:lang w:val="en-US" w:eastAsia="zh-CN"/>
              </w:rPr>
              <w:t>草地</w:t>
            </w:r>
            <w:r>
              <w:rPr>
                <w:rFonts w:hint="default"/>
                <w:color w:val="auto"/>
                <w:lang w:val="en-US" w:eastAsia="zh-CN"/>
              </w:rPr>
              <w:t>为主</w:t>
            </w:r>
            <w:r>
              <w:rPr>
                <w:rFonts w:hint="eastAsia"/>
                <w:color w:val="auto"/>
                <w:lang w:val="en-US" w:eastAsia="zh-CN"/>
              </w:rPr>
              <w:t>，</w:t>
            </w:r>
            <w:r>
              <w:rPr>
                <w:rFonts w:hint="default"/>
                <w:color w:val="auto"/>
                <w:lang w:val="en-US" w:eastAsia="zh-CN"/>
              </w:rPr>
              <w:t>生物量损失按下式计算</w:t>
            </w:r>
            <w:r>
              <w:rPr>
                <w:rFonts w:hint="eastAsia"/>
                <w:color w:val="auto"/>
                <w:lang w:val="en-US" w:eastAsia="zh-CN"/>
              </w:rPr>
              <w:t>：</w:t>
            </w:r>
          </w:p>
          <w:p>
            <w:pPr>
              <w:pStyle w:val="22"/>
              <w:keepNext w:val="0"/>
              <w:keepLines w:val="0"/>
              <w:pageBreakBefore w:val="0"/>
              <w:widowControl w:val="0"/>
              <w:kinsoku/>
              <w:wordWrap/>
              <w:overflowPunct/>
              <w:topLinePunct w:val="0"/>
              <w:autoSpaceDE/>
              <w:autoSpaceDN/>
              <w:bidi w:val="0"/>
              <w:adjustRightInd w:val="0"/>
              <w:snapToGrid w:val="0"/>
              <w:ind w:left="0" w:firstLine="480" w:firstLineChars="200"/>
              <w:jc w:val="center"/>
              <w:textAlignment w:val="auto"/>
              <w:rPr>
                <w:rFonts w:hint="eastAsia"/>
                <w:color w:val="auto"/>
                <w:lang w:val="en-US" w:eastAsia="zh-CN"/>
              </w:rPr>
            </w:pPr>
            <w:r>
              <w:rPr>
                <w:rFonts w:hint="eastAsia"/>
                <w:color w:val="auto"/>
                <w:lang w:val="en-US" w:eastAsia="zh-CN"/>
              </w:rPr>
              <w:t>Y=Si·Wi</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式中，Y—永久性生物量损失，t；</w:t>
            </w:r>
          </w:p>
          <w:p>
            <w:pPr>
              <w:keepNext w:val="0"/>
              <w:keepLines w:val="0"/>
              <w:pageBreakBefore w:val="0"/>
              <w:widowControl w:val="0"/>
              <w:kinsoku/>
              <w:wordWrap/>
              <w:overflowPunct/>
              <w:topLinePunct w:val="0"/>
              <w:autoSpaceDE/>
              <w:autoSpaceDN/>
              <w:bidi w:val="0"/>
              <w:adjustRightInd w:val="0"/>
              <w:snapToGrid w:val="0"/>
              <w:ind w:lef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Si—占地面积，hm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ind w:lef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Wi—单位面积生物量，t/hm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bidi w:val="0"/>
              <w:rPr>
                <w:rFonts w:hint="eastAsia"/>
                <w:color w:val="auto"/>
              </w:rPr>
            </w:pPr>
            <w:r>
              <w:rPr>
                <w:rFonts w:hint="default"/>
                <w:color w:val="auto"/>
                <w:lang w:val="en-US" w:eastAsia="zh-CN"/>
              </w:rPr>
              <w:t>本项目施工区域为</w:t>
            </w:r>
            <w:r>
              <w:rPr>
                <w:rFonts w:hint="eastAsia"/>
                <w:color w:val="auto"/>
                <w:lang w:val="en-US" w:eastAsia="zh-CN"/>
              </w:rPr>
              <w:t>草地</w:t>
            </w:r>
            <w:r>
              <w:rPr>
                <w:rFonts w:hint="default"/>
                <w:color w:val="auto"/>
                <w:lang w:val="en-US" w:eastAsia="zh-CN"/>
              </w:rPr>
              <w:t>，</w:t>
            </w:r>
            <w:r>
              <w:rPr>
                <w:rFonts w:hint="eastAsia"/>
                <w:color w:val="auto"/>
                <w:lang w:val="en-US" w:eastAsia="zh-CN"/>
              </w:rPr>
              <w:t>根据《天然草原等级评定技术规范》（NY/T15792007），</w:t>
            </w:r>
            <w:r>
              <w:rPr>
                <w:rFonts w:hint="default"/>
                <w:color w:val="auto"/>
                <w:lang w:val="en-US" w:eastAsia="zh-CN"/>
              </w:rPr>
              <w:t>平均生物量</w:t>
            </w:r>
            <w:r>
              <w:rPr>
                <w:rFonts w:hint="eastAsia"/>
                <w:color w:val="auto"/>
                <w:lang w:val="en-US" w:eastAsia="zh-CN"/>
              </w:rPr>
              <w:t>2</w:t>
            </w:r>
            <w:r>
              <w:rPr>
                <w:rFonts w:hint="default"/>
                <w:color w:val="auto"/>
                <w:highlight w:val="none"/>
                <w:lang w:val="en-US" w:eastAsia="zh-CN"/>
              </w:rPr>
              <w:t>t/hm</w:t>
            </w:r>
            <w:r>
              <w:rPr>
                <w:rFonts w:hint="default"/>
                <w:color w:val="auto"/>
                <w:highlight w:val="none"/>
                <w:vertAlign w:val="superscript"/>
                <w:lang w:val="en-US" w:eastAsia="zh-CN"/>
              </w:rPr>
              <w:t>2</w:t>
            </w:r>
            <w:r>
              <w:rPr>
                <w:rFonts w:hint="default"/>
                <w:color w:val="auto"/>
                <w:highlight w:val="none"/>
                <w:lang w:val="en-US" w:eastAsia="zh-CN"/>
              </w:rPr>
              <w:t>，本项目</w:t>
            </w:r>
            <w:r>
              <w:rPr>
                <w:color w:val="auto"/>
                <w:spacing w:val="-2"/>
              </w:rPr>
              <w:t>采矿场</w:t>
            </w:r>
            <w:r>
              <w:rPr>
                <w:rFonts w:hint="default"/>
                <w:color w:val="auto"/>
                <w:highlight w:val="none"/>
                <w:lang w:val="en-US" w:eastAsia="zh-CN"/>
              </w:rPr>
              <w:t>占地面积</w:t>
            </w:r>
            <w:r>
              <w:rPr>
                <w:color w:val="auto"/>
                <w:spacing w:val="-4"/>
              </w:rPr>
              <w:t>11.31</w:t>
            </w:r>
            <w:r>
              <w:rPr>
                <w:rFonts w:hint="default"/>
                <w:color w:val="auto"/>
                <w:highlight w:val="none"/>
                <w:lang w:val="en-US" w:eastAsia="zh-CN"/>
              </w:rPr>
              <w:t>hm</w:t>
            </w:r>
            <w:r>
              <w:rPr>
                <w:rFonts w:hint="default"/>
                <w:color w:val="auto"/>
                <w:highlight w:val="none"/>
                <w:vertAlign w:val="superscript"/>
                <w:lang w:val="en-US" w:eastAsia="zh-CN"/>
              </w:rPr>
              <w:t>2</w:t>
            </w:r>
            <w:r>
              <w:rPr>
                <w:rFonts w:hint="eastAsia"/>
                <w:color w:val="auto"/>
                <w:highlight w:val="none"/>
                <w:lang w:val="en-US" w:eastAsia="zh-CN"/>
              </w:rPr>
              <w:t>，</w:t>
            </w:r>
            <w:r>
              <w:rPr>
                <w:rFonts w:hint="default"/>
                <w:color w:val="auto"/>
                <w:highlight w:val="none"/>
                <w:lang w:val="en-US" w:eastAsia="zh-CN"/>
              </w:rPr>
              <w:t>将造成</w:t>
            </w:r>
            <w:r>
              <w:rPr>
                <w:rFonts w:hint="eastAsia"/>
                <w:color w:val="auto"/>
                <w:highlight w:val="none"/>
                <w:lang w:val="en-US" w:eastAsia="zh-CN"/>
              </w:rPr>
              <w:t>22.62t</w:t>
            </w:r>
            <w:r>
              <w:rPr>
                <w:rFonts w:hint="default"/>
                <w:color w:val="auto"/>
                <w:highlight w:val="none"/>
                <w:lang w:val="en-US" w:eastAsia="zh-CN"/>
              </w:rPr>
              <w:t>植被损失。通过加强施工管理，</w:t>
            </w:r>
            <w:r>
              <w:rPr>
                <w:rFonts w:hint="eastAsia"/>
                <w:color w:val="auto"/>
                <w:highlight w:val="none"/>
                <w:lang w:val="en-US" w:eastAsia="zh-CN"/>
              </w:rPr>
              <w:t>剥离表土分层堆放，用于后期复垦工作</w:t>
            </w:r>
            <w:r>
              <w:rPr>
                <w:rFonts w:hint="default"/>
                <w:color w:val="auto"/>
                <w:lang w:val="en-US" w:eastAsia="zh-CN"/>
              </w:rPr>
              <w:t>。</w:t>
            </w:r>
          </w:p>
          <w:p>
            <w:pPr>
              <w:pStyle w:val="5"/>
              <w:bidi w:val="0"/>
              <w:rPr>
                <w:color w:val="auto"/>
              </w:rPr>
            </w:pPr>
            <w:r>
              <w:rPr>
                <w:rFonts w:hint="eastAsia"/>
                <w:color w:val="auto"/>
                <w:lang w:val="en-US" w:eastAsia="zh-CN"/>
              </w:rPr>
              <w:t>1.6</w:t>
            </w:r>
            <w:r>
              <w:rPr>
                <w:color w:val="auto"/>
              </w:rPr>
              <w:t>对动物的影响</w:t>
            </w:r>
          </w:p>
          <w:p>
            <w:pPr>
              <w:bidi w:val="0"/>
              <w:rPr>
                <w:rFonts w:hint="default"/>
                <w:color w:val="auto"/>
              </w:rPr>
            </w:pPr>
            <w:r>
              <w:rPr>
                <w:rFonts w:hint="eastAsia"/>
                <w:color w:val="auto"/>
              </w:rPr>
              <w:t>本项目区内无珍贵动物栖息地，无动物迁徙路线途经本矿区，工程</w:t>
            </w:r>
            <w:r>
              <w:rPr>
                <w:color w:val="auto"/>
              </w:rPr>
              <w:t>建设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5"/>
              <w:bidi w:val="0"/>
              <w:rPr>
                <w:color w:val="auto"/>
              </w:rPr>
            </w:pPr>
            <w:r>
              <w:rPr>
                <w:rFonts w:hint="eastAsia"/>
                <w:color w:val="auto"/>
                <w:lang w:val="en-US" w:eastAsia="zh-CN"/>
              </w:rPr>
              <w:t>1.7</w:t>
            </w:r>
            <w:r>
              <w:rPr>
                <w:color w:val="auto"/>
              </w:rPr>
              <w:t>水土流失影响</w:t>
            </w:r>
          </w:p>
          <w:p>
            <w:pPr>
              <w:bidi w:val="0"/>
              <w:rPr>
                <w:rFonts w:hint="eastAsia" w:eastAsia="宋体"/>
                <w:color w:val="auto"/>
                <w:lang w:eastAsia="zh-CN"/>
              </w:rPr>
            </w:pPr>
            <w:r>
              <w:rPr>
                <w:color w:val="auto"/>
              </w:rPr>
              <w:t>水土保持设施是指水土保持工程措施、天然植被和人工林草等生物措施以及具有水土保持功能的原生地表。根据项目区相关资料及</w:t>
            </w:r>
            <w:r>
              <w:rPr>
                <w:rFonts w:hint="eastAsia"/>
                <w:color w:val="auto"/>
                <w:lang w:eastAsia="zh-CN"/>
              </w:rPr>
              <w:t>现场勘查</w:t>
            </w:r>
            <w:r>
              <w:rPr>
                <w:color w:val="auto"/>
              </w:rPr>
              <w:t>情况分析，项目区</w:t>
            </w:r>
            <w:r>
              <w:rPr>
                <w:rFonts w:hint="eastAsia"/>
                <w:color w:val="auto"/>
                <w:lang w:eastAsia="zh-CN"/>
              </w:rPr>
              <w:t>生产</w:t>
            </w:r>
            <w:r>
              <w:rPr>
                <w:color w:val="auto"/>
              </w:rPr>
              <w:t>期损坏的水保设施为原地貌。损坏的水土保持设施面积与工程扰动地表面积相同。开挖及临时设施建设等将破坏原有相对稳定的地貌，使土壤结构疏松，作业带地表植被丧失，产生一定面积的裸露地面，遇降雨天气，</w:t>
            </w:r>
            <w:r>
              <w:rPr>
                <w:rFonts w:ascii="Segoe UI" w:hAnsi="Segoe UI" w:eastAsia="Segoe UI" w:cs="Segoe UI"/>
                <w:i w:val="0"/>
                <w:iCs w:val="0"/>
                <w:caps w:val="0"/>
                <w:spacing w:val="0"/>
                <w:sz w:val="24"/>
                <w:szCs w:val="24"/>
                <w:shd w:val="clear" w:fill="FFFFFF"/>
              </w:rPr>
              <w:t>雨水渗入采场边坡的花岗岩裂隙后，会增加岩体重量，同时降低岩体抗剪强度，易引发边坡崩塌、滑坡</w:t>
            </w:r>
            <w:r>
              <w:rPr>
                <w:rFonts w:hint="eastAsia" w:ascii="Segoe UI" w:hAnsi="Segoe UI" w:eastAsia="宋体" w:cs="Segoe UI"/>
                <w:i w:val="0"/>
                <w:iCs w:val="0"/>
                <w:caps w:val="0"/>
                <w:spacing w:val="0"/>
                <w:sz w:val="24"/>
                <w:szCs w:val="24"/>
                <w:shd w:val="clear" w:fill="FFFFFF"/>
                <w:lang w:eastAsia="zh-CN"/>
              </w:rPr>
              <w:t>。</w:t>
            </w:r>
          </w:p>
          <w:p>
            <w:pPr>
              <w:pStyle w:val="5"/>
              <w:bidi w:val="0"/>
              <w:rPr>
                <w:color w:val="auto"/>
              </w:rPr>
            </w:pPr>
            <w:r>
              <w:rPr>
                <w:rFonts w:hint="eastAsia"/>
                <w:color w:val="auto"/>
                <w:lang w:val="en-US" w:eastAsia="zh-CN"/>
              </w:rPr>
              <w:t>2、</w:t>
            </w:r>
            <w:r>
              <w:rPr>
                <w:color w:val="auto"/>
              </w:rPr>
              <w:t>大气污染源</w:t>
            </w:r>
            <w:r>
              <w:rPr>
                <w:rFonts w:hint="eastAsia"/>
                <w:color w:val="auto"/>
              </w:rPr>
              <w:t>及影响分析</w:t>
            </w:r>
          </w:p>
          <w:p>
            <w:pPr>
              <w:pStyle w:val="71"/>
              <w:ind w:firstLine="480"/>
              <w:rPr>
                <w:color w:val="auto"/>
              </w:rPr>
            </w:pPr>
            <w:r>
              <w:rPr>
                <w:rFonts w:hint="eastAsia"/>
                <w:color w:val="auto"/>
              </w:rPr>
              <w:t>本次矿区运营过程中</w:t>
            </w:r>
            <w:r>
              <w:rPr>
                <w:color w:val="auto"/>
              </w:rPr>
              <w:t>大气污染源主要来自于</w:t>
            </w:r>
            <w:r>
              <w:rPr>
                <w:rFonts w:hint="eastAsia"/>
                <w:color w:val="auto"/>
                <w:lang w:eastAsia="zh-CN"/>
              </w:rPr>
              <w:t>表层剥离、钻孔、锯切等</w:t>
            </w:r>
            <w:r>
              <w:rPr>
                <w:color w:val="auto"/>
              </w:rPr>
              <w:t>产生的粉尘、矿石运输过程中产生的扬尘。</w:t>
            </w:r>
          </w:p>
          <w:p>
            <w:pPr>
              <w:pStyle w:val="71"/>
              <w:ind w:firstLine="480"/>
              <w:rPr>
                <w:color w:val="auto"/>
              </w:rPr>
            </w:pPr>
            <w:r>
              <w:rPr>
                <w:rFonts w:hint="eastAsia"/>
                <w:color w:val="auto"/>
              </w:rPr>
              <w:t>（1）</w:t>
            </w:r>
            <w:r>
              <w:rPr>
                <w:rFonts w:hint="eastAsia"/>
                <w:color w:val="auto"/>
                <w:lang w:eastAsia="zh-CN"/>
              </w:rPr>
              <w:t>剥离</w:t>
            </w:r>
            <w:r>
              <w:rPr>
                <w:color w:val="auto"/>
              </w:rPr>
              <w:t>粉尘</w:t>
            </w:r>
          </w:p>
          <w:p>
            <w:pPr>
              <w:ind w:firstLine="480"/>
              <w:rPr>
                <w:color w:val="auto"/>
              </w:rPr>
            </w:pPr>
            <w:r>
              <w:rPr>
                <w:rFonts w:hint="eastAsia"/>
                <w:color w:val="auto"/>
              </w:rPr>
              <w:t>矿体表面的</w:t>
            </w:r>
            <w:r>
              <w:rPr>
                <w:rFonts w:hint="eastAsia"/>
                <w:color w:val="auto"/>
                <w:lang w:val="en-US" w:eastAsia="zh-CN"/>
              </w:rPr>
              <w:t>表土和废石</w:t>
            </w:r>
            <w:r>
              <w:rPr>
                <w:rFonts w:hint="eastAsia"/>
                <w:color w:val="auto"/>
              </w:rPr>
              <w:t>进行剥离</w:t>
            </w:r>
            <w:r>
              <w:rPr>
                <w:rFonts w:hint="eastAsia"/>
                <w:color w:val="auto"/>
                <w:lang w:eastAsia="zh-CN"/>
              </w:rPr>
              <w:t>，剥离量约</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lang w:val="en-US" w:eastAsia="zh-CN"/>
              </w:rPr>
              <w:t>1.95</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/a（密度约1.2～1.4t/m</w:t>
            </w:r>
            <w:r>
              <w:rPr>
                <w:rFonts w:hint="eastAsia"/>
                <w:color w:val="auto"/>
                <w:vertAlign w:val="superscript"/>
                <w:lang w:val="en-US" w:eastAsia="zh-CN"/>
              </w:rPr>
              <w:t>3</w:t>
            </w:r>
            <w:r>
              <w:rPr>
                <w:rFonts w:hint="eastAsia"/>
                <w:color w:val="auto"/>
                <w:vertAlign w:val="baseline"/>
                <w:lang w:val="en-US" w:eastAsia="zh-CN"/>
              </w:rPr>
              <w:t>，本项目取值1.3</w:t>
            </w:r>
            <w:r>
              <w:rPr>
                <w:rFonts w:hint="eastAsia"/>
                <w:color w:val="auto"/>
                <w:lang w:val="en-US" w:eastAsia="zh-CN"/>
              </w:rPr>
              <w:t>t/m</w:t>
            </w:r>
            <w:r>
              <w:rPr>
                <w:rFonts w:hint="eastAsia"/>
                <w:color w:val="auto"/>
                <w:vertAlign w:val="superscript"/>
                <w:lang w:val="en-US" w:eastAsia="zh-CN"/>
              </w:rPr>
              <w:t>3</w:t>
            </w:r>
            <w:r>
              <w:rPr>
                <w:rFonts w:hint="eastAsia"/>
                <w:color w:val="auto"/>
                <w:vertAlign w:val="baseline"/>
                <w:lang w:val="en-US" w:eastAsia="zh-CN"/>
              </w:rPr>
              <w:t>，表土</w:t>
            </w:r>
            <w:r>
              <w:rPr>
                <w:rFonts w:hint="eastAsia"/>
                <w:color w:val="auto"/>
                <w:lang w:eastAsia="zh-CN"/>
              </w:rPr>
              <w:t>，剥离量约</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lang w:val="en-US" w:eastAsia="zh-CN"/>
              </w:rPr>
              <w:t>2.535</w:t>
            </w:r>
            <w:r>
              <w:rPr>
                <w:rFonts w:hint="eastAsia"/>
                <w:color w:val="auto"/>
                <w:lang w:val="en-US" w:eastAsia="zh-CN"/>
              </w:rPr>
              <w:t>万t/a），</w:t>
            </w:r>
            <w:r>
              <w:rPr>
                <w:rFonts w:hint="eastAsia"/>
                <w:color w:val="auto"/>
              </w:rPr>
              <w:t>参考《逸散性工业粉尘控制技术》（中国环境科学出版社出版、1989年12月第一版）四、矿物开采中表1-16，并结合本项目矿体特征及实际开采情况，剥离粉尘产生量取0.025kg/t，</w:t>
            </w:r>
            <w:r>
              <w:rPr>
                <w:color w:val="auto"/>
              </w:rPr>
              <w:t>则无组织粉尘产生量约为</w:t>
            </w:r>
            <w:r>
              <w:rPr>
                <w:rFonts w:hint="eastAsia"/>
                <w:color w:val="auto"/>
                <w:lang w:val="en-US" w:eastAsia="zh-CN"/>
              </w:rPr>
              <w:t>0.634</w:t>
            </w:r>
            <w:r>
              <w:rPr>
                <w:color w:val="auto"/>
              </w:rPr>
              <w:t>t/a，</w:t>
            </w:r>
            <w:r>
              <w:rPr>
                <w:rFonts w:hint="eastAsia"/>
                <w:color w:val="auto"/>
                <w:lang w:val="en-US" w:eastAsia="zh-CN"/>
              </w:rPr>
              <w:t>剥离过程可采取</w:t>
            </w:r>
            <w:r>
              <w:rPr>
                <w:color w:val="auto"/>
              </w:rPr>
              <w:t>洒水抑尘，可有效抑制粉尘产生</w:t>
            </w:r>
            <w:r>
              <w:rPr>
                <w:rFonts w:hint="eastAsia"/>
                <w:color w:val="auto"/>
                <w:lang w:eastAsia="zh-CN"/>
              </w:rPr>
              <w:t>（</w:t>
            </w:r>
            <w:r>
              <w:rPr>
                <w:color w:val="auto"/>
              </w:rPr>
              <w:t>效率</w:t>
            </w:r>
            <w:r>
              <w:rPr>
                <w:rFonts w:hint="eastAsia"/>
                <w:color w:val="auto"/>
                <w:lang w:val="en-US" w:eastAsia="zh-CN"/>
              </w:rPr>
              <w:t>74</w:t>
            </w:r>
            <w:r>
              <w:rPr>
                <w:color w:val="auto"/>
              </w:rPr>
              <w:t>%</w:t>
            </w:r>
            <w:r>
              <w:rPr>
                <w:rFonts w:hint="eastAsia"/>
                <w:color w:val="auto"/>
                <w:lang w:eastAsia="zh-CN"/>
              </w:rPr>
              <w:t>）</w:t>
            </w:r>
            <w:r>
              <w:rPr>
                <w:color w:val="auto"/>
              </w:rPr>
              <w:t>则年排放</w:t>
            </w:r>
            <w:r>
              <w:rPr>
                <w:rFonts w:hint="eastAsia"/>
                <w:color w:val="auto"/>
                <w:lang w:val="en-US" w:eastAsia="zh-CN"/>
              </w:rPr>
              <w:t>0.165</w:t>
            </w:r>
            <w:r>
              <w:rPr>
                <w:color w:val="auto"/>
              </w:rPr>
              <w:t>t/a粉尘。</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）锯切粉尘</w:t>
            </w:r>
          </w:p>
          <w:p>
            <w:pPr>
              <w:bidi w:val="0"/>
              <w:rPr>
                <w:rFonts w:hint="default"/>
                <w:color w:val="auto"/>
                <w:lang w:val="en-US" w:eastAsia="zh-CN"/>
              </w:rPr>
            </w:pPr>
            <w:r>
              <w:rPr>
                <w:rFonts w:hint="eastAsia"/>
                <w:color w:val="auto"/>
                <w:lang w:val="en-US" w:eastAsia="zh-CN"/>
              </w:rPr>
              <w:t>本项目采用湿法切锯，粉尘产生量较少，参考《排放源统计调查产排污核算方法和系数手册》（</w:t>
            </w:r>
            <w:r>
              <w:rPr>
                <w:rFonts w:hint="default"/>
                <w:color w:val="auto"/>
                <w:lang w:val="en-US" w:eastAsia="zh-CN"/>
              </w:rPr>
              <w:t>1012 建筑装饰用石开采行业系数手册</w:t>
            </w:r>
            <w:r>
              <w:rPr>
                <w:rFonts w:hint="eastAsia"/>
                <w:color w:val="auto"/>
                <w:lang w:val="en-US" w:eastAsia="zh-CN"/>
              </w:rPr>
              <w:t>）中无废气产生系数，粉尘可忽略不计。</w:t>
            </w:r>
          </w:p>
          <w:p>
            <w:pPr>
              <w:numPr>
                <w:ilvl w:val="0"/>
                <w:numId w:val="0"/>
              </w:numPr>
              <w:ind w:leftChars="20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）钻孔粉尘</w:t>
            </w:r>
          </w:p>
          <w:p>
            <w:pPr>
              <w:adjustRightInd w:val="0"/>
              <w:snapToGrid w:val="0"/>
              <w:spacing w:line="360" w:lineRule="auto"/>
              <w:ind w:firstLine="480" w:firstLineChars="200"/>
              <w:rPr>
                <w:color w:val="auto"/>
              </w:rPr>
            </w:pPr>
            <w:r>
              <w:rPr>
                <w:rFonts w:hint="eastAsia"/>
                <w:color w:val="auto"/>
              </w:rPr>
              <w:t>凿岩钻孔时钻头撞击岩石产生粉尘，</w:t>
            </w:r>
            <w:r>
              <w:rPr>
                <w:rFonts w:hint="eastAsia"/>
                <w:color w:val="auto"/>
                <w:lang w:eastAsia="zh-CN"/>
              </w:rPr>
              <w:t>根据</w:t>
            </w:r>
            <w:r>
              <w:rPr>
                <w:color w:val="auto"/>
              </w:rPr>
              <w:t>《逸散性工业粉尘控制技术》（中国环境科学出版社出版、1989年12月第一版）四、矿物的开采中表1-17钻孔作业中的逸散尘排放因子</w:t>
            </w:r>
            <w:r>
              <w:rPr>
                <w:rFonts w:hint="eastAsia"/>
                <w:color w:val="auto"/>
              </w:rPr>
              <w:t>，钻孔无组织粉尘排放</w:t>
            </w:r>
            <w:r>
              <w:rPr>
                <w:rFonts w:hint="eastAsia"/>
                <w:color w:val="auto"/>
                <w:lang w:eastAsia="zh-CN"/>
              </w:rPr>
              <w:t>量</w:t>
            </w:r>
            <w:r>
              <w:rPr>
                <w:rFonts w:hint="eastAsia"/>
                <w:color w:val="auto"/>
              </w:rPr>
              <w:t>为0.004kg/t，每年</w:t>
            </w:r>
            <w:r>
              <w:rPr>
                <w:rFonts w:hint="eastAsia"/>
                <w:color w:val="auto"/>
                <w:lang w:val="en-US" w:eastAsia="zh-CN"/>
              </w:rPr>
              <w:t>矿石</w:t>
            </w:r>
            <w:r>
              <w:rPr>
                <w:rFonts w:hint="eastAsia"/>
                <w:color w:val="auto"/>
              </w:rPr>
              <w:t>开采</w:t>
            </w:r>
            <w:r>
              <w:rPr>
                <w:rFonts w:hint="eastAsia"/>
                <w:color w:val="auto"/>
                <w:lang w:eastAsia="zh-CN"/>
              </w:rPr>
              <w:t>量</w:t>
            </w:r>
            <w:r>
              <w:rPr>
                <w:rFonts w:hint="eastAsia"/>
                <w:color w:val="auto"/>
                <w:lang w:val="en-US" w:eastAsia="zh-CN"/>
              </w:rPr>
              <w:t>6.99</w:t>
            </w:r>
            <w:r>
              <w:rPr>
                <w:rFonts w:hint="eastAsia"/>
                <w:color w:val="auto"/>
              </w:rPr>
              <w:t>万</w:t>
            </w:r>
            <w:r>
              <w:rPr>
                <w:rFonts w:hint="eastAsia"/>
                <w:color w:val="auto"/>
                <w:lang w:val="en-US" w:eastAsia="zh-CN"/>
              </w:rPr>
              <w:t>m</w:t>
            </w:r>
            <w:r>
              <w:rPr>
                <w:rFonts w:hint="eastAsia"/>
                <w:color w:val="auto"/>
                <w:vertAlign w:val="superscript"/>
                <w:lang w:val="en-US" w:eastAsia="zh-CN"/>
              </w:rPr>
              <w:t>3</w:t>
            </w:r>
            <w:r>
              <w:rPr>
                <w:rFonts w:hint="eastAsia"/>
                <w:color w:val="auto"/>
              </w:rPr>
              <w:t>，</w:t>
            </w:r>
            <w:r>
              <w:rPr>
                <w:rFonts w:hint="eastAsia"/>
                <w:color w:val="auto"/>
                <w:lang w:eastAsia="zh-CN"/>
              </w:rPr>
              <w:t>密度为</w:t>
            </w:r>
            <w:r>
              <w:rPr>
                <w:rFonts w:hint="eastAsia"/>
                <w:color w:val="auto"/>
                <w:lang w:val="en-US" w:eastAsia="zh-CN"/>
              </w:rPr>
              <w:t>2790～3070kg/m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本项目花岗岩密度取3000kg/m</w:t>
            </w:r>
            <w:r>
              <w:rPr>
                <w:rFonts w:hint="eastAsia"/>
                <w:color w:val="auto"/>
                <w:vertAlign w:val="superscript"/>
                <w:lang w:val="en-US" w:eastAsia="zh-CN"/>
              </w:rPr>
              <w:t>3</w:t>
            </w:r>
            <w:r>
              <w:rPr>
                <w:rFonts w:hint="eastAsia"/>
                <w:color w:val="auto"/>
                <w:lang w:val="en-US" w:eastAsia="zh-CN"/>
              </w:rPr>
              <w:t>，</w:t>
            </w:r>
            <w:r>
              <w:rPr>
                <w:rFonts w:hint="eastAsia"/>
                <w:color w:val="auto"/>
              </w:rPr>
              <w:t>钻孔过程中粉尘产生量为</w:t>
            </w:r>
            <w:r>
              <w:rPr>
                <w:rFonts w:hint="eastAsia"/>
                <w:color w:val="auto"/>
                <w:lang w:val="en-US" w:eastAsia="zh-CN"/>
              </w:rPr>
              <w:t>0.839</w:t>
            </w:r>
            <w:r>
              <w:rPr>
                <w:rFonts w:hint="eastAsia"/>
                <w:color w:val="auto"/>
              </w:rPr>
              <w:t>t</w:t>
            </w:r>
            <w:r>
              <w:rPr>
                <w:rFonts w:hint="eastAsia"/>
                <w:color w:val="auto"/>
                <w:lang w:val="en-US" w:eastAsia="zh-CN"/>
              </w:rPr>
              <w:t>/a</w:t>
            </w:r>
            <w:r>
              <w:rPr>
                <w:rFonts w:hint="eastAsia"/>
                <w:color w:val="auto"/>
              </w:rPr>
              <w:t>。本项目采用湿式凿岩钻孔机可有效减少粉尘的产生，根据《控制露天矿钻机呼吸性粉尘的新技术》（赵玉凤，1988），湿式钻孔抑尘效率约为94%，则项目钻孔时扬尘排放量为</w:t>
            </w:r>
            <w:r>
              <w:rPr>
                <w:rFonts w:hint="eastAsia"/>
                <w:color w:val="auto"/>
                <w:lang w:val="en-US" w:eastAsia="zh-CN"/>
              </w:rPr>
              <w:t>0.050</w:t>
            </w:r>
            <w:r>
              <w:rPr>
                <w:rFonts w:hint="eastAsia"/>
                <w:color w:val="auto"/>
              </w:rPr>
              <w:t>t/a，以无组织形式面源排放。</w:t>
            </w:r>
          </w:p>
          <w:p>
            <w:pPr>
              <w:ind w:firstLine="48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运输扬尘</w:t>
            </w:r>
          </w:p>
          <w:p>
            <w:pPr>
              <w:ind w:firstLine="480"/>
              <w:rPr>
                <w:color w:val="auto"/>
              </w:rPr>
            </w:pPr>
            <w:r>
              <w:rPr>
                <w:color w:val="auto"/>
              </w:rPr>
              <w:t>运输转运粉尘按起尘的原因可分为风力起尘和动力起尘，运营期倒运、车辆运输均为动力起尘，动力起尘主要是在装卸、机械车辆行驶过程中，由于外力而产生的尘粒再悬浮而造成，其中机械车辆造成的扬尘最为严重。</w:t>
            </w:r>
            <w:r>
              <w:rPr>
                <w:rFonts w:hint="eastAsia"/>
                <w:color w:val="auto"/>
              </w:rPr>
              <w:t>车辆行驶产生的扬尘占总扬尘的60</w:t>
            </w:r>
            <w:r>
              <w:rPr>
                <w:rFonts w:hint="eastAsia"/>
                <w:color w:val="auto"/>
                <w:lang w:eastAsia="zh-CN"/>
              </w:rPr>
              <w:t>%以</w:t>
            </w:r>
            <w:r>
              <w:rPr>
                <w:rFonts w:hint="eastAsia"/>
                <w:color w:val="auto"/>
              </w:rPr>
              <w:t>上</w:t>
            </w:r>
            <w:r>
              <w:rPr>
                <w:rFonts w:hint="eastAsia"/>
                <w:color w:val="auto"/>
                <w:lang w:eastAsia="zh-CN"/>
              </w:rPr>
              <w:t>，</w:t>
            </w:r>
            <w:r>
              <w:rPr>
                <w:color w:val="auto"/>
              </w:rPr>
              <w:t>车辆行驶产生的扬尘，在完全干燥情况下，</w:t>
            </w:r>
            <w:r>
              <w:rPr>
                <w:rFonts w:hint="eastAsia"/>
                <w:color w:val="auto"/>
              </w:rPr>
              <w:t>采用上海港环境保护中心与原武汉水运学院提出的关于汽车在有散状物料的道路上的扬尘量经验公式</w:t>
            </w:r>
            <w:r>
              <w:rPr>
                <w:rFonts w:hint="eastAsia"/>
                <w:color w:val="auto"/>
                <w:lang w:eastAsia="zh-CN"/>
              </w:rPr>
              <w:t>计算</w:t>
            </w:r>
            <w:r>
              <w:rPr>
                <w:color w:val="auto"/>
              </w:rPr>
              <w:t>：</w:t>
            </w:r>
          </w:p>
          <w:p>
            <w:pPr>
              <w:pStyle w:val="9"/>
              <w:ind w:firstLine="480"/>
              <w:jc w:val="center"/>
              <w:rPr>
                <w:color w:val="auto"/>
              </w:rPr>
            </w:pPr>
            <w:r>
              <w:rPr>
                <w:color w:val="auto"/>
                <w:position w:val="-28"/>
              </w:rPr>
              <w:object>
                <v:shape id="_x0000_i1025" o:spt="75" type="#_x0000_t75" style="height:30.75pt;width:187.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pStyle w:val="9"/>
              <w:ind w:firstLine="480"/>
              <w:rPr>
                <w:color w:val="auto"/>
              </w:rPr>
            </w:pPr>
            <w:r>
              <w:rPr>
                <w:color w:val="auto"/>
              </w:rPr>
              <w:t>式中：Q——汽车行驶的扬尘，kg/km·辆；</w:t>
            </w:r>
          </w:p>
          <w:p>
            <w:pPr>
              <w:pStyle w:val="9"/>
              <w:ind w:firstLine="1200" w:firstLineChars="500"/>
              <w:rPr>
                <w:color w:val="auto"/>
              </w:rPr>
            </w:pPr>
            <w:r>
              <w:rPr>
                <w:color w:val="auto"/>
              </w:rPr>
              <w:t>V——汽车速度，</w:t>
            </w:r>
            <w:r>
              <w:rPr>
                <w:rFonts w:hint="eastAsia"/>
                <w:color w:val="auto"/>
              </w:rPr>
              <w:t>15</w:t>
            </w:r>
            <w:r>
              <w:rPr>
                <w:color w:val="auto"/>
              </w:rPr>
              <w:t>km/hr；</w:t>
            </w:r>
          </w:p>
          <w:p>
            <w:pPr>
              <w:pStyle w:val="9"/>
              <w:ind w:firstLine="1200" w:firstLineChars="500"/>
              <w:rPr>
                <w:color w:val="auto"/>
              </w:rPr>
            </w:pPr>
            <w:r>
              <w:rPr>
                <w:rFonts w:hint="eastAsia"/>
                <w:color w:val="auto"/>
              </w:rPr>
              <w:t>M</w:t>
            </w:r>
            <w:r>
              <w:rPr>
                <w:color w:val="auto"/>
              </w:rPr>
              <w:t>——汽车载重量，</w:t>
            </w:r>
            <w:r>
              <w:rPr>
                <w:rFonts w:hint="eastAsia"/>
                <w:color w:val="auto"/>
              </w:rPr>
              <w:t>32</w:t>
            </w:r>
            <w:r>
              <w:rPr>
                <w:color w:val="auto"/>
              </w:rPr>
              <w:t>t；</w:t>
            </w:r>
          </w:p>
          <w:p>
            <w:pPr>
              <w:pStyle w:val="9"/>
              <w:ind w:firstLine="1200" w:firstLineChars="500"/>
              <w:rPr>
                <w:color w:val="auto"/>
              </w:rPr>
            </w:pPr>
            <w:r>
              <w:rPr>
                <w:color w:val="auto"/>
              </w:rPr>
              <w:t>P——道路表面粉尘量，</w:t>
            </w:r>
            <w:r>
              <w:rPr>
                <w:rFonts w:hint="eastAsia"/>
                <w:color w:val="auto"/>
              </w:rPr>
              <w:t>0.1</w:t>
            </w:r>
            <w:r>
              <w:rPr>
                <w:color w:val="auto"/>
              </w:rPr>
              <w:t>kg/m</w:t>
            </w:r>
            <w:r>
              <w:rPr>
                <w:color w:val="auto"/>
                <w:vertAlign w:val="superscript"/>
              </w:rPr>
              <w:t>2</w:t>
            </w:r>
            <w:r>
              <w:rPr>
                <w:color w:val="auto"/>
              </w:rPr>
              <w:t>。</w:t>
            </w:r>
          </w:p>
          <w:p>
            <w:pPr>
              <w:bidi w:val="0"/>
              <w:rPr>
                <w:color w:val="auto"/>
              </w:rPr>
            </w:pPr>
            <w:r>
              <w:rPr>
                <w:color w:val="auto"/>
              </w:rPr>
              <w:t>本项目采用载重量</w:t>
            </w:r>
            <w:r>
              <w:rPr>
                <w:rFonts w:hint="eastAsia"/>
                <w:color w:val="auto"/>
              </w:rPr>
              <w:t>32</w:t>
            </w:r>
            <w:r>
              <w:rPr>
                <w:color w:val="auto"/>
              </w:rPr>
              <w:t>t的自卸货车运输</w:t>
            </w:r>
            <w:r>
              <w:rPr>
                <w:rFonts w:hint="eastAsia"/>
                <w:color w:val="auto"/>
                <w:lang w:eastAsia="zh-CN"/>
              </w:rPr>
              <w:t>荒料</w:t>
            </w:r>
            <w:r>
              <w:rPr>
                <w:color w:val="auto"/>
              </w:rPr>
              <w:t>。项目年</w:t>
            </w:r>
            <w:r>
              <w:rPr>
                <w:rFonts w:hint="eastAsia"/>
                <w:color w:val="auto"/>
              </w:rPr>
              <w:t>运输量约</w:t>
            </w:r>
            <w:r>
              <w:rPr>
                <w:rFonts w:hint="eastAsia"/>
                <w:color w:val="auto"/>
                <w:lang w:val="en-US" w:eastAsia="zh-CN"/>
              </w:rPr>
              <w:t>1.5</w:t>
            </w:r>
            <w:r>
              <w:rPr>
                <w:color w:val="auto"/>
              </w:rPr>
              <w:t>万</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（重量约45000t/a）</w:t>
            </w:r>
            <w:r>
              <w:rPr>
                <w:color w:val="auto"/>
              </w:rPr>
              <w:t>，</w:t>
            </w:r>
            <w:r>
              <w:rPr>
                <w:rFonts w:hint="eastAsia"/>
                <w:color w:val="auto"/>
              </w:rPr>
              <w:t>年运输</w:t>
            </w:r>
            <w:r>
              <w:rPr>
                <w:rFonts w:hint="eastAsia"/>
                <w:color w:val="auto"/>
                <w:lang w:val="en-US" w:eastAsia="zh-CN"/>
              </w:rPr>
              <w:t>1407</w:t>
            </w:r>
            <w:r>
              <w:rPr>
                <w:rFonts w:hint="eastAsia"/>
                <w:color w:val="auto"/>
              </w:rPr>
              <w:t>次，</w:t>
            </w:r>
            <w:r>
              <w:rPr>
                <w:rFonts w:hint="eastAsia"/>
                <w:color w:val="auto"/>
                <w:lang w:val="en-US" w:eastAsia="zh-CN"/>
              </w:rPr>
              <w:t>矿区内平均运输距离按1.5</w:t>
            </w:r>
            <w:r>
              <w:rPr>
                <w:rFonts w:hint="eastAsia"/>
                <w:color w:val="auto"/>
              </w:rPr>
              <w:t>km</w:t>
            </w:r>
            <w:r>
              <w:rPr>
                <w:rFonts w:hint="eastAsia"/>
                <w:color w:val="auto"/>
                <w:lang w:val="en-US" w:eastAsia="zh-CN"/>
              </w:rPr>
              <w:t>计算</w:t>
            </w:r>
            <w:r>
              <w:rPr>
                <w:rFonts w:hint="eastAsia"/>
                <w:color w:val="auto"/>
                <w:lang w:eastAsia="zh-CN"/>
              </w:rPr>
              <w:t>，</w:t>
            </w:r>
            <w:r>
              <w:rPr>
                <w:rFonts w:hint="eastAsia"/>
                <w:color w:val="auto"/>
              </w:rPr>
              <w:t>经计算</w:t>
            </w:r>
            <w:r>
              <w:rPr>
                <w:color w:val="auto"/>
              </w:rPr>
              <w:t>车辆</w:t>
            </w:r>
            <w:r>
              <w:rPr>
                <w:rFonts w:hint="eastAsia"/>
                <w:color w:val="auto"/>
              </w:rPr>
              <w:t>行驶扬尘为0.432</w:t>
            </w:r>
            <w:r>
              <w:rPr>
                <w:color w:val="auto"/>
              </w:rPr>
              <w:t>kg/km·辆</w:t>
            </w:r>
            <w:r>
              <w:rPr>
                <w:rFonts w:hint="eastAsia"/>
                <w:color w:val="auto"/>
              </w:rPr>
              <w:t>，则汽车</w:t>
            </w:r>
            <w:r>
              <w:rPr>
                <w:color w:val="auto"/>
              </w:rPr>
              <w:t>起尘量为</w:t>
            </w:r>
            <w:r>
              <w:rPr>
                <w:rFonts w:hint="eastAsia"/>
                <w:color w:val="auto"/>
                <w:lang w:val="en-US" w:eastAsia="zh-CN"/>
              </w:rPr>
              <w:t>0.912</w:t>
            </w:r>
            <w:r>
              <w:rPr>
                <w:color w:val="auto"/>
              </w:rPr>
              <w:t>t/a。由于扬尘粒径较大，85%以上的扬尘在道路两侧10m内沉降，道路扬尘主要影响其两侧附近的环境空气，以其15%外排计算，则扬尘排放量约</w:t>
            </w:r>
            <w:r>
              <w:rPr>
                <w:rFonts w:hint="eastAsia"/>
                <w:color w:val="auto"/>
                <w:lang w:val="en-US" w:eastAsia="zh-CN"/>
              </w:rPr>
              <w:t>0.137</w:t>
            </w:r>
            <w:r>
              <w:rPr>
                <w:color w:val="auto"/>
              </w:rPr>
              <w:t>t/a，建设单位拟采取道路压实、购置洒水车洒水、车辆限速等措施减少运输扬尘产生量，洒水抑尘率以</w:t>
            </w:r>
            <w:r>
              <w:rPr>
                <w:rFonts w:hint="eastAsia"/>
                <w:color w:val="auto"/>
                <w:lang w:val="en-US" w:eastAsia="zh-CN"/>
              </w:rPr>
              <w:t>74</w:t>
            </w:r>
            <w:r>
              <w:rPr>
                <w:color w:val="auto"/>
              </w:rPr>
              <w:t>%计，则最终运输扬尘排放量为</w:t>
            </w:r>
            <w:r>
              <w:rPr>
                <w:rFonts w:hint="eastAsia"/>
                <w:color w:val="auto"/>
                <w:lang w:val="en-US" w:eastAsia="zh-CN"/>
              </w:rPr>
              <w:t>0.036</w:t>
            </w:r>
            <w:r>
              <w:rPr>
                <w:color w:val="auto"/>
              </w:rPr>
              <w:t>t/a。</w:t>
            </w:r>
          </w:p>
          <w:p>
            <w:pPr>
              <w:numPr>
                <w:ilvl w:val="0"/>
                <w:numId w:val="0"/>
              </w:numPr>
              <w:bidi w:val="0"/>
              <w:ind w:left="480" w:leftChars="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矿石装卸及堆场</w:t>
            </w:r>
            <w:r>
              <w:rPr>
                <w:rFonts w:hint="eastAsia"/>
                <w:color w:val="auto"/>
              </w:rPr>
              <w:t>料粉尘</w:t>
            </w:r>
          </w:p>
          <w:p>
            <w:pPr>
              <w:ind w:firstLine="480"/>
              <w:rPr>
                <w:rFonts w:hint="eastAsia"/>
                <w:color w:val="auto"/>
              </w:rPr>
            </w:pPr>
            <w:r>
              <w:rPr>
                <w:rFonts w:hint="eastAsia"/>
                <w:color w:val="auto"/>
                <w:lang w:eastAsia="zh-CN"/>
              </w:rPr>
              <w:t>矿区开采均为</w:t>
            </w:r>
            <w:r>
              <w:rPr>
                <w:rFonts w:hint="eastAsia"/>
                <w:color w:val="auto"/>
                <w:lang w:val="en-US" w:eastAsia="zh-CN"/>
              </w:rPr>
              <w:t>大块荒料</w:t>
            </w:r>
            <w:r>
              <w:rPr>
                <w:rFonts w:hint="eastAsia"/>
                <w:color w:val="auto"/>
                <w:lang w:eastAsia="zh-CN"/>
              </w:rPr>
              <w:t>，运送至荒料堆场，</w:t>
            </w:r>
            <w:r>
              <w:rPr>
                <w:rFonts w:hint="eastAsia"/>
                <w:color w:val="auto"/>
                <w:lang w:val="en-US" w:eastAsia="zh-CN"/>
              </w:rPr>
              <w:t>由装载机进行堆放，荒料堆场场地定期洒水降尘，卸料粉尘可忽略不计</w:t>
            </w:r>
            <w:r>
              <w:rPr>
                <w:rFonts w:hint="eastAsia"/>
                <w:color w:val="auto"/>
              </w:rPr>
              <w:t>。</w:t>
            </w:r>
          </w:p>
          <w:p>
            <w:pPr>
              <w:bidi w:val="0"/>
              <w:rPr>
                <w:rFonts w:hint="eastAsia"/>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lang w:val="en-US" w:eastAsia="zh-CN"/>
              </w:rPr>
              <w:t>废石装卸、堆存粉尘</w:t>
            </w:r>
          </w:p>
          <w:p>
            <w:pPr>
              <w:bidi w:val="0"/>
              <w:rPr>
                <w:rFonts w:hint="eastAsia"/>
                <w:color w:val="auto"/>
                <w:lang w:val="en-US" w:eastAsia="zh-CN"/>
              </w:rPr>
            </w:pPr>
            <w:r>
              <w:rPr>
                <w:rFonts w:hint="eastAsia"/>
                <w:color w:val="auto"/>
                <w:lang w:val="en-US" w:eastAsia="zh-CN"/>
              </w:rPr>
              <w:t>废石堆场主要储存废石和不合格矿石，废石量产生1.95</w:t>
            </w:r>
            <w:r>
              <w:rPr>
                <w:rFonts w:hint="eastAsia" w:cs="Times New Roman"/>
                <w:color w:val="auto"/>
                <w:lang w:val="en-US" w:eastAsia="zh-CN"/>
              </w:rPr>
              <w:t>万m</w:t>
            </w:r>
            <w:r>
              <w:rPr>
                <w:rFonts w:hint="eastAsia" w:cs="Times New Roman"/>
                <w:color w:val="auto"/>
                <w:vertAlign w:val="superscript"/>
                <w:lang w:val="en-US" w:eastAsia="zh-CN"/>
              </w:rPr>
              <w:t>3</w:t>
            </w:r>
            <w:r>
              <w:rPr>
                <w:rFonts w:hint="eastAsia" w:cs="Times New Roman"/>
                <w:color w:val="auto"/>
                <w:lang w:val="en-US" w:eastAsia="zh-CN"/>
              </w:rPr>
              <w:t>/a（密度约2.8t/m</w:t>
            </w:r>
            <w:r>
              <w:rPr>
                <w:rFonts w:hint="eastAsia" w:cs="Times New Roman"/>
                <w:color w:val="auto"/>
                <w:vertAlign w:val="superscript"/>
                <w:lang w:val="en-US" w:eastAsia="zh-CN"/>
              </w:rPr>
              <w:t>3</w:t>
            </w:r>
            <w:r>
              <w:rPr>
                <w:rFonts w:hint="eastAsia" w:cs="Times New Roman"/>
                <w:color w:val="auto"/>
                <w:lang w:val="en-US" w:eastAsia="zh-CN"/>
              </w:rPr>
              <w:t>，54600t/a），不合格矿石产生量5.45万m</w:t>
            </w:r>
            <w:r>
              <w:rPr>
                <w:rFonts w:hint="eastAsia" w:cs="Times New Roman"/>
                <w:color w:val="auto"/>
                <w:vertAlign w:val="superscript"/>
                <w:lang w:val="en-US" w:eastAsia="zh-CN"/>
              </w:rPr>
              <w:t>3</w:t>
            </w:r>
            <w:r>
              <w:rPr>
                <w:rFonts w:hint="eastAsia" w:cs="Times New Roman"/>
                <w:color w:val="auto"/>
                <w:lang w:val="en-US" w:eastAsia="zh-CN"/>
              </w:rPr>
              <w:t>/a（密度约3t/m</w:t>
            </w:r>
            <w:r>
              <w:rPr>
                <w:rFonts w:hint="eastAsia" w:cs="Times New Roman"/>
                <w:color w:val="auto"/>
                <w:vertAlign w:val="superscript"/>
                <w:lang w:val="en-US" w:eastAsia="zh-CN"/>
              </w:rPr>
              <w:t>3</w:t>
            </w:r>
            <w:r>
              <w:rPr>
                <w:rFonts w:hint="eastAsia" w:cs="Times New Roman"/>
                <w:color w:val="auto"/>
                <w:lang w:val="en-US" w:eastAsia="zh-CN"/>
              </w:rPr>
              <w:t>，163500t/a）。在装卸和堆存过程中产生粉尘，采取洒水抑尘的措施。</w:t>
            </w:r>
            <w:r>
              <w:rPr>
                <w:rFonts w:hint="eastAsia"/>
                <w:color w:val="auto"/>
                <w:lang w:val="en-US" w:eastAsia="zh-CN"/>
              </w:rPr>
              <w:t>参考《排放源统计调查排放核算方法和系数手册》中固体物料堆存颗粒物产排污核算系数手册中颗粒物产生量，核算公式如下：</w:t>
            </w:r>
          </w:p>
          <w:p>
            <w:pPr>
              <w:bidi w:val="0"/>
              <w:rPr>
                <w:rFonts w:hint="eastAsia"/>
                <w:color w:val="auto"/>
                <w:lang w:val="en-US" w:eastAsia="zh-CN"/>
              </w:rPr>
            </w:pPr>
            <w:r>
              <w:rPr>
                <w:rFonts w:hint="default"/>
                <w:color w:val="auto"/>
              </w:rPr>
              <w:drawing>
                <wp:inline distT="0" distB="0" distL="114300" distR="114300">
                  <wp:extent cx="3800475" cy="2667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rcRect t="17551" b="25307"/>
                          <a:stretch>
                            <a:fillRect/>
                          </a:stretch>
                        </pic:blipFill>
                        <pic:spPr>
                          <a:xfrm>
                            <a:off x="0" y="0"/>
                            <a:ext cx="3800475" cy="26670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式中：P 指颗粒物产生量（单位：吨）；</w:t>
            </w:r>
          </w:p>
          <w:p>
            <w:pPr>
              <w:bidi w:val="0"/>
              <w:ind w:firstLine="1200" w:firstLineChars="500"/>
              <w:rPr>
                <w:rFonts w:hint="eastAsia"/>
                <w:color w:val="auto"/>
                <w:lang w:val="en-US" w:eastAsia="zh-CN"/>
              </w:rPr>
            </w:pPr>
            <w:r>
              <w:rPr>
                <w:rFonts w:hint="eastAsia"/>
                <w:color w:val="auto"/>
                <w:lang w:val="en-US" w:eastAsia="zh-CN"/>
              </w:rPr>
              <w:t>ZC</w:t>
            </w:r>
            <w:r>
              <w:rPr>
                <w:rFonts w:hint="eastAsia"/>
                <w:color w:val="auto"/>
                <w:vertAlign w:val="subscript"/>
                <w:lang w:val="en-US" w:eastAsia="zh-CN"/>
              </w:rPr>
              <w:t>y</w:t>
            </w:r>
            <w:r>
              <w:rPr>
                <w:rFonts w:hint="eastAsia"/>
                <w:color w:val="auto"/>
                <w:lang w:val="en-US" w:eastAsia="zh-CN"/>
              </w:rPr>
              <w:t>指装卸扬尘产生量（单位：吨）；</w:t>
            </w:r>
          </w:p>
          <w:p>
            <w:pPr>
              <w:bidi w:val="0"/>
              <w:ind w:firstLine="1200" w:firstLineChars="500"/>
              <w:rPr>
                <w:rFonts w:hint="eastAsia"/>
                <w:color w:val="auto"/>
                <w:lang w:val="en-US" w:eastAsia="zh-CN"/>
              </w:rPr>
            </w:pPr>
            <w:r>
              <w:rPr>
                <w:rFonts w:hint="eastAsia"/>
                <w:color w:val="auto"/>
                <w:lang w:val="en-US" w:eastAsia="zh-CN"/>
              </w:rPr>
              <w:t>FC</w:t>
            </w:r>
            <w:r>
              <w:rPr>
                <w:rFonts w:hint="eastAsia"/>
                <w:color w:val="auto"/>
                <w:vertAlign w:val="subscript"/>
                <w:lang w:val="en-US" w:eastAsia="zh-CN"/>
              </w:rPr>
              <w:t>y</w:t>
            </w:r>
            <w:r>
              <w:rPr>
                <w:rFonts w:hint="eastAsia"/>
                <w:color w:val="auto"/>
                <w:lang w:val="en-US" w:eastAsia="zh-CN"/>
              </w:rPr>
              <w:t>指风蚀扬尘产生量（单位：吨）；</w:t>
            </w:r>
          </w:p>
          <w:p>
            <w:pPr>
              <w:bidi w:val="0"/>
              <w:ind w:firstLine="1200" w:firstLineChars="500"/>
              <w:rPr>
                <w:rFonts w:hint="eastAsia"/>
                <w:color w:val="auto"/>
                <w:lang w:val="en-US" w:eastAsia="zh-CN"/>
              </w:rPr>
            </w:pPr>
            <w:r>
              <w:rPr>
                <w:rFonts w:hint="eastAsia"/>
                <w:color w:val="auto"/>
                <w:lang w:val="en-US" w:eastAsia="zh-CN"/>
              </w:rPr>
              <w:t>N</w:t>
            </w:r>
            <w:r>
              <w:rPr>
                <w:rFonts w:hint="eastAsia"/>
                <w:color w:val="auto"/>
                <w:vertAlign w:val="subscript"/>
                <w:lang w:val="en-US" w:eastAsia="zh-CN"/>
              </w:rPr>
              <w:t>c</w:t>
            </w:r>
            <w:r>
              <w:rPr>
                <w:rFonts w:hint="eastAsia"/>
                <w:color w:val="auto"/>
                <w:lang w:val="en-US" w:eastAsia="zh-CN"/>
              </w:rPr>
              <w:t>指年物料运载车次（单位：车），取：10905车；</w:t>
            </w:r>
          </w:p>
          <w:p>
            <w:pPr>
              <w:bidi w:val="0"/>
              <w:ind w:firstLine="1200" w:firstLineChars="500"/>
              <w:rPr>
                <w:rFonts w:hint="eastAsia"/>
                <w:color w:val="auto"/>
                <w:lang w:val="en-US" w:eastAsia="zh-CN"/>
              </w:rPr>
            </w:pPr>
            <w:r>
              <w:rPr>
                <w:rFonts w:hint="eastAsia"/>
                <w:color w:val="auto"/>
                <w:lang w:val="en-US" w:eastAsia="zh-CN"/>
              </w:rPr>
              <w:t>D 指单车平均运载量（单位：吨/车），20吨/车；</w:t>
            </w:r>
          </w:p>
          <w:p>
            <w:pPr>
              <w:bidi w:val="0"/>
              <w:rPr>
                <w:rFonts w:hint="default"/>
                <w:color w:val="auto"/>
                <w:lang w:val="en-US" w:eastAsia="zh-CN"/>
              </w:rPr>
            </w:pPr>
            <w:r>
              <w:rPr>
                <w:rFonts w:hint="eastAsia"/>
                <w:color w:val="auto"/>
                <w:lang w:val="en-US" w:eastAsia="zh-CN"/>
              </w:rPr>
              <w:t>（a/b）指装卸扬尘概化系数（单位：千克/吨），a 指各省风速概化系数，取0.0011，b 指物料含水率概化系数，取0.0064；取值0.172</w:t>
            </w:r>
          </w:p>
          <w:p>
            <w:pPr>
              <w:bidi w:val="0"/>
              <w:ind w:firstLine="960" w:firstLineChars="400"/>
              <w:rPr>
                <w:rFonts w:hint="eastAsia"/>
                <w:color w:val="auto"/>
                <w:lang w:val="en-US" w:eastAsia="zh-CN"/>
              </w:rPr>
            </w:pPr>
            <w:r>
              <w:rPr>
                <w:rFonts w:hint="eastAsia"/>
                <w:color w:val="auto"/>
                <w:lang w:val="en-US" w:eastAsia="zh-CN"/>
              </w:rPr>
              <w:t>E</w:t>
            </w:r>
            <w:r>
              <w:rPr>
                <w:rFonts w:hint="eastAsia"/>
                <w:color w:val="auto"/>
                <w:vertAlign w:val="subscript"/>
                <w:lang w:val="en-US" w:eastAsia="zh-CN"/>
              </w:rPr>
              <w:t>f</w:t>
            </w:r>
            <w:r>
              <w:rPr>
                <w:rFonts w:hint="eastAsia"/>
                <w:color w:val="auto"/>
                <w:lang w:val="en-US" w:eastAsia="zh-CN"/>
              </w:rPr>
              <w:t>指堆场风蚀扬尘概化系数，取0（单位：千克/平方米）；</w:t>
            </w:r>
          </w:p>
          <w:p>
            <w:pPr>
              <w:bidi w:val="0"/>
              <w:ind w:firstLine="960" w:firstLineChars="400"/>
              <w:rPr>
                <w:rFonts w:hint="eastAsia"/>
                <w:color w:val="auto"/>
                <w:lang w:val="en-US" w:eastAsia="zh-CN"/>
              </w:rPr>
            </w:pPr>
            <w:r>
              <w:rPr>
                <w:rFonts w:hint="eastAsia"/>
                <w:color w:val="auto"/>
                <w:lang w:val="en-US" w:eastAsia="zh-CN"/>
              </w:rPr>
              <w:t>S 指堆场占地面积，取100800（单位：平方米）。</w:t>
            </w:r>
          </w:p>
          <w:p>
            <w:pPr>
              <w:bidi w:val="0"/>
              <w:rPr>
                <w:rFonts w:hint="eastAsia"/>
                <w:color w:val="auto"/>
                <w:lang w:val="en-US" w:eastAsia="zh-CN"/>
              </w:rPr>
            </w:pPr>
            <w:r>
              <w:rPr>
                <w:rFonts w:hint="eastAsia"/>
                <w:color w:val="auto"/>
                <w:lang w:val="en-US" w:eastAsia="zh-CN"/>
              </w:rPr>
              <w:t>经计算，本项目废石堆存过程中堆存粉尘产生量为37.513吨。</w:t>
            </w:r>
          </w:p>
          <w:p>
            <w:pPr>
              <w:bidi w:val="0"/>
              <w:rPr>
                <w:rFonts w:hint="eastAsia"/>
                <w:color w:val="auto"/>
                <w:lang w:val="en-US" w:eastAsia="zh-CN"/>
              </w:rPr>
            </w:pPr>
            <w:r>
              <w:rPr>
                <w:rFonts w:hint="eastAsia"/>
                <w:color w:val="auto"/>
                <w:lang w:val="en-US" w:eastAsia="zh-CN"/>
              </w:rPr>
              <w:t>颗粒物排放量核算公式如下：</w:t>
            </w:r>
          </w:p>
          <w:p>
            <w:pPr>
              <w:bidi w:val="0"/>
              <w:jc w:val="center"/>
              <w:rPr>
                <w:rFonts w:hint="eastAsia"/>
                <w:color w:val="auto"/>
                <w:lang w:val="en-US" w:eastAsia="zh-CN"/>
              </w:rPr>
            </w:pPr>
            <w:r>
              <w:rPr>
                <w:rFonts w:hint="default"/>
                <w:color w:val="auto"/>
              </w:rPr>
              <w:drawing>
                <wp:inline distT="0" distB="0" distL="114300" distR="114300">
                  <wp:extent cx="2476500" cy="2286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rcRect t="17545" b="19298"/>
                          <a:stretch>
                            <a:fillRect/>
                          </a:stretch>
                        </pic:blipFill>
                        <pic:spPr>
                          <a:xfrm>
                            <a:off x="0" y="0"/>
                            <a:ext cx="2476500" cy="22860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式中：P 指颗粒物产生量，取37.513（单位：吨）；</w:t>
            </w:r>
          </w:p>
          <w:p>
            <w:pPr>
              <w:bidi w:val="0"/>
              <w:ind w:firstLine="1200" w:firstLineChars="500"/>
              <w:rPr>
                <w:rFonts w:hint="eastAsia"/>
                <w:color w:val="auto"/>
                <w:lang w:val="en-US" w:eastAsia="zh-CN"/>
              </w:rPr>
            </w:pPr>
            <w:r>
              <w:rPr>
                <w:rFonts w:hint="eastAsia"/>
                <w:color w:val="auto"/>
                <w:lang w:val="en-US" w:eastAsia="zh-CN"/>
              </w:rPr>
              <w:t>U</w:t>
            </w:r>
            <w:r>
              <w:rPr>
                <w:rFonts w:hint="eastAsia"/>
                <w:color w:val="auto"/>
                <w:vertAlign w:val="subscript"/>
                <w:lang w:val="en-US" w:eastAsia="zh-CN"/>
              </w:rPr>
              <w:t>c</w:t>
            </w:r>
            <w:r>
              <w:rPr>
                <w:rFonts w:hint="eastAsia"/>
                <w:color w:val="auto"/>
                <w:lang w:val="en-US" w:eastAsia="zh-CN"/>
              </w:rPr>
              <w:t>指颗粒物排放量（单位：吨）；</w:t>
            </w:r>
          </w:p>
          <w:p>
            <w:pPr>
              <w:bidi w:val="0"/>
              <w:ind w:firstLine="1200" w:firstLineChars="500"/>
              <w:rPr>
                <w:rFonts w:hint="eastAsia"/>
                <w:color w:val="auto"/>
                <w:lang w:val="en-US" w:eastAsia="zh-CN"/>
              </w:rPr>
            </w:pPr>
            <w:r>
              <w:rPr>
                <w:rFonts w:hint="eastAsia"/>
                <w:color w:val="auto"/>
                <w:lang w:val="en-US" w:eastAsia="zh-CN"/>
              </w:rPr>
              <w:t>C</w:t>
            </w:r>
            <w:r>
              <w:rPr>
                <w:rFonts w:hint="eastAsia"/>
                <w:color w:val="auto"/>
                <w:vertAlign w:val="subscript"/>
                <w:lang w:val="en-US" w:eastAsia="zh-CN"/>
              </w:rPr>
              <w:t>m</w:t>
            </w:r>
            <w:r>
              <w:rPr>
                <w:rFonts w:hint="eastAsia"/>
                <w:color w:val="auto"/>
                <w:lang w:val="en-US" w:eastAsia="zh-CN"/>
              </w:rPr>
              <w:t>指颗粒物控制措施控制效率，取74%（单位：%）；</w:t>
            </w:r>
          </w:p>
          <w:p>
            <w:pPr>
              <w:bidi w:val="0"/>
              <w:ind w:firstLine="1200" w:firstLineChars="500"/>
              <w:rPr>
                <w:rFonts w:hint="eastAsia"/>
                <w:color w:val="auto"/>
                <w:lang w:val="en-US" w:eastAsia="zh-CN"/>
              </w:rPr>
            </w:pPr>
            <w:r>
              <w:rPr>
                <w:rFonts w:hint="eastAsia"/>
                <w:color w:val="auto"/>
                <w:lang w:val="en-US" w:eastAsia="zh-CN"/>
              </w:rPr>
              <w:t>T</w:t>
            </w:r>
            <w:r>
              <w:rPr>
                <w:rFonts w:hint="eastAsia"/>
                <w:color w:val="auto"/>
                <w:vertAlign w:val="subscript"/>
                <w:lang w:val="en-US" w:eastAsia="zh-CN"/>
              </w:rPr>
              <w:t>m</w:t>
            </w:r>
            <w:r>
              <w:rPr>
                <w:rFonts w:hint="eastAsia"/>
                <w:color w:val="auto"/>
                <w:lang w:val="en-US" w:eastAsia="zh-CN"/>
              </w:rPr>
              <w:t>指堆场类型控制效率，取0（单位：%）。</w:t>
            </w:r>
          </w:p>
          <w:p>
            <w:pPr>
              <w:bidi w:val="0"/>
              <w:rPr>
                <w:rFonts w:hint="eastAsia"/>
                <w:color w:val="auto"/>
                <w:lang w:val="en-US" w:eastAsia="zh-CN"/>
              </w:rPr>
            </w:pPr>
            <w:r>
              <w:rPr>
                <w:rFonts w:hint="eastAsia"/>
                <w:color w:val="auto"/>
                <w:lang w:val="en-US" w:eastAsia="zh-CN"/>
              </w:rPr>
              <w:t>经计算，本项目废石装卸、堆存过程中粉尘排放量为9.753吨。</w:t>
            </w:r>
          </w:p>
          <w:p>
            <w:pPr>
              <w:bidi w:val="0"/>
              <w:rPr>
                <w:rFonts w:hint="eastAsia"/>
                <w:color w:val="auto"/>
                <w:lang w:val="en-US" w:eastAsia="zh-CN"/>
              </w:rPr>
            </w:pPr>
            <w:r>
              <w:rPr>
                <w:rFonts w:hint="eastAsia"/>
                <w:color w:val="auto"/>
                <w:lang w:val="en-US" w:eastAsia="zh-CN"/>
              </w:rPr>
              <w:t>（7）机械设备燃料废气</w:t>
            </w:r>
          </w:p>
          <w:p>
            <w:pPr>
              <w:bidi w:val="0"/>
              <w:rPr>
                <w:rFonts w:hint="eastAsia"/>
                <w:color w:val="auto"/>
              </w:rPr>
            </w:pPr>
            <w:r>
              <w:rPr>
                <w:rFonts w:hint="eastAsia"/>
                <w:color w:val="auto"/>
              </w:rPr>
              <w:t>项目营运期使用燃油机械</w:t>
            </w:r>
            <w:r>
              <w:rPr>
                <w:rFonts w:hint="eastAsia"/>
                <w:color w:val="auto"/>
                <w:lang w:eastAsia="zh-CN"/>
              </w:rPr>
              <w:t>（挖掘机、装载机）</w:t>
            </w:r>
            <w:r>
              <w:rPr>
                <w:rFonts w:hint="eastAsia"/>
                <w:color w:val="auto"/>
              </w:rPr>
              <w:t>和运输车辆，在开采区及运输沿线将有汽车尾气产生。尾气中含有SO</w:t>
            </w:r>
            <w:r>
              <w:rPr>
                <w:rStyle w:val="37"/>
                <w:rFonts w:hint="eastAsia"/>
                <w:color w:val="auto"/>
                <w:vertAlign w:val="subscript"/>
              </w:rPr>
              <w:t>2</w:t>
            </w:r>
            <w:r>
              <w:rPr>
                <w:rFonts w:hint="eastAsia"/>
                <w:color w:val="auto"/>
              </w:rPr>
              <w:t>、NOx、CO</w:t>
            </w:r>
            <w:r>
              <w:rPr>
                <w:rFonts w:hint="eastAsia"/>
                <w:color w:val="auto"/>
                <w:lang w:eastAsia="zh-CN"/>
              </w:rPr>
              <w:t>、烟尘</w:t>
            </w:r>
            <w:r>
              <w:rPr>
                <w:rFonts w:hint="eastAsia"/>
                <w:color w:val="auto"/>
              </w:rPr>
              <w:t>等污染物，污染物排放系数为：SO</w:t>
            </w:r>
            <w:r>
              <w:rPr>
                <w:rFonts w:hint="eastAsia"/>
                <w:color w:val="auto"/>
                <w:vertAlign w:val="subscript"/>
              </w:rPr>
              <w:t>2</w:t>
            </w:r>
            <w:r>
              <w:rPr>
                <w:rFonts w:hint="eastAsia"/>
                <w:color w:val="auto"/>
              </w:rPr>
              <w:t xml:space="preserve"> 4g/L，烟尘0.714g/L，NOx2.56 g/L，CO1.52 g/L</w:t>
            </w:r>
            <w:r>
              <w:rPr>
                <w:rFonts w:hint="eastAsia"/>
                <w:color w:val="auto"/>
                <w:lang w:eastAsia="zh-CN"/>
              </w:rPr>
              <w:t>，柴油年用量</w:t>
            </w:r>
            <w:r>
              <w:rPr>
                <w:rFonts w:hint="eastAsia"/>
                <w:color w:val="auto"/>
                <w:lang w:val="en-US" w:eastAsia="zh-CN"/>
              </w:rPr>
              <w:t>192t/a（约225.882m</w:t>
            </w:r>
            <w:r>
              <w:rPr>
                <w:rFonts w:hint="eastAsia"/>
                <w:color w:val="auto"/>
                <w:vertAlign w:val="superscript"/>
                <w:lang w:val="en-US" w:eastAsia="zh-CN"/>
              </w:rPr>
              <w:t>3</w:t>
            </w:r>
            <w:r>
              <w:rPr>
                <w:rFonts w:hint="eastAsia"/>
                <w:color w:val="auto"/>
                <w:lang w:val="en-US" w:eastAsia="zh-CN"/>
              </w:rPr>
              <w:t>/a），则污染物排放量：</w:t>
            </w:r>
            <w:r>
              <w:rPr>
                <w:rFonts w:hint="eastAsia"/>
                <w:color w:val="auto"/>
              </w:rPr>
              <w:t>SO</w:t>
            </w:r>
            <w:r>
              <w:rPr>
                <w:rFonts w:hint="eastAsia"/>
                <w:color w:val="auto"/>
                <w:vertAlign w:val="subscript"/>
              </w:rPr>
              <w:t>2</w:t>
            </w:r>
            <w:r>
              <w:rPr>
                <w:rFonts w:hint="eastAsia"/>
                <w:color w:val="auto"/>
              </w:rPr>
              <w:t xml:space="preserve"> </w:t>
            </w:r>
            <w:r>
              <w:rPr>
                <w:rFonts w:hint="eastAsia"/>
                <w:color w:val="auto"/>
                <w:lang w:val="en-US" w:eastAsia="zh-CN"/>
              </w:rPr>
              <w:t>0.903t/a</w:t>
            </w:r>
            <w:r>
              <w:rPr>
                <w:rFonts w:hint="eastAsia"/>
                <w:color w:val="auto"/>
              </w:rPr>
              <w:t>，烟尘</w:t>
            </w:r>
            <w:r>
              <w:rPr>
                <w:rFonts w:hint="eastAsia"/>
                <w:color w:val="auto"/>
                <w:lang w:val="en-US" w:eastAsia="zh-CN"/>
              </w:rPr>
              <w:t>0.161t/a</w:t>
            </w:r>
            <w:r>
              <w:rPr>
                <w:rFonts w:hint="eastAsia"/>
                <w:color w:val="auto"/>
              </w:rPr>
              <w:t>，NOx</w:t>
            </w:r>
            <w:r>
              <w:rPr>
                <w:rFonts w:hint="eastAsia"/>
                <w:color w:val="auto"/>
                <w:lang w:val="en-US" w:eastAsia="zh-CN"/>
              </w:rPr>
              <w:t>0.578t/a</w:t>
            </w:r>
            <w:r>
              <w:rPr>
                <w:rFonts w:hint="eastAsia"/>
                <w:color w:val="auto"/>
              </w:rPr>
              <w:t>，CO</w:t>
            </w:r>
            <w:r>
              <w:rPr>
                <w:rFonts w:hint="eastAsia"/>
                <w:color w:val="auto"/>
                <w:lang w:val="en-US" w:eastAsia="zh-CN"/>
              </w:rPr>
              <w:t>0.343t/a</w:t>
            </w:r>
            <w:r>
              <w:rPr>
                <w:rFonts w:hint="eastAsia"/>
                <w:color w:val="auto"/>
                <w:lang w:eastAsia="zh-CN"/>
              </w:rPr>
              <w:t>，以无组织形式排放</w:t>
            </w:r>
            <w:r>
              <w:rPr>
                <w:rFonts w:hint="eastAsia"/>
                <w:color w:val="auto"/>
              </w:rPr>
              <w:t>。</w:t>
            </w:r>
          </w:p>
          <w:p>
            <w:pPr>
              <w:bidi w:val="0"/>
              <w:rPr>
                <w:rFonts w:hint="eastAsia"/>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食堂油烟</w:t>
            </w:r>
          </w:p>
          <w:p>
            <w:pPr>
              <w:bidi w:val="0"/>
              <w:rPr>
                <w:rFonts w:hint="default"/>
                <w:lang w:val="en-US" w:eastAsia="zh-CN"/>
              </w:rPr>
            </w:pPr>
            <w:r>
              <w:t>食物在烹饪、加工过程中将挥发出油脂、有机质及热分解或裂解产物，从而产生油烟废气。根据对居民用油情况的类比调查，目前居民人均食用油日用量约30g/人</w:t>
            </w:r>
            <w:r>
              <w:rPr>
                <w:rFonts w:hint="eastAsia"/>
              </w:rPr>
              <w:t>·</w:t>
            </w:r>
            <w:r>
              <w:t>d，本项目劳动定员为</w:t>
            </w:r>
            <w:r>
              <w:rPr>
                <w:rFonts w:hint="eastAsia"/>
                <w:lang w:val="en-US" w:eastAsia="zh-CN"/>
              </w:rPr>
              <w:t>22</w:t>
            </w:r>
            <w:r>
              <w:t>人，</w:t>
            </w:r>
            <w:r>
              <w:rPr>
                <w:rFonts w:hint="eastAsia"/>
                <w:lang w:eastAsia="zh-CN"/>
              </w:rPr>
              <w:t>年工作</w:t>
            </w:r>
            <w:r>
              <w:rPr>
                <w:rFonts w:hint="eastAsia"/>
                <w:lang w:val="en-US" w:eastAsia="zh-CN"/>
              </w:rPr>
              <w:t>240d，</w:t>
            </w:r>
            <w:r>
              <w:t>耗油量为</w:t>
            </w:r>
            <w:r>
              <w:rPr>
                <w:rFonts w:hint="eastAsia"/>
                <w:lang w:val="en-US" w:eastAsia="zh-CN"/>
              </w:rPr>
              <w:t>0.158t</w:t>
            </w:r>
            <w:r>
              <w:t>/a，一般油烟挥发量占总耗油量的2-4%，</w:t>
            </w:r>
            <w:r>
              <w:rPr>
                <w:rFonts w:hint="eastAsia"/>
                <w:lang w:eastAsia="zh-CN"/>
              </w:rPr>
              <w:t>本项目</w:t>
            </w:r>
            <w:r>
              <w:t>油烟挥发量占总耗油量的</w:t>
            </w:r>
            <w:r>
              <w:rPr>
                <w:rFonts w:hint="eastAsia"/>
                <w:lang w:val="en-US" w:eastAsia="zh-CN"/>
              </w:rPr>
              <w:t>3%计算，</w:t>
            </w:r>
            <w:r>
              <w:t>则本项目油烟产生量为</w:t>
            </w:r>
            <w:r>
              <w:rPr>
                <w:rFonts w:hint="eastAsia"/>
                <w:lang w:val="en-US" w:eastAsia="zh-CN"/>
              </w:rPr>
              <w:t>4.752</w:t>
            </w:r>
            <w:r>
              <w:t>kg/a。本项目食堂安装油烟净化器﹝净化效率60%﹞，油烟废气经过油烟净化器处理后</w:t>
            </w:r>
            <w:r>
              <w:rPr>
                <w:rFonts w:hint="eastAsia"/>
                <w:lang w:eastAsia="zh-CN"/>
              </w:rPr>
              <w:t>引至屋顶</w:t>
            </w:r>
            <w:r>
              <w:t>排放，</w:t>
            </w:r>
            <w:r>
              <w:rPr>
                <w:rFonts w:hint="eastAsia"/>
                <w:lang w:eastAsia="zh-CN"/>
              </w:rPr>
              <w:t>油烟机风量</w:t>
            </w:r>
            <w:r>
              <w:rPr>
                <w:rFonts w:hint="eastAsia"/>
                <w:lang w:val="en-US" w:eastAsia="zh-CN"/>
              </w:rPr>
              <w:t>3000m</w:t>
            </w:r>
            <w:r>
              <w:rPr>
                <w:rFonts w:hint="eastAsia"/>
                <w:vertAlign w:val="superscript"/>
                <w:lang w:val="en-US" w:eastAsia="zh-CN"/>
              </w:rPr>
              <w:t>3</w:t>
            </w:r>
            <w:r>
              <w:rPr>
                <w:rFonts w:hint="eastAsia"/>
                <w:lang w:val="en-US" w:eastAsia="zh-CN"/>
              </w:rPr>
              <w:t>/h，</w:t>
            </w:r>
            <w:r>
              <w:rPr>
                <w:rFonts w:hint="eastAsia"/>
                <w:lang w:eastAsia="zh-CN"/>
              </w:rPr>
              <w:t>年工作</w:t>
            </w:r>
            <w:r>
              <w:rPr>
                <w:rFonts w:hint="eastAsia"/>
                <w:lang w:val="en-US" w:eastAsia="zh-CN"/>
              </w:rPr>
              <w:t>960h，</w:t>
            </w:r>
            <w:r>
              <w:t>排放量为</w:t>
            </w:r>
            <w:r>
              <w:rPr>
                <w:rFonts w:hint="eastAsia"/>
                <w:lang w:val="en-US" w:eastAsia="zh-CN"/>
              </w:rPr>
              <w:t>1.901</w:t>
            </w:r>
            <w:r>
              <w:t>kg/a</w:t>
            </w:r>
            <w:r>
              <w:rPr>
                <w:rFonts w:hint="eastAsia"/>
                <w:lang w:eastAsia="zh-CN"/>
              </w:rPr>
              <w:t>，</w:t>
            </w:r>
            <w:r>
              <w:rPr>
                <w:rFonts w:hint="eastAsia"/>
                <w:lang w:val="en-US" w:eastAsia="zh-CN"/>
              </w:rPr>
              <w:t>则排放速率为1.98×10</w:t>
            </w:r>
            <w:r>
              <w:rPr>
                <w:rFonts w:hint="eastAsia"/>
                <w:vertAlign w:val="superscript"/>
                <w:lang w:val="en-US" w:eastAsia="zh-CN"/>
              </w:rPr>
              <w:t>-3</w:t>
            </w:r>
            <w:r>
              <w:rPr>
                <w:rFonts w:hint="eastAsia"/>
                <w:lang w:val="en-US" w:eastAsia="zh-CN"/>
              </w:rPr>
              <w:t>kg/h，排放浓度为0.66mg/m</w:t>
            </w:r>
            <w:r>
              <w:rPr>
                <w:rFonts w:hint="eastAsia"/>
                <w:vertAlign w:val="superscript"/>
                <w:lang w:val="en-US" w:eastAsia="zh-CN"/>
              </w:rPr>
              <w:t>3</w:t>
            </w:r>
            <w:r>
              <w:rPr>
                <w:rFonts w:hint="eastAsia"/>
                <w:lang w:eastAsia="zh-CN"/>
              </w:rPr>
              <w:t>。</w:t>
            </w:r>
          </w:p>
          <w:p>
            <w:pPr>
              <w:ind w:firstLine="480"/>
              <w:rPr>
                <w:color w:val="auto"/>
              </w:rPr>
            </w:pPr>
            <w:r>
              <w:rPr>
                <w:color w:val="auto"/>
              </w:rPr>
              <w:t>本项目废气污染源强核算详见表</w:t>
            </w:r>
            <w:r>
              <w:rPr>
                <w:rFonts w:hint="eastAsia"/>
                <w:color w:val="auto"/>
                <w:lang w:val="en-US" w:eastAsia="zh-CN"/>
              </w:rPr>
              <w:t>4-5</w:t>
            </w:r>
            <w:r>
              <w:rPr>
                <w:color w:val="auto"/>
              </w:rPr>
              <w:t>。</w:t>
            </w:r>
          </w:p>
          <w:p>
            <w:pPr>
              <w:pStyle w:val="7"/>
              <w:bidi w:val="0"/>
              <w:rPr>
                <w:color w:val="auto"/>
              </w:rPr>
            </w:pPr>
            <w:r>
              <w:rPr>
                <w:rFonts w:hint="eastAsia"/>
                <w:color w:val="auto"/>
              </w:rPr>
              <w:t>表</w:t>
            </w:r>
            <w:r>
              <w:rPr>
                <w:rFonts w:hint="eastAsia"/>
                <w:color w:val="auto"/>
                <w:lang w:val="en-US" w:eastAsia="zh-CN"/>
              </w:rPr>
              <w:t>4-5</w:t>
            </w:r>
            <w:r>
              <w:rPr>
                <w:rFonts w:hint="eastAsia"/>
                <w:color w:val="auto"/>
              </w:rPr>
              <w:t xml:space="preserve">                 废气污染源源强核算一览表</w:t>
            </w:r>
          </w:p>
          <w:tbl>
            <w:tblPr>
              <w:tblStyle w:val="30"/>
              <w:tblW w:w="498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9"/>
              <w:gridCol w:w="780"/>
              <w:gridCol w:w="809"/>
              <w:gridCol w:w="1101"/>
              <w:gridCol w:w="861"/>
              <w:gridCol w:w="1425"/>
              <w:gridCol w:w="897"/>
              <w:gridCol w:w="11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restart"/>
                  <w:vAlign w:val="center"/>
                </w:tcPr>
                <w:p>
                  <w:pPr>
                    <w:pStyle w:val="2"/>
                    <w:rPr>
                      <w:color w:val="auto"/>
                    </w:rPr>
                  </w:pPr>
                  <w:r>
                    <w:rPr>
                      <w:color w:val="auto"/>
                    </w:rPr>
                    <w:t>污染源</w:t>
                  </w:r>
                </w:p>
              </w:tc>
              <w:tc>
                <w:tcPr>
                  <w:tcW w:w="1074" w:type="pct"/>
                  <w:gridSpan w:val="2"/>
                  <w:vMerge w:val="restart"/>
                  <w:vAlign w:val="center"/>
                </w:tcPr>
                <w:p>
                  <w:pPr>
                    <w:pStyle w:val="2"/>
                    <w:rPr>
                      <w:color w:val="auto"/>
                    </w:rPr>
                  </w:pPr>
                  <w:r>
                    <w:rPr>
                      <w:color w:val="auto"/>
                    </w:rPr>
                    <w:t>污染物名称</w:t>
                  </w:r>
                </w:p>
              </w:tc>
              <w:tc>
                <w:tcPr>
                  <w:tcW w:w="1326" w:type="pct"/>
                  <w:gridSpan w:val="2"/>
                  <w:tcBorders>
                    <w:bottom w:val="single" w:color="auto" w:sz="4" w:space="0"/>
                  </w:tcBorders>
                  <w:vAlign w:val="center"/>
                </w:tcPr>
                <w:p>
                  <w:pPr>
                    <w:pStyle w:val="2"/>
                    <w:rPr>
                      <w:color w:val="auto"/>
                    </w:rPr>
                  </w:pPr>
                  <w:r>
                    <w:rPr>
                      <w:color w:val="auto"/>
                    </w:rPr>
                    <w:t>产生量</w:t>
                  </w:r>
                </w:p>
              </w:tc>
              <w:tc>
                <w:tcPr>
                  <w:tcW w:w="1569" w:type="pct"/>
                  <w:gridSpan w:val="2"/>
                  <w:tcBorders>
                    <w:bottom w:val="single" w:color="auto" w:sz="4" w:space="0"/>
                  </w:tcBorders>
                  <w:vAlign w:val="center"/>
                </w:tcPr>
                <w:p>
                  <w:pPr>
                    <w:pStyle w:val="2"/>
                    <w:rPr>
                      <w:color w:val="auto"/>
                    </w:rPr>
                  </w:pPr>
                  <w:r>
                    <w:rPr>
                      <w:color w:val="auto"/>
                    </w:rPr>
                    <w:t>削减量</w:t>
                  </w:r>
                </w:p>
              </w:tc>
              <w:tc>
                <w:tcPr>
                  <w:tcW w:w="745" w:type="pct"/>
                  <w:vMerge w:val="restart"/>
                  <w:vAlign w:val="center"/>
                </w:tcPr>
                <w:p>
                  <w:pPr>
                    <w:pStyle w:val="2"/>
                    <w:rPr>
                      <w:color w:val="auto"/>
                    </w:rPr>
                  </w:pPr>
                  <w:r>
                    <w:rPr>
                      <w:color w:val="auto"/>
                    </w:rPr>
                    <w:t>排放量</w:t>
                  </w:r>
                  <w:r>
                    <w:rPr>
                      <w:rFonts w:hint="eastAsia"/>
                      <w:color w:val="auto"/>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1074" w:type="pct"/>
                  <w:gridSpan w:val="2"/>
                  <w:vMerge w:val="continue"/>
                  <w:vAlign w:val="center"/>
                </w:tcPr>
                <w:p>
                  <w:pPr>
                    <w:pStyle w:val="2"/>
                    <w:rPr>
                      <w:color w:val="auto"/>
                    </w:rPr>
                  </w:pPr>
                </w:p>
              </w:tc>
              <w:tc>
                <w:tcPr>
                  <w:tcW w:w="744" w:type="pct"/>
                  <w:tcBorders>
                    <w:top w:val="single" w:color="auto" w:sz="4" w:space="0"/>
                    <w:right w:val="single" w:color="auto" w:sz="4" w:space="0"/>
                  </w:tcBorders>
                  <w:vAlign w:val="center"/>
                </w:tcPr>
                <w:p>
                  <w:pPr>
                    <w:pStyle w:val="2"/>
                    <w:rPr>
                      <w:color w:val="auto"/>
                    </w:rPr>
                  </w:pPr>
                  <w:r>
                    <w:rPr>
                      <w:rFonts w:hint="eastAsia"/>
                      <w:color w:val="auto"/>
                    </w:rPr>
                    <w:t>产生量（t/a）</w:t>
                  </w:r>
                </w:p>
              </w:tc>
              <w:tc>
                <w:tcPr>
                  <w:tcW w:w="582" w:type="pct"/>
                  <w:tcBorders>
                    <w:top w:val="single" w:color="auto" w:sz="4" w:space="0"/>
                    <w:left w:val="single" w:color="auto" w:sz="4" w:space="0"/>
                  </w:tcBorders>
                  <w:vAlign w:val="center"/>
                </w:tcPr>
                <w:p>
                  <w:pPr>
                    <w:pStyle w:val="2"/>
                    <w:rPr>
                      <w:color w:val="auto"/>
                    </w:rPr>
                  </w:pPr>
                  <w:r>
                    <w:rPr>
                      <w:rFonts w:hint="eastAsia"/>
                      <w:color w:val="auto"/>
                    </w:rPr>
                    <w:t>核算方法</w:t>
                  </w:r>
                </w:p>
              </w:tc>
              <w:tc>
                <w:tcPr>
                  <w:tcW w:w="963" w:type="pct"/>
                  <w:tcBorders>
                    <w:top w:val="single" w:color="auto" w:sz="4" w:space="0"/>
                    <w:right w:val="single" w:color="auto" w:sz="4" w:space="0"/>
                  </w:tcBorders>
                  <w:vAlign w:val="center"/>
                </w:tcPr>
                <w:p>
                  <w:pPr>
                    <w:pStyle w:val="2"/>
                    <w:rPr>
                      <w:color w:val="auto"/>
                    </w:rPr>
                  </w:pPr>
                  <w:r>
                    <w:rPr>
                      <w:color w:val="auto"/>
                    </w:rPr>
                    <w:t>治理措施</w:t>
                  </w:r>
                </w:p>
              </w:tc>
              <w:tc>
                <w:tcPr>
                  <w:tcW w:w="606" w:type="pct"/>
                  <w:tcBorders>
                    <w:top w:val="single" w:color="auto" w:sz="4" w:space="0"/>
                    <w:left w:val="single" w:color="auto" w:sz="4" w:space="0"/>
                  </w:tcBorders>
                  <w:vAlign w:val="center"/>
                </w:tcPr>
                <w:p>
                  <w:pPr>
                    <w:pStyle w:val="2"/>
                    <w:rPr>
                      <w:rFonts w:hint="eastAsia" w:eastAsia="宋体"/>
                      <w:color w:val="auto"/>
                      <w:lang w:val="en-US" w:eastAsia="zh-CN"/>
                    </w:rPr>
                  </w:pPr>
                  <w:r>
                    <w:rPr>
                      <w:color w:val="auto"/>
                    </w:rPr>
                    <w:t>效率</w:t>
                  </w:r>
                  <w:r>
                    <w:rPr>
                      <w:rFonts w:hint="eastAsia"/>
                      <w:color w:val="auto"/>
                      <w:lang w:val="en-US" w:eastAsia="zh-CN"/>
                    </w:rPr>
                    <w:t>%</w:t>
                  </w:r>
                </w:p>
              </w:tc>
              <w:tc>
                <w:tcPr>
                  <w:tcW w:w="745" w:type="pct"/>
                  <w:vMerge w:val="continue"/>
                  <w:vAlign w:val="center"/>
                </w:tcPr>
                <w:p>
                  <w:pPr>
                    <w:pStyle w:val="2"/>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restart"/>
                  <w:vAlign w:val="center"/>
                </w:tcPr>
                <w:p>
                  <w:pPr>
                    <w:pStyle w:val="2"/>
                    <w:rPr>
                      <w:color w:val="auto"/>
                    </w:rPr>
                  </w:pPr>
                  <w:r>
                    <w:rPr>
                      <w:color w:val="auto"/>
                    </w:rPr>
                    <w:t>无组织</w:t>
                  </w:r>
                </w:p>
              </w:tc>
              <w:tc>
                <w:tcPr>
                  <w:tcW w:w="527" w:type="pct"/>
                  <w:tcBorders>
                    <w:right w:val="single" w:color="auto" w:sz="4" w:space="0"/>
                  </w:tcBorders>
                  <w:vAlign w:val="center"/>
                </w:tcPr>
                <w:p>
                  <w:pPr>
                    <w:pStyle w:val="2"/>
                    <w:rPr>
                      <w:rFonts w:hint="eastAsia" w:eastAsia="宋体"/>
                      <w:color w:val="auto"/>
                      <w:lang w:eastAsia="zh-CN"/>
                    </w:rPr>
                  </w:pPr>
                  <w:r>
                    <w:rPr>
                      <w:rFonts w:hint="eastAsia"/>
                      <w:color w:val="auto"/>
                      <w:lang w:eastAsia="zh-CN"/>
                    </w:rPr>
                    <w:t>剥离粉尘</w:t>
                  </w:r>
                </w:p>
              </w:tc>
              <w:tc>
                <w:tcPr>
                  <w:tcW w:w="546" w:type="pct"/>
                  <w:tcBorders>
                    <w:left w:val="single" w:color="auto" w:sz="4" w:space="0"/>
                  </w:tcBorders>
                  <w:vAlign w:val="center"/>
                </w:tcPr>
                <w:p>
                  <w:pPr>
                    <w:pStyle w:val="2"/>
                    <w:rPr>
                      <w:color w:val="auto"/>
                    </w:rPr>
                  </w:pPr>
                  <w:r>
                    <w:rPr>
                      <w:rFonts w:hint="eastAsia"/>
                      <w:color w:val="auto"/>
                      <w:lang w:eastAsia="zh-CN"/>
                    </w:rPr>
                    <w:t>颗粒物</w:t>
                  </w:r>
                </w:p>
              </w:tc>
              <w:tc>
                <w:tcPr>
                  <w:tcW w:w="744" w:type="pct"/>
                  <w:tcBorders>
                    <w:right w:val="single" w:color="auto" w:sz="4" w:space="0"/>
                  </w:tcBorders>
                  <w:vAlign w:val="center"/>
                </w:tcPr>
                <w:p>
                  <w:pPr>
                    <w:pStyle w:val="2"/>
                    <w:rPr>
                      <w:rFonts w:hint="default" w:eastAsia="宋体"/>
                      <w:color w:val="auto"/>
                      <w:lang w:val="en-US" w:eastAsia="zh-CN"/>
                    </w:rPr>
                  </w:pPr>
                  <w:r>
                    <w:rPr>
                      <w:rFonts w:hint="eastAsia"/>
                      <w:color w:val="auto"/>
                      <w:lang w:val="en-US" w:eastAsia="zh-CN"/>
                    </w:rPr>
                    <w:t>0.634</w:t>
                  </w:r>
                </w:p>
              </w:tc>
              <w:tc>
                <w:tcPr>
                  <w:tcW w:w="582" w:type="pct"/>
                  <w:tcBorders>
                    <w:left w:val="single" w:color="auto" w:sz="4" w:space="0"/>
                  </w:tcBorders>
                  <w:vAlign w:val="center"/>
                </w:tcPr>
                <w:p>
                  <w:pPr>
                    <w:pStyle w:val="2"/>
                    <w:rPr>
                      <w:rFonts w:hint="eastAsia" w:eastAsia="宋体"/>
                      <w:color w:val="auto"/>
                      <w:lang w:eastAsia="zh-CN"/>
                    </w:rPr>
                  </w:pPr>
                  <w:r>
                    <w:rPr>
                      <w:rFonts w:hint="eastAsia"/>
                      <w:color w:val="auto"/>
                      <w:lang w:eastAsia="zh-CN"/>
                    </w:rPr>
                    <w:t>系数法</w:t>
                  </w:r>
                </w:p>
              </w:tc>
              <w:tc>
                <w:tcPr>
                  <w:tcW w:w="963" w:type="pct"/>
                  <w:tcBorders>
                    <w:right w:val="single" w:color="auto" w:sz="4" w:space="0"/>
                  </w:tcBorders>
                  <w:vAlign w:val="center"/>
                </w:tcPr>
                <w:p>
                  <w:pPr>
                    <w:pStyle w:val="2"/>
                    <w:rPr>
                      <w:color w:val="auto"/>
                    </w:rPr>
                  </w:pPr>
                  <w:r>
                    <w:rPr>
                      <w:rFonts w:hint="eastAsia"/>
                      <w:color w:val="auto"/>
                    </w:rPr>
                    <w:t>洒水抑尘</w:t>
                  </w:r>
                </w:p>
              </w:tc>
              <w:tc>
                <w:tcPr>
                  <w:tcW w:w="606" w:type="pct"/>
                  <w:tcBorders>
                    <w:left w:val="single" w:color="auto" w:sz="4" w:space="0"/>
                  </w:tcBorders>
                  <w:vAlign w:val="center"/>
                </w:tcPr>
                <w:p>
                  <w:pPr>
                    <w:pStyle w:val="2"/>
                    <w:rPr>
                      <w:rFonts w:hint="default" w:eastAsia="宋体"/>
                      <w:color w:val="auto"/>
                      <w:lang w:val="en-US" w:eastAsia="zh-CN"/>
                    </w:rPr>
                  </w:pPr>
                  <w:r>
                    <w:rPr>
                      <w:rFonts w:hint="eastAsia"/>
                      <w:color w:val="auto"/>
                      <w:lang w:val="en-US" w:eastAsia="zh-CN"/>
                    </w:rPr>
                    <w:t>74</w:t>
                  </w:r>
                </w:p>
              </w:tc>
              <w:tc>
                <w:tcPr>
                  <w:tcW w:w="745" w:type="pct"/>
                  <w:vAlign w:val="center"/>
                </w:tcPr>
                <w:p>
                  <w:pPr>
                    <w:pStyle w:val="2"/>
                    <w:rPr>
                      <w:rFonts w:hint="default" w:eastAsia="宋体"/>
                      <w:color w:val="auto"/>
                      <w:lang w:val="en-US" w:eastAsia="zh-CN"/>
                    </w:rPr>
                  </w:pPr>
                  <w:r>
                    <w:rPr>
                      <w:rFonts w:hint="eastAsia"/>
                      <w:color w:val="auto"/>
                      <w:lang w:val="en-US" w:eastAsia="zh-CN"/>
                    </w:rPr>
                    <w:t>0.165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tcBorders>
                    <w:right w:val="single" w:color="auto" w:sz="4" w:space="0"/>
                  </w:tcBorders>
                  <w:vAlign w:val="center"/>
                </w:tcPr>
                <w:p>
                  <w:pPr>
                    <w:pStyle w:val="2"/>
                    <w:rPr>
                      <w:rFonts w:hint="eastAsia" w:eastAsia="宋体"/>
                      <w:color w:val="auto"/>
                      <w:lang w:eastAsia="zh-CN"/>
                    </w:rPr>
                  </w:pPr>
                  <w:r>
                    <w:rPr>
                      <w:rFonts w:hint="eastAsia"/>
                      <w:color w:val="auto"/>
                      <w:lang w:eastAsia="zh-CN"/>
                    </w:rPr>
                    <w:t>锯切粉尘</w:t>
                  </w:r>
                </w:p>
              </w:tc>
              <w:tc>
                <w:tcPr>
                  <w:tcW w:w="546" w:type="pct"/>
                  <w:tcBorders>
                    <w:left w:val="single" w:color="auto" w:sz="4" w:space="0"/>
                  </w:tcBorders>
                  <w:vAlign w:val="center"/>
                </w:tcPr>
                <w:p>
                  <w:pPr>
                    <w:pStyle w:val="2"/>
                    <w:rPr>
                      <w:color w:val="auto"/>
                    </w:rPr>
                  </w:pPr>
                  <w:r>
                    <w:rPr>
                      <w:rFonts w:hint="eastAsia"/>
                      <w:color w:val="auto"/>
                      <w:lang w:eastAsia="zh-CN"/>
                    </w:rPr>
                    <w:t>颗粒物</w:t>
                  </w:r>
                </w:p>
              </w:tc>
              <w:tc>
                <w:tcPr>
                  <w:tcW w:w="744" w:type="pct"/>
                  <w:tcBorders>
                    <w:right w:val="single" w:color="auto" w:sz="4" w:space="0"/>
                  </w:tcBorders>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少量</w:t>
                  </w:r>
                </w:p>
              </w:tc>
              <w:tc>
                <w:tcPr>
                  <w:tcW w:w="582" w:type="pct"/>
                  <w:tcBorders>
                    <w:left w:val="single" w:color="auto" w:sz="4" w:space="0"/>
                  </w:tcBorders>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w:t>
                  </w:r>
                </w:p>
              </w:tc>
              <w:tc>
                <w:tcPr>
                  <w:tcW w:w="963" w:type="pct"/>
                  <w:tcBorders>
                    <w:right w:val="single" w:color="auto" w:sz="4" w:space="0"/>
                  </w:tcBorders>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w:t>
                  </w:r>
                </w:p>
              </w:tc>
              <w:tc>
                <w:tcPr>
                  <w:tcW w:w="606" w:type="pct"/>
                  <w:tcBorders>
                    <w:left w:val="single" w:color="auto" w:sz="4" w:space="0"/>
                  </w:tcBorders>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w:t>
                  </w:r>
                </w:p>
              </w:tc>
              <w:tc>
                <w:tcPr>
                  <w:tcW w:w="745" w:type="pct"/>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忽略不计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tcBorders>
                    <w:right w:val="single" w:color="auto" w:sz="4" w:space="0"/>
                  </w:tcBorders>
                  <w:vAlign w:val="center"/>
                </w:tcPr>
                <w:p>
                  <w:pPr>
                    <w:pStyle w:val="2"/>
                    <w:rPr>
                      <w:rFonts w:hint="eastAsia" w:eastAsia="宋体"/>
                      <w:color w:val="auto"/>
                      <w:lang w:eastAsia="zh-CN"/>
                    </w:rPr>
                  </w:pPr>
                  <w:r>
                    <w:rPr>
                      <w:rFonts w:hint="eastAsia"/>
                      <w:color w:val="auto"/>
                      <w:lang w:eastAsia="zh-CN"/>
                    </w:rPr>
                    <w:t>钻孔凿岩粉尘</w:t>
                  </w:r>
                </w:p>
              </w:tc>
              <w:tc>
                <w:tcPr>
                  <w:tcW w:w="546" w:type="pct"/>
                  <w:tcBorders>
                    <w:left w:val="single" w:color="auto" w:sz="4" w:space="0"/>
                  </w:tcBorders>
                  <w:vAlign w:val="center"/>
                </w:tcPr>
                <w:p>
                  <w:pPr>
                    <w:pStyle w:val="2"/>
                    <w:rPr>
                      <w:color w:val="auto"/>
                    </w:rPr>
                  </w:pPr>
                  <w:r>
                    <w:rPr>
                      <w:rFonts w:hint="eastAsia"/>
                      <w:color w:val="auto"/>
                      <w:lang w:eastAsia="zh-CN"/>
                    </w:rPr>
                    <w:t>颗粒物</w:t>
                  </w:r>
                </w:p>
              </w:tc>
              <w:tc>
                <w:tcPr>
                  <w:tcW w:w="744" w:type="pct"/>
                  <w:tcBorders>
                    <w:right w:val="single" w:color="auto" w:sz="4" w:space="0"/>
                  </w:tcBorders>
                  <w:vAlign w:val="center"/>
                </w:tcPr>
                <w:p>
                  <w:pPr>
                    <w:pStyle w:val="2"/>
                    <w:rPr>
                      <w:rFonts w:hint="default" w:eastAsia="宋体"/>
                      <w:color w:val="auto"/>
                      <w:lang w:val="en-US" w:eastAsia="zh-CN"/>
                    </w:rPr>
                  </w:pPr>
                  <w:r>
                    <w:rPr>
                      <w:rFonts w:hint="eastAsia"/>
                      <w:color w:val="auto"/>
                      <w:lang w:val="en-US" w:eastAsia="zh-CN"/>
                    </w:rPr>
                    <w:t>0.839</w:t>
                  </w:r>
                </w:p>
              </w:tc>
              <w:tc>
                <w:tcPr>
                  <w:tcW w:w="582" w:type="pct"/>
                  <w:tcBorders>
                    <w:left w:val="single" w:color="auto" w:sz="4" w:space="0"/>
                  </w:tcBorders>
                  <w:vAlign w:val="center"/>
                </w:tcPr>
                <w:p>
                  <w:pPr>
                    <w:pStyle w:val="2"/>
                    <w:rPr>
                      <w:color w:val="auto"/>
                    </w:rPr>
                  </w:pPr>
                  <w:r>
                    <w:rPr>
                      <w:color w:val="auto"/>
                    </w:rPr>
                    <w:t>系数法</w:t>
                  </w:r>
                </w:p>
              </w:tc>
              <w:tc>
                <w:tcPr>
                  <w:tcW w:w="963" w:type="pct"/>
                  <w:tcBorders>
                    <w:right w:val="single" w:color="auto" w:sz="4" w:space="0"/>
                  </w:tcBorders>
                  <w:vAlign w:val="center"/>
                </w:tcPr>
                <w:p>
                  <w:pPr>
                    <w:pStyle w:val="2"/>
                    <w:rPr>
                      <w:rFonts w:hint="eastAsia" w:eastAsia="宋体"/>
                      <w:color w:val="auto"/>
                      <w:lang w:val="en-US" w:eastAsia="zh-CN"/>
                    </w:rPr>
                  </w:pPr>
                  <w:r>
                    <w:rPr>
                      <w:rFonts w:hint="eastAsia"/>
                      <w:color w:val="auto"/>
                      <w:lang w:val="en-US" w:eastAsia="zh-CN"/>
                    </w:rPr>
                    <w:t>湿法钻孔</w:t>
                  </w:r>
                </w:p>
              </w:tc>
              <w:tc>
                <w:tcPr>
                  <w:tcW w:w="606" w:type="pct"/>
                  <w:tcBorders>
                    <w:left w:val="single" w:color="auto" w:sz="4" w:space="0"/>
                  </w:tcBorders>
                  <w:vAlign w:val="center"/>
                </w:tcPr>
                <w:p>
                  <w:pPr>
                    <w:pStyle w:val="2"/>
                    <w:rPr>
                      <w:rFonts w:hint="default" w:eastAsia="宋体"/>
                      <w:color w:val="auto"/>
                      <w:lang w:val="en-US" w:eastAsia="zh-CN"/>
                    </w:rPr>
                  </w:pPr>
                  <w:r>
                    <w:rPr>
                      <w:rFonts w:hint="eastAsia"/>
                      <w:color w:val="auto"/>
                      <w:lang w:val="en-US" w:eastAsia="zh-CN"/>
                    </w:rPr>
                    <w:t>94</w:t>
                  </w:r>
                </w:p>
              </w:tc>
              <w:tc>
                <w:tcPr>
                  <w:tcW w:w="745" w:type="pct"/>
                  <w:vAlign w:val="center"/>
                </w:tcPr>
                <w:p>
                  <w:pPr>
                    <w:pStyle w:val="2"/>
                    <w:rPr>
                      <w:rFonts w:hint="default" w:eastAsia="宋体"/>
                      <w:color w:val="auto"/>
                      <w:lang w:val="en-US" w:eastAsia="zh-CN"/>
                    </w:rPr>
                  </w:pPr>
                  <w:r>
                    <w:rPr>
                      <w:rFonts w:hint="eastAsia"/>
                      <w:color w:val="auto"/>
                      <w:lang w:val="en-US" w:eastAsia="zh-CN"/>
                    </w:rPr>
                    <w:t>0.050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tcBorders>
                    <w:right w:val="single" w:color="auto" w:sz="4" w:space="0"/>
                  </w:tcBorders>
                  <w:vAlign w:val="center"/>
                </w:tcPr>
                <w:p>
                  <w:pPr>
                    <w:pStyle w:val="2"/>
                    <w:rPr>
                      <w:rFonts w:hint="eastAsia" w:eastAsia="宋体"/>
                      <w:color w:val="auto"/>
                      <w:lang w:eastAsia="zh-CN"/>
                    </w:rPr>
                  </w:pPr>
                  <w:r>
                    <w:rPr>
                      <w:rFonts w:hint="eastAsia"/>
                      <w:color w:val="auto"/>
                      <w:lang w:eastAsia="zh-CN"/>
                    </w:rPr>
                    <w:t>运输扬尘</w:t>
                  </w:r>
                </w:p>
              </w:tc>
              <w:tc>
                <w:tcPr>
                  <w:tcW w:w="546" w:type="pct"/>
                  <w:tcBorders>
                    <w:left w:val="single" w:color="auto" w:sz="4" w:space="0"/>
                  </w:tcBorders>
                  <w:vAlign w:val="center"/>
                </w:tcPr>
                <w:p>
                  <w:pPr>
                    <w:pStyle w:val="2"/>
                    <w:rPr>
                      <w:rFonts w:hint="eastAsia"/>
                      <w:color w:val="auto"/>
                    </w:rPr>
                  </w:pPr>
                  <w:r>
                    <w:rPr>
                      <w:rFonts w:hint="eastAsia"/>
                      <w:color w:val="auto"/>
                      <w:lang w:eastAsia="zh-CN"/>
                    </w:rPr>
                    <w:t>颗粒物</w:t>
                  </w:r>
                </w:p>
              </w:tc>
              <w:tc>
                <w:tcPr>
                  <w:tcW w:w="744" w:type="pct"/>
                  <w:tcBorders>
                    <w:right w:val="single" w:color="auto" w:sz="4" w:space="0"/>
                  </w:tcBorders>
                  <w:vAlign w:val="center"/>
                </w:tcPr>
                <w:p>
                  <w:pPr>
                    <w:pStyle w:val="2"/>
                    <w:rPr>
                      <w:rFonts w:hint="default"/>
                      <w:color w:val="auto"/>
                      <w:lang w:val="en-US" w:eastAsia="zh-CN"/>
                    </w:rPr>
                  </w:pPr>
                  <w:r>
                    <w:rPr>
                      <w:rFonts w:hint="eastAsia"/>
                      <w:color w:val="auto"/>
                      <w:lang w:val="en-US" w:eastAsia="zh-CN"/>
                    </w:rPr>
                    <w:t>0.137</w:t>
                  </w:r>
                </w:p>
              </w:tc>
              <w:tc>
                <w:tcPr>
                  <w:tcW w:w="582" w:type="pct"/>
                  <w:tcBorders>
                    <w:left w:val="single" w:color="auto" w:sz="4" w:space="0"/>
                  </w:tcBorders>
                  <w:vAlign w:val="center"/>
                </w:tcPr>
                <w:p>
                  <w:pPr>
                    <w:pStyle w:val="2"/>
                    <w:rPr>
                      <w:rFonts w:hint="eastAsia" w:eastAsia="宋体"/>
                      <w:color w:val="auto"/>
                      <w:lang w:eastAsia="zh-CN"/>
                    </w:rPr>
                  </w:pPr>
                  <w:r>
                    <w:rPr>
                      <w:rFonts w:hint="eastAsia"/>
                      <w:color w:val="auto"/>
                      <w:lang w:eastAsia="zh-CN"/>
                    </w:rPr>
                    <w:t>经验公式</w:t>
                  </w:r>
                </w:p>
              </w:tc>
              <w:tc>
                <w:tcPr>
                  <w:tcW w:w="963" w:type="pct"/>
                  <w:tcBorders>
                    <w:right w:val="single" w:color="auto" w:sz="4" w:space="0"/>
                  </w:tcBorders>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洒水抑尘</w:t>
                  </w:r>
                </w:p>
              </w:tc>
              <w:tc>
                <w:tcPr>
                  <w:tcW w:w="606" w:type="pct"/>
                  <w:tcBorders>
                    <w:left w:val="single" w:color="auto" w:sz="4" w:space="0"/>
                  </w:tcBorders>
                  <w:vAlign w:val="center"/>
                </w:tcPr>
                <w:p>
                  <w:pPr>
                    <w:pStyle w:val="2"/>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74</w:t>
                  </w:r>
                </w:p>
              </w:tc>
              <w:tc>
                <w:tcPr>
                  <w:tcW w:w="745" w:type="pct"/>
                  <w:vAlign w:val="center"/>
                </w:tcPr>
                <w:p>
                  <w:pPr>
                    <w:pStyle w:val="2"/>
                    <w:rPr>
                      <w:rFonts w:hint="default"/>
                      <w:color w:val="auto"/>
                      <w:lang w:val="en-US" w:eastAsia="zh-CN"/>
                    </w:rPr>
                  </w:pPr>
                  <w:r>
                    <w:rPr>
                      <w:rFonts w:hint="eastAsia"/>
                      <w:color w:val="auto"/>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tcBorders>
                    <w:right w:val="single" w:color="auto" w:sz="4" w:space="0"/>
                  </w:tcBorders>
                  <w:vAlign w:val="center"/>
                </w:tcPr>
                <w:p>
                  <w:pPr>
                    <w:pStyle w:val="2"/>
                    <w:rPr>
                      <w:rFonts w:hint="eastAsia" w:eastAsia="宋体"/>
                      <w:color w:val="auto"/>
                      <w:lang w:eastAsia="zh-CN"/>
                    </w:rPr>
                  </w:pPr>
                  <w:r>
                    <w:rPr>
                      <w:rFonts w:hint="eastAsia"/>
                      <w:color w:val="auto"/>
                      <w:lang w:eastAsia="zh-CN"/>
                    </w:rPr>
                    <w:t>荒料卸料、</w:t>
                  </w:r>
                  <w:r>
                    <w:rPr>
                      <w:rFonts w:hint="eastAsia"/>
                      <w:color w:val="auto"/>
                      <w:lang w:val="en-US" w:eastAsia="zh-CN"/>
                    </w:rPr>
                    <w:t>堆场</w:t>
                  </w:r>
                  <w:r>
                    <w:rPr>
                      <w:rFonts w:hint="eastAsia"/>
                      <w:color w:val="auto"/>
                      <w:lang w:eastAsia="zh-CN"/>
                    </w:rPr>
                    <w:t>粉尘</w:t>
                  </w:r>
                </w:p>
              </w:tc>
              <w:tc>
                <w:tcPr>
                  <w:tcW w:w="546" w:type="pct"/>
                  <w:tcBorders>
                    <w:left w:val="single" w:color="auto" w:sz="4" w:space="0"/>
                  </w:tcBorders>
                  <w:vAlign w:val="center"/>
                </w:tcPr>
                <w:p>
                  <w:pPr>
                    <w:pStyle w:val="2"/>
                    <w:rPr>
                      <w:color w:val="auto"/>
                    </w:rPr>
                  </w:pPr>
                  <w:r>
                    <w:rPr>
                      <w:rFonts w:hint="eastAsia"/>
                      <w:color w:val="auto"/>
                      <w:lang w:eastAsia="zh-CN"/>
                    </w:rPr>
                    <w:t>颗粒物</w:t>
                  </w:r>
                </w:p>
              </w:tc>
              <w:tc>
                <w:tcPr>
                  <w:tcW w:w="744" w:type="pct"/>
                  <w:tcBorders>
                    <w:right w:val="single" w:color="auto" w:sz="4" w:space="0"/>
                  </w:tcBorders>
                  <w:vAlign w:val="center"/>
                </w:tcPr>
                <w:p>
                  <w:pPr>
                    <w:pStyle w:val="2"/>
                    <w:rPr>
                      <w:rFonts w:hint="default" w:eastAsia="宋体"/>
                      <w:color w:val="auto"/>
                      <w:lang w:val="en-US" w:eastAsia="zh-CN"/>
                    </w:rPr>
                  </w:pPr>
                  <w:r>
                    <w:rPr>
                      <w:rFonts w:hint="eastAsia"/>
                      <w:color w:val="auto"/>
                      <w:lang w:val="en-US" w:eastAsia="zh-CN"/>
                    </w:rPr>
                    <w:t>少量</w:t>
                  </w:r>
                </w:p>
              </w:tc>
              <w:tc>
                <w:tcPr>
                  <w:tcW w:w="582" w:type="pct"/>
                  <w:tcBorders>
                    <w:left w:val="single" w:color="auto" w:sz="4" w:space="0"/>
                  </w:tcBorders>
                  <w:vAlign w:val="center"/>
                </w:tcPr>
                <w:p>
                  <w:pPr>
                    <w:pStyle w:val="2"/>
                    <w:rPr>
                      <w:color w:val="auto"/>
                    </w:rPr>
                  </w:pPr>
                  <w:r>
                    <w:rPr>
                      <w:rFonts w:hint="eastAsia"/>
                      <w:color w:val="auto"/>
                    </w:rPr>
                    <w:t>系数法</w:t>
                  </w:r>
                </w:p>
              </w:tc>
              <w:tc>
                <w:tcPr>
                  <w:tcW w:w="963" w:type="pct"/>
                  <w:tcBorders>
                    <w:bottom w:val="single" w:color="auto" w:sz="4" w:space="0"/>
                    <w:right w:val="single" w:color="auto" w:sz="4" w:space="0"/>
                  </w:tcBorders>
                  <w:vAlign w:val="center"/>
                </w:tcPr>
                <w:p>
                  <w:pPr>
                    <w:pStyle w:val="2"/>
                    <w:rPr>
                      <w:color w:val="auto"/>
                    </w:rPr>
                  </w:pPr>
                  <w:r>
                    <w:rPr>
                      <w:rFonts w:hint="eastAsia"/>
                      <w:color w:val="auto"/>
                    </w:rPr>
                    <w:t>洒水降尘</w:t>
                  </w:r>
                </w:p>
              </w:tc>
              <w:tc>
                <w:tcPr>
                  <w:tcW w:w="606" w:type="pct"/>
                  <w:tcBorders>
                    <w:left w:val="single" w:color="auto" w:sz="4" w:space="0"/>
                  </w:tcBorders>
                  <w:vAlign w:val="center"/>
                </w:tcPr>
                <w:p>
                  <w:pPr>
                    <w:pStyle w:val="2"/>
                    <w:rPr>
                      <w:rFonts w:hint="eastAsia" w:eastAsia="宋体"/>
                      <w:color w:val="auto"/>
                      <w:lang w:val="en-US" w:eastAsia="zh-CN"/>
                    </w:rPr>
                  </w:pPr>
                  <w:r>
                    <w:rPr>
                      <w:rFonts w:hint="eastAsia"/>
                      <w:color w:val="auto"/>
                      <w:lang w:val="en-US" w:eastAsia="zh-CN"/>
                    </w:rPr>
                    <w:t>/</w:t>
                  </w:r>
                </w:p>
              </w:tc>
              <w:tc>
                <w:tcPr>
                  <w:tcW w:w="745" w:type="pct"/>
                  <w:vAlign w:val="center"/>
                </w:tcPr>
                <w:p>
                  <w:pPr>
                    <w:pStyle w:val="2"/>
                    <w:rPr>
                      <w:rFonts w:hint="default" w:eastAsia="宋体"/>
                      <w:color w:val="auto"/>
                      <w:lang w:val="en-US" w:eastAsia="zh-CN"/>
                    </w:rPr>
                  </w:pPr>
                  <w:r>
                    <w:rPr>
                      <w:rFonts w:hint="eastAsia"/>
                      <w:color w:val="auto"/>
                      <w:lang w:val="en-US" w:eastAsia="zh-CN"/>
                    </w:rPr>
                    <w:t>忽略不计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tcBorders>
                    <w:right w:val="single" w:color="auto" w:sz="4" w:space="0"/>
                  </w:tcBorders>
                  <w:vAlign w:val="center"/>
                </w:tcPr>
                <w:p>
                  <w:pPr>
                    <w:pStyle w:val="2"/>
                    <w:rPr>
                      <w:rFonts w:hint="eastAsia"/>
                      <w:color w:val="auto"/>
                      <w:lang w:eastAsia="zh-CN"/>
                    </w:rPr>
                  </w:pPr>
                  <w:r>
                    <w:rPr>
                      <w:rFonts w:hint="eastAsia"/>
                      <w:color w:val="auto"/>
                      <w:lang w:val="en-US" w:eastAsia="zh-CN"/>
                    </w:rPr>
                    <w:t>废石装卸、堆存粉尘</w:t>
                  </w:r>
                </w:p>
              </w:tc>
              <w:tc>
                <w:tcPr>
                  <w:tcW w:w="546" w:type="pct"/>
                  <w:tcBorders>
                    <w:left w:val="single" w:color="auto" w:sz="4" w:space="0"/>
                  </w:tcBorders>
                  <w:vAlign w:val="center"/>
                </w:tcPr>
                <w:p>
                  <w:pPr>
                    <w:pStyle w:val="2"/>
                    <w:rPr>
                      <w:rFonts w:hint="default"/>
                      <w:color w:val="auto"/>
                      <w:lang w:val="en-US" w:eastAsia="zh-CN"/>
                    </w:rPr>
                  </w:pPr>
                  <w:r>
                    <w:rPr>
                      <w:rFonts w:hint="eastAsia"/>
                      <w:color w:val="auto"/>
                      <w:lang w:val="en-US" w:eastAsia="zh-CN"/>
                    </w:rPr>
                    <w:t>颗粒物</w:t>
                  </w:r>
                </w:p>
              </w:tc>
              <w:tc>
                <w:tcPr>
                  <w:tcW w:w="744" w:type="pct"/>
                  <w:tcBorders>
                    <w:right w:val="single" w:color="auto" w:sz="4" w:space="0"/>
                  </w:tcBorders>
                  <w:vAlign w:val="center"/>
                </w:tcPr>
                <w:p>
                  <w:pPr>
                    <w:pStyle w:val="2"/>
                    <w:rPr>
                      <w:rFonts w:hint="eastAsia"/>
                      <w:color w:val="auto"/>
                      <w:lang w:val="en-US" w:eastAsia="zh-CN"/>
                    </w:rPr>
                  </w:pPr>
                  <w:r>
                    <w:rPr>
                      <w:rFonts w:hint="eastAsia"/>
                      <w:color w:val="auto"/>
                      <w:lang w:val="en-US" w:eastAsia="zh-CN"/>
                    </w:rPr>
                    <w:t>37.513</w:t>
                  </w:r>
                </w:p>
              </w:tc>
              <w:tc>
                <w:tcPr>
                  <w:tcW w:w="582" w:type="pct"/>
                  <w:tcBorders>
                    <w:left w:val="single" w:color="auto" w:sz="4" w:space="0"/>
                  </w:tcBorders>
                  <w:vAlign w:val="center"/>
                </w:tcPr>
                <w:p>
                  <w:pPr>
                    <w:pStyle w:val="2"/>
                    <w:rPr>
                      <w:rFonts w:hint="default"/>
                      <w:color w:val="auto"/>
                      <w:lang w:val="en-US" w:eastAsia="zh-CN"/>
                    </w:rPr>
                  </w:pPr>
                  <w:r>
                    <w:rPr>
                      <w:rFonts w:hint="eastAsia"/>
                      <w:color w:val="auto"/>
                      <w:lang w:val="en-US" w:eastAsia="zh-CN"/>
                    </w:rPr>
                    <w:t>公式法</w:t>
                  </w:r>
                </w:p>
              </w:tc>
              <w:tc>
                <w:tcPr>
                  <w:tcW w:w="963" w:type="pct"/>
                  <w:tcBorders>
                    <w:top w:val="single" w:color="auto" w:sz="4" w:space="0"/>
                    <w:bottom w:val="single" w:color="auto" w:sz="4" w:space="0"/>
                    <w:right w:val="single" w:color="auto" w:sz="4" w:space="0"/>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洒水抑尘</w:t>
                  </w:r>
                </w:p>
              </w:tc>
              <w:tc>
                <w:tcPr>
                  <w:tcW w:w="606" w:type="pct"/>
                  <w:tcBorders>
                    <w:left w:val="single" w:color="auto" w:sz="4" w:space="0"/>
                  </w:tcBorders>
                  <w:shd w:val="clear" w:color="auto" w:fill="auto"/>
                  <w:vAlign w:val="center"/>
                </w:tcPr>
                <w:p>
                  <w:pPr>
                    <w:pStyle w:val="2"/>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74</w:t>
                  </w:r>
                </w:p>
              </w:tc>
              <w:tc>
                <w:tcPr>
                  <w:tcW w:w="745" w:type="pct"/>
                  <w:vAlign w:val="center"/>
                </w:tcPr>
                <w:p>
                  <w:pPr>
                    <w:pStyle w:val="2"/>
                    <w:rPr>
                      <w:rFonts w:hint="eastAsia"/>
                      <w:color w:val="auto"/>
                      <w:lang w:val="en-US" w:eastAsia="zh-CN"/>
                    </w:rPr>
                  </w:pPr>
                  <w:r>
                    <w:rPr>
                      <w:rFonts w:hint="eastAsia"/>
                      <w:color w:val="auto"/>
                      <w:lang w:val="en-US" w:eastAsia="zh-CN"/>
                    </w:rPr>
                    <w:t>9.753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vMerge w:val="restart"/>
                  <w:tcBorders>
                    <w:right w:val="single" w:color="auto" w:sz="4" w:space="0"/>
                  </w:tcBorders>
                  <w:vAlign w:val="center"/>
                </w:tcPr>
                <w:p>
                  <w:pPr>
                    <w:pStyle w:val="2"/>
                    <w:rPr>
                      <w:rFonts w:hint="eastAsia"/>
                      <w:color w:val="auto"/>
                    </w:rPr>
                  </w:pPr>
                  <w:r>
                    <w:rPr>
                      <w:rFonts w:hint="eastAsia"/>
                      <w:color w:val="auto"/>
                    </w:rPr>
                    <w:t>机械设备燃料废气</w:t>
                  </w:r>
                </w:p>
              </w:tc>
              <w:tc>
                <w:tcPr>
                  <w:tcW w:w="546" w:type="pct"/>
                  <w:tcBorders>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 xml:space="preserve"> </w:t>
                  </w:r>
                </w:p>
              </w:tc>
              <w:tc>
                <w:tcPr>
                  <w:tcW w:w="744" w:type="pct"/>
                  <w:tcBorders>
                    <w:bottom w:val="single" w:color="auto" w:sz="4" w:space="0"/>
                    <w:righ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582" w:type="pct"/>
                  <w:tcBorders>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963" w:type="pct"/>
                  <w:tcBorders>
                    <w:top w:val="single" w:color="auto" w:sz="4" w:space="0"/>
                    <w:bottom w:val="single" w:color="auto" w:sz="4" w:space="0"/>
                    <w:right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606" w:type="pct"/>
                  <w:tcBorders>
                    <w:left w:val="single" w:color="auto" w:sz="4" w:space="0"/>
                    <w:bottom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5" w:type="pct"/>
                  <w:tcBorders>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0.903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vMerge w:val="continue"/>
                  <w:tcBorders>
                    <w:right w:val="single" w:color="auto" w:sz="4" w:space="0"/>
                  </w:tcBorders>
                  <w:vAlign w:val="center"/>
                </w:tcPr>
                <w:p>
                  <w:pPr>
                    <w:pStyle w:val="2"/>
                    <w:rPr>
                      <w:rFonts w:hint="eastAsia"/>
                      <w:color w:val="auto"/>
                    </w:rPr>
                  </w:pPr>
                </w:p>
              </w:tc>
              <w:tc>
                <w:tcPr>
                  <w:tcW w:w="546"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烟尘</w:t>
                  </w:r>
                </w:p>
              </w:tc>
              <w:tc>
                <w:tcPr>
                  <w:tcW w:w="744" w:type="pct"/>
                  <w:tcBorders>
                    <w:top w:val="single" w:color="auto" w:sz="4" w:space="0"/>
                    <w:bottom w:val="single" w:color="auto" w:sz="4" w:space="0"/>
                    <w:righ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0.714</w:t>
                  </w:r>
                </w:p>
              </w:tc>
              <w:tc>
                <w:tcPr>
                  <w:tcW w:w="582"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963" w:type="pct"/>
                  <w:tcBorders>
                    <w:top w:val="single" w:color="auto" w:sz="4" w:space="0"/>
                    <w:bottom w:val="single" w:color="auto" w:sz="4" w:space="0"/>
                    <w:right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606"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5" w:type="pct"/>
                  <w:tcBorders>
                    <w:top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vMerge w:val="continue"/>
                  <w:tcBorders>
                    <w:right w:val="single" w:color="auto" w:sz="4" w:space="0"/>
                  </w:tcBorders>
                  <w:vAlign w:val="center"/>
                </w:tcPr>
                <w:p>
                  <w:pPr>
                    <w:pStyle w:val="2"/>
                    <w:rPr>
                      <w:rFonts w:hint="eastAsia"/>
                      <w:color w:val="auto"/>
                    </w:rPr>
                  </w:pPr>
                </w:p>
              </w:tc>
              <w:tc>
                <w:tcPr>
                  <w:tcW w:w="546"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x</w:t>
                  </w:r>
                </w:p>
              </w:tc>
              <w:tc>
                <w:tcPr>
                  <w:tcW w:w="744" w:type="pct"/>
                  <w:tcBorders>
                    <w:top w:val="single" w:color="auto" w:sz="4" w:space="0"/>
                    <w:bottom w:val="single" w:color="auto" w:sz="4" w:space="0"/>
                    <w:righ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2.56</w:t>
                  </w:r>
                </w:p>
              </w:tc>
              <w:tc>
                <w:tcPr>
                  <w:tcW w:w="582"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963" w:type="pct"/>
                  <w:tcBorders>
                    <w:top w:val="single" w:color="auto" w:sz="4" w:space="0"/>
                    <w:bottom w:val="single" w:color="auto" w:sz="4" w:space="0"/>
                    <w:right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606"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5" w:type="pct"/>
                  <w:tcBorders>
                    <w:top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vMerge w:val="continue"/>
                  <w:tcBorders>
                    <w:right w:val="single" w:color="auto" w:sz="4" w:space="0"/>
                  </w:tcBorders>
                  <w:vAlign w:val="center"/>
                </w:tcPr>
                <w:p>
                  <w:pPr>
                    <w:pStyle w:val="2"/>
                    <w:rPr>
                      <w:rFonts w:hint="eastAsia"/>
                      <w:color w:val="auto"/>
                    </w:rPr>
                  </w:pPr>
                </w:p>
              </w:tc>
              <w:tc>
                <w:tcPr>
                  <w:tcW w:w="546"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CO</w:t>
                  </w:r>
                </w:p>
              </w:tc>
              <w:tc>
                <w:tcPr>
                  <w:tcW w:w="744" w:type="pct"/>
                  <w:tcBorders>
                    <w:top w:val="single" w:color="auto" w:sz="4" w:space="0"/>
                    <w:bottom w:val="single" w:color="auto" w:sz="4" w:space="0"/>
                    <w:righ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1.52</w:t>
                  </w:r>
                </w:p>
              </w:tc>
              <w:tc>
                <w:tcPr>
                  <w:tcW w:w="582"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963" w:type="pct"/>
                  <w:tcBorders>
                    <w:top w:val="single" w:color="auto" w:sz="4" w:space="0"/>
                    <w:bottom w:val="single" w:color="auto" w:sz="4" w:space="0"/>
                    <w:right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606" w:type="pct"/>
                  <w:tcBorders>
                    <w:top w:val="single" w:color="auto" w:sz="4" w:space="0"/>
                    <w:left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5" w:type="pct"/>
                  <w:tcBorders>
                    <w:top w:val="single" w:color="auto" w:sz="4" w:space="0"/>
                    <w:bottom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83" w:type="pct"/>
                  <w:vMerge w:val="continue"/>
                  <w:vAlign w:val="center"/>
                </w:tcPr>
                <w:p>
                  <w:pPr>
                    <w:pStyle w:val="2"/>
                    <w:rPr>
                      <w:color w:val="auto"/>
                    </w:rPr>
                  </w:pPr>
                </w:p>
              </w:tc>
              <w:tc>
                <w:tcPr>
                  <w:tcW w:w="527" w:type="pct"/>
                  <w:tcBorders>
                    <w:right w:val="single" w:color="auto" w:sz="4" w:space="0"/>
                  </w:tcBorders>
                  <w:vAlign w:val="center"/>
                </w:tcPr>
                <w:p>
                  <w:pPr>
                    <w:pStyle w:val="2"/>
                    <w:rPr>
                      <w:rFonts w:hint="default" w:eastAsia="宋体"/>
                      <w:color w:val="auto"/>
                      <w:lang w:val="en-US" w:eastAsia="zh-CN"/>
                    </w:rPr>
                  </w:pPr>
                  <w:r>
                    <w:rPr>
                      <w:rFonts w:hint="eastAsia"/>
                      <w:color w:val="auto"/>
                      <w:lang w:val="en-US" w:eastAsia="zh-CN"/>
                    </w:rPr>
                    <w:t>食堂油烟</w:t>
                  </w:r>
                </w:p>
              </w:tc>
              <w:tc>
                <w:tcPr>
                  <w:tcW w:w="546" w:type="pct"/>
                  <w:tcBorders>
                    <w:top w:val="single" w:color="auto" w:sz="4" w:space="0"/>
                    <w:lef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油烟</w:t>
                  </w:r>
                </w:p>
              </w:tc>
              <w:tc>
                <w:tcPr>
                  <w:tcW w:w="744" w:type="pct"/>
                  <w:tcBorders>
                    <w:top w:val="single" w:color="auto" w:sz="4" w:space="0"/>
                    <w:righ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eastAsia"/>
                      <w:lang w:val="en-US" w:eastAsia="zh-CN"/>
                    </w:rPr>
                    <w:t>4.752</w:t>
                  </w:r>
                  <w:r>
                    <w:t>kg/a</w:t>
                  </w:r>
                </w:p>
              </w:tc>
              <w:tc>
                <w:tcPr>
                  <w:tcW w:w="582" w:type="pct"/>
                  <w:tcBorders>
                    <w:top w:val="single" w:color="auto" w:sz="4" w:space="0"/>
                    <w:left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963" w:type="pct"/>
                  <w:tcBorders>
                    <w:top w:val="single" w:color="auto" w:sz="4" w:space="0"/>
                    <w:right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t>油烟净化器</w:t>
                  </w:r>
                </w:p>
              </w:tc>
              <w:tc>
                <w:tcPr>
                  <w:tcW w:w="606" w:type="pct"/>
                  <w:tcBorders>
                    <w:top w:val="single" w:color="auto" w:sz="4" w:space="0"/>
                    <w:left w:val="single" w:color="auto" w:sz="4" w:space="0"/>
                  </w:tcBorders>
                  <w:vAlign w:val="center"/>
                </w:tcPr>
                <w:p>
                  <w:pPr>
                    <w:pStyle w:val="2"/>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745" w:type="pct"/>
                  <w:tcBorders>
                    <w:top w:val="single" w:color="auto" w:sz="4" w:space="0"/>
                  </w:tcBorders>
                  <w:vAlign w:val="center"/>
                </w:tcPr>
                <w:p>
                  <w:pPr>
                    <w:pStyle w:val="2"/>
                    <w:ind w:firstLine="0" w:firstLineChars="0"/>
                    <w:rPr>
                      <w:rFonts w:hint="eastAsia" w:ascii="Times New Roman" w:hAnsi="Times New Roman" w:eastAsia="宋体" w:cs="Times New Roman"/>
                      <w:color w:val="auto"/>
                      <w:lang w:val="en-US" w:eastAsia="zh-CN"/>
                    </w:rPr>
                  </w:pPr>
                  <w:r>
                    <w:rPr>
                      <w:rFonts w:hint="eastAsia"/>
                      <w:lang w:val="en-US" w:eastAsia="zh-CN"/>
                    </w:rPr>
                    <w:t>1.901</w:t>
                  </w:r>
                  <w:r>
                    <w:t>kg/a</w:t>
                  </w:r>
                </w:p>
              </w:tc>
            </w:tr>
          </w:tbl>
          <w:p>
            <w:pPr>
              <w:bidi w:val="0"/>
              <w:rPr>
                <w:color w:val="auto"/>
              </w:rPr>
            </w:pPr>
            <w:r>
              <w:rPr>
                <w:rFonts w:hint="eastAsia"/>
                <w:color w:val="auto"/>
              </w:rPr>
              <w:t>本项目运营期在严格落实污染治理措施的前提下，粉尘</w:t>
            </w:r>
            <w:r>
              <w:rPr>
                <w:color w:val="auto"/>
              </w:rPr>
              <w:t>排放浓度</w:t>
            </w:r>
            <w:r>
              <w:rPr>
                <w:rFonts w:hint="eastAsia"/>
                <w:color w:val="auto"/>
              </w:rPr>
              <w:t>可</w:t>
            </w:r>
            <w:r>
              <w:rPr>
                <w:color w:val="auto"/>
              </w:rPr>
              <w:t>满足《大气污染物综合排放标准》</w:t>
            </w:r>
            <w:r>
              <w:rPr>
                <w:rFonts w:hint="eastAsia"/>
                <w:color w:val="auto"/>
              </w:rPr>
              <w:t>（</w:t>
            </w:r>
            <w:r>
              <w:rPr>
                <w:color w:val="auto"/>
              </w:rPr>
              <w:t>GB16297-1996</w:t>
            </w:r>
            <w:r>
              <w:rPr>
                <w:rFonts w:hint="eastAsia"/>
                <w:color w:val="auto"/>
              </w:rPr>
              <w:t>）</w:t>
            </w:r>
            <w:r>
              <w:rPr>
                <w:color w:val="auto"/>
              </w:rPr>
              <w:t>表2中标准要求</w:t>
            </w:r>
            <w:r>
              <w:rPr>
                <w:rFonts w:hint="eastAsia"/>
                <w:color w:val="auto"/>
                <w:lang w:eastAsia="zh-CN"/>
              </w:rPr>
              <w:t>，对周围</w:t>
            </w:r>
            <w:r>
              <w:rPr>
                <w:color w:val="auto"/>
              </w:rPr>
              <w:t>大气环境影响较小。</w:t>
            </w:r>
          </w:p>
          <w:p>
            <w:pPr>
              <w:pStyle w:val="5"/>
              <w:rPr>
                <w:color w:val="auto"/>
              </w:rPr>
            </w:pPr>
            <w:r>
              <w:rPr>
                <w:rFonts w:hint="eastAsia"/>
                <w:color w:val="auto"/>
                <w:lang w:val="en-US" w:eastAsia="zh-CN"/>
              </w:rPr>
              <w:t>3</w:t>
            </w:r>
            <w:r>
              <w:rPr>
                <w:rFonts w:hint="eastAsia"/>
                <w:color w:val="auto"/>
              </w:rPr>
              <w:t xml:space="preserve">、水污染源及影响分析 </w:t>
            </w:r>
          </w:p>
          <w:p>
            <w:pPr>
              <w:pStyle w:val="5"/>
              <w:bidi w:val="0"/>
              <w:rPr>
                <w:rFonts w:hint="eastAsia"/>
                <w:color w:val="auto"/>
                <w:lang w:eastAsia="zh-CN"/>
              </w:rPr>
            </w:pPr>
            <w:r>
              <w:rPr>
                <w:rFonts w:hint="eastAsia"/>
                <w:color w:val="auto"/>
                <w:lang w:val="en-US" w:eastAsia="zh-CN"/>
              </w:rPr>
              <w:t>3.1</w:t>
            </w:r>
            <w:r>
              <w:rPr>
                <w:rFonts w:hint="eastAsia"/>
                <w:color w:val="auto"/>
                <w:lang w:eastAsia="zh-CN"/>
              </w:rPr>
              <w:t>工业废水</w:t>
            </w:r>
          </w:p>
          <w:p>
            <w:pPr>
              <w:adjustRightInd w:val="0"/>
              <w:snapToGrid w:val="0"/>
              <w:spacing w:line="360" w:lineRule="auto"/>
              <w:ind w:firstLine="480" w:firstLineChars="200"/>
              <w:rPr>
                <w:color w:val="auto"/>
              </w:rPr>
            </w:pPr>
            <w:r>
              <w:rPr>
                <w:color w:val="auto"/>
              </w:rPr>
              <w:t>本项目</w:t>
            </w:r>
            <w:r>
              <w:rPr>
                <w:rFonts w:hint="eastAsia"/>
                <w:color w:val="auto"/>
              </w:rPr>
              <w:t>抑尘用水均蒸发损耗</w:t>
            </w:r>
            <w:r>
              <w:rPr>
                <w:rFonts w:hint="eastAsia"/>
                <w:color w:val="auto"/>
                <w:lang w:eastAsia="zh-CN"/>
              </w:rPr>
              <w:t>；</w:t>
            </w:r>
            <w:r>
              <w:rPr>
                <w:rFonts w:hint="eastAsia"/>
                <w:color w:val="auto"/>
                <w:spacing w:val="6"/>
                <w:lang w:val="en-US" w:eastAsia="zh-CN"/>
              </w:rPr>
              <w:t>采矿</w:t>
            </w:r>
            <w:r>
              <w:rPr>
                <w:rFonts w:hint="eastAsia"/>
                <w:color w:val="auto"/>
                <w:spacing w:val="6"/>
                <w:lang w:eastAsia="zh-CN"/>
              </w:rPr>
              <w:t>废水</w:t>
            </w:r>
            <w:r>
              <w:rPr>
                <w:rFonts w:hint="eastAsia"/>
                <w:color w:val="auto"/>
                <w:spacing w:val="6"/>
                <w:lang w:val="en-US" w:eastAsia="zh-CN"/>
              </w:rPr>
              <w:t>和洗车废水</w:t>
            </w:r>
            <w:r>
              <w:rPr>
                <w:rFonts w:hint="eastAsia"/>
                <w:color w:val="auto"/>
                <w:spacing w:val="6"/>
                <w:lang w:eastAsia="zh-CN"/>
              </w:rPr>
              <w:t>，</w:t>
            </w:r>
            <w:r>
              <w:rPr>
                <w:color w:val="auto"/>
              </w:rPr>
              <w:t>废水引入</w:t>
            </w:r>
            <w:r>
              <w:rPr>
                <w:rFonts w:hint="eastAsia"/>
                <w:color w:val="auto"/>
              </w:rPr>
              <w:t>循环</w:t>
            </w:r>
            <w:r>
              <w:rPr>
                <w:color w:val="auto"/>
              </w:rPr>
              <w:t>沉淀池，经沉淀后循环使用</w:t>
            </w:r>
            <w:r>
              <w:rPr>
                <w:rFonts w:hint="eastAsia"/>
                <w:color w:val="auto"/>
                <w:lang w:eastAsia="zh-CN"/>
              </w:rPr>
              <w:t>，</w:t>
            </w:r>
            <w:r>
              <w:rPr>
                <w:rFonts w:hint="eastAsia"/>
                <w:color w:val="auto"/>
                <w:vertAlign w:val="baseline"/>
                <w:lang w:val="en-US" w:eastAsia="zh-CN"/>
              </w:rPr>
              <w:t>不外排</w:t>
            </w:r>
            <w:r>
              <w:rPr>
                <w:color w:val="auto"/>
                <w:szCs w:val="22"/>
              </w:rPr>
              <w:t>。</w:t>
            </w:r>
          </w:p>
          <w:p>
            <w:pPr>
              <w:pStyle w:val="5"/>
              <w:bidi w:val="0"/>
              <w:rPr>
                <w:rFonts w:hint="default"/>
                <w:color w:val="auto"/>
                <w:lang w:val="en-US"/>
              </w:rPr>
            </w:pPr>
            <w:r>
              <w:rPr>
                <w:rFonts w:hint="eastAsia"/>
                <w:color w:val="auto"/>
                <w:lang w:val="en-US" w:eastAsia="zh-CN"/>
              </w:rPr>
              <w:t>3.2生活污水</w:t>
            </w:r>
          </w:p>
          <w:p>
            <w:pPr>
              <w:bidi w:val="0"/>
              <w:rPr>
                <w:rFonts w:hint="eastAsia"/>
                <w:color w:val="auto"/>
                <w:lang w:val="en-US" w:eastAsia="zh-CN"/>
              </w:rPr>
            </w:pPr>
            <w:r>
              <w:rPr>
                <w:rFonts w:hint="eastAsia"/>
                <w:color w:val="auto"/>
                <w:spacing w:val="6"/>
                <w:sz w:val="24"/>
              </w:rPr>
              <w:t>项目区劳动定员为</w:t>
            </w:r>
            <w:r>
              <w:rPr>
                <w:rFonts w:hint="eastAsia"/>
                <w:color w:val="auto"/>
                <w:spacing w:val="6"/>
                <w:sz w:val="24"/>
                <w:lang w:val="en-US" w:eastAsia="zh-CN"/>
              </w:rPr>
              <w:t>22</w:t>
            </w:r>
            <w:r>
              <w:rPr>
                <w:rFonts w:hint="eastAsia"/>
                <w:color w:val="auto"/>
                <w:spacing w:val="6"/>
                <w:sz w:val="24"/>
              </w:rPr>
              <w:t>人，根据《新疆维吾尔自治区生活用水定额》南疆地区</w:t>
            </w:r>
            <w:r>
              <w:rPr>
                <w:rFonts w:hint="eastAsia"/>
                <w:color w:val="auto"/>
                <w:spacing w:val="6"/>
                <w:sz w:val="24"/>
                <w:lang w:eastAsia="zh-CN"/>
              </w:rPr>
              <w:t>农村</w:t>
            </w:r>
            <w:r>
              <w:rPr>
                <w:rFonts w:hint="eastAsia"/>
                <w:color w:val="auto"/>
                <w:spacing w:val="6"/>
                <w:sz w:val="24"/>
              </w:rPr>
              <w:t>居民住宅，</w:t>
            </w:r>
            <w:r>
              <w:rPr>
                <w:rFonts w:hint="eastAsia"/>
                <w:color w:val="auto"/>
                <w:spacing w:val="6"/>
                <w:sz w:val="24"/>
                <w:lang w:eastAsia="zh-CN"/>
              </w:rPr>
              <w:t>有上下水设施及淋浴设备</w:t>
            </w:r>
            <w:r>
              <w:rPr>
                <w:rFonts w:hint="eastAsia"/>
                <w:color w:val="auto"/>
                <w:spacing w:val="6"/>
                <w:sz w:val="24"/>
              </w:rPr>
              <w:t>生活用水定额为</w:t>
            </w:r>
            <w:r>
              <w:rPr>
                <w:rFonts w:hint="eastAsia"/>
                <w:color w:val="auto"/>
                <w:spacing w:val="6"/>
                <w:sz w:val="24"/>
                <w:lang w:val="en-US" w:eastAsia="zh-CN"/>
              </w:rPr>
              <w:t>60～80</w:t>
            </w:r>
            <w:r>
              <w:rPr>
                <w:rFonts w:hint="eastAsia"/>
                <w:color w:val="auto"/>
                <w:spacing w:val="6"/>
                <w:sz w:val="24"/>
              </w:rPr>
              <w:t>L/人·d，本项目取</w:t>
            </w:r>
            <w:r>
              <w:rPr>
                <w:rFonts w:hint="eastAsia"/>
                <w:color w:val="auto"/>
                <w:spacing w:val="6"/>
                <w:sz w:val="24"/>
                <w:lang w:val="en-US" w:eastAsia="zh-CN"/>
              </w:rPr>
              <w:t>70</w:t>
            </w:r>
            <w:r>
              <w:rPr>
                <w:rFonts w:hint="eastAsia"/>
                <w:color w:val="auto"/>
                <w:spacing w:val="6"/>
                <w:sz w:val="24"/>
              </w:rPr>
              <w:t>L/人·d计，</w:t>
            </w:r>
            <w:r>
              <w:rPr>
                <w:rFonts w:hint="eastAsia"/>
                <w:color w:val="auto"/>
                <w:spacing w:val="6"/>
                <w:sz w:val="24"/>
                <w:lang w:eastAsia="zh-CN"/>
              </w:rPr>
              <w:t>年工作</w:t>
            </w:r>
            <w:r>
              <w:rPr>
                <w:rFonts w:hint="eastAsia"/>
                <w:color w:val="auto"/>
                <w:spacing w:val="6"/>
                <w:sz w:val="24"/>
                <w:lang w:val="en-US" w:eastAsia="zh-CN"/>
              </w:rPr>
              <w:t>240d，</w:t>
            </w:r>
            <w:r>
              <w:rPr>
                <w:rFonts w:hint="eastAsia"/>
                <w:color w:val="auto"/>
                <w:spacing w:val="6"/>
                <w:sz w:val="24"/>
              </w:rPr>
              <w:t>则矿区生活用水量为</w:t>
            </w:r>
            <w:r>
              <w:rPr>
                <w:rFonts w:hint="eastAsia"/>
                <w:color w:val="auto"/>
                <w:spacing w:val="6"/>
                <w:sz w:val="24"/>
                <w:lang w:val="en-US" w:eastAsia="zh-CN"/>
              </w:rPr>
              <w:t>1.54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369.6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r>
              <w:rPr>
                <w:rFonts w:hint="eastAsia"/>
                <w:color w:val="auto"/>
                <w:spacing w:val="6"/>
                <w:sz w:val="24"/>
                <w:lang w:eastAsia="zh-CN"/>
              </w:rPr>
              <w:t>，</w:t>
            </w:r>
            <w:r>
              <w:rPr>
                <w:color w:val="auto"/>
                <w:kern w:val="0"/>
                <w:sz w:val="24"/>
              </w:rPr>
              <w:t>生活污水按80%的排放量计，则生活污水排放量约</w:t>
            </w:r>
            <w:r>
              <w:rPr>
                <w:rFonts w:hint="eastAsia"/>
                <w:color w:val="auto"/>
                <w:spacing w:val="6"/>
                <w:sz w:val="24"/>
                <w:lang w:val="en-US" w:eastAsia="zh-CN"/>
              </w:rPr>
              <w:t>1.232</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295.668</w:t>
            </w:r>
            <w:r>
              <w:rPr>
                <w:rFonts w:hint="eastAsia"/>
                <w:color w:val="auto"/>
                <w:spacing w:val="6"/>
                <w:sz w:val="24"/>
              </w:rPr>
              <w:t>m</w:t>
            </w:r>
            <w:r>
              <w:rPr>
                <w:rFonts w:hint="eastAsia"/>
                <w:color w:val="auto"/>
                <w:spacing w:val="6"/>
                <w:sz w:val="24"/>
                <w:vertAlign w:val="superscript"/>
              </w:rPr>
              <w:t>3</w:t>
            </w:r>
            <w:r>
              <w:rPr>
                <w:color w:val="auto"/>
                <w:kern w:val="0"/>
                <w:sz w:val="24"/>
              </w:rPr>
              <w:t>/</w:t>
            </w:r>
            <w:r>
              <w:rPr>
                <w:rFonts w:hint="eastAsia"/>
                <w:color w:val="auto"/>
                <w:kern w:val="0"/>
                <w:sz w:val="24"/>
                <w:lang w:val="en-US" w:eastAsia="zh-CN"/>
              </w:rPr>
              <w:t>a，</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val="en-US" w:eastAsia="zh-CN"/>
              </w:rPr>
              <w:t>。本项目周边无地表水，不会对地表水产生影响。</w:t>
            </w:r>
          </w:p>
          <w:p>
            <w:pPr>
              <w:pStyle w:val="7"/>
              <w:bidi w:val="0"/>
              <w:rPr>
                <w:color w:val="auto"/>
              </w:rPr>
            </w:pPr>
            <w:r>
              <w:rPr>
                <w:rFonts w:hint="eastAsia"/>
                <w:color w:val="auto"/>
              </w:rPr>
              <w:t>表4-</w:t>
            </w:r>
            <w:r>
              <w:rPr>
                <w:rFonts w:hint="eastAsia"/>
                <w:color w:val="auto"/>
                <w:lang w:val="en-US" w:eastAsia="zh-CN"/>
              </w:rPr>
              <w:t>3</w:t>
            </w:r>
            <w:r>
              <w:rPr>
                <w:rFonts w:hint="eastAsia"/>
                <w:color w:val="auto"/>
              </w:rPr>
              <w:t xml:space="preserve">             </w:t>
            </w:r>
            <w:r>
              <w:rPr>
                <w:color w:val="auto"/>
              </w:rPr>
              <w:t>本项目</w:t>
            </w:r>
            <w:r>
              <w:rPr>
                <w:rFonts w:hint="eastAsia"/>
                <w:color w:val="auto"/>
              </w:rPr>
              <w:t>生活污水</w:t>
            </w:r>
            <w:r>
              <w:rPr>
                <w:color w:val="auto"/>
              </w:rPr>
              <w:t>污染产生排放情况一览表</w:t>
            </w:r>
          </w:p>
          <w:tbl>
            <w:tblPr>
              <w:tblStyle w:val="30"/>
              <w:tblpPr w:leftFromText="180" w:rightFromText="180" w:vertAnchor="text" w:horzAnchor="page" w:tblpXSpec="center" w:tblpY="25"/>
              <w:tblOverlap w:val="never"/>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498"/>
              <w:gridCol w:w="1076"/>
              <w:gridCol w:w="1863"/>
              <w:gridCol w:w="1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3" w:type="pct"/>
                  <w:tcMar>
                    <w:left w:w="28" w:type="dxa"/>
                    <w:right w:w="28" w:type="dxa"/>
                  </w:tcMar>
                  <w:vAlign w:val="center"/>
                </w:tcPr>
                <w:p>
                  <w:pPr>
                    <w:pStyle w:val="47"/>
                    <w:topLinePunct/>
                    <w:spacing w:before="0" w:after="0" w:line="240" w:lineRule="auto"/>
                    <w:ind w:left="0" w:firstLine="0" w:firstLineChars="0"/>
                    <w:textAlignment w:val="center"/>
                    <w:rPr>
                      <w:rFonts w:hint="eastAsia" w:eastAsia="宋体"/>
                      <w:color w:val="auto"/>
                      <w:lang w:val="en-US" w:eastAsia="zh-CN"/>
                    </w:rPr>
                  </w:pPr>
                  <w:r>
                    <w:rPr>
                      <w:rFonts w:hint="eastAsia"/>
                      <w:color w:val="auto"/>
                      <w:lang w:val="en-US" w:eastAsia="zh-CN"/>
                    </w:rPr>
                    <w:t>项目</w:t>
                  </w:r>
                </w:p>
              </w:tc>
              <w:tc>
                <w:tcPr>
                  <w:tcW w:w="1011"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color w:val="auto"/>
                    </w:rPr>
                    <w:t>废水量</w:t>
                  </w:r>
                </w:p>
              </w:tc>
              <w:tc>
                <w:tcPr>
                  <w:tcW w:w="726"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color w:val="auto"/>
                    </w:rPr>
                    <w:t>污染物</w:t>
                  </w:r>
                </w:p>
              </w:tc>
              <w:tc>
                <w:tcPr>
                  <w:tcW w:w="1257"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rFonts w:hint="eastAsia"/>
                      <w:color w:val="auto"/>
                      <w:lang w:val="en-US" w:eastAsia="zh-CN"/>
                    </w:rPr>
                    <w:t>产生</w:t>
                  </w:r>
                  <w:r>
                    <w:rPr>
                      <w:color w:val="auto"/>
                    </w:rPr>
                    <w:t>浓度</w:t>
                  </w:r>
                  <w:r>
                    <w:rPr>
                      <w:rFonts w:hint="eastAsia"/>
                      <w:color w:val="auto"/>
                      <w:lang w:eastAsia="zh-CN"/>
                    </w:rPr>
                    <w:t>（</w:t>
                  </w:r>
                  <w:r>
                    <w:rPr>
                      <w:color w:val="auto"/>
                    </w:rPr>
                    <w:t>mg/L）</w:t>
                  </w:r>
                </w:p>
              </w:tc>
              <w:tc>
                <w:tcPr>
                  <w:tcW w:w="1120"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color w:val="auto"/>
                    </w:rPr>
                    <w:t>年产生量</w:t>
                  </w:r>
                  <w:r>
                    <w:rPr>
                      <w:rFonts w:hint="eastAsia"/>
                      <w:color w:val="auto"/>
                      <w:lang w:eastAsia="zh-CN"/>
                    </w:rPr>
                    <w:t>（</w:t>
                  </w:r>
                  <w:r>
                    <w:rPr>
                      <w:color w:val="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3" w:type="pct"/>
                  <w:vMerge w:val="restart"/>
                  <w:tcMar>
                    <w:left w:w="28" w:type="dxa"/>
                    <w:right w:w="28" w:type="dxa"/>
                  </w:tcMar>
                  <w:vAlign w:val="center"/>
                </w:tcPr>
                <w:p>
                  <w:pPr>
                    <w:pStyle w:val="47"/>
                    <w:topLinePunct/>
                    <w:spacing w:before="0" w:after="0" w:line="240" w:lineRule="auto"/>
                    <w:ind w:left="0" w:firstLine="0" w:firstLineChars="0"/>
                    <w:textAlignment w:val="center"/>
                    <w:rPr>
                      <w:rFonts w:hint="default" w:eastAsia="宋体"/>
                      <w:color w:val="auto"/>
                      <w:lang w:val="en-US" w:eastAsia="zh-CN"/>
                    </w:rPr>
                  </w:pPr>
                  <w:r>
                    <w:rPr>
                      <w:rFonts w:hint="eastAsia"/>
                      <w:color w:val="auto"/>
                      <w:lang w:val="en-US" w:eastAsia="zh-CN"/>
                    </w:rPr>
                    <w:t>生活污水</w:t>
                  </w:r>
                </w:p>
              </w:tc>
              <w:tc>
                <w:tcPr>
                  <w:tcW w:w="1011" w:type="pct"/>
                  <w:vMerge w:val="restart"/>
                  <w:tcMar>
                    <w:left w:w="28" w:type="dxa"/>
                    <w:right w:w="28" w:type="dxa"/>
                  </w:tcMar>
                  <w:vAlign w:val="center"/>
                </w:tcPr>
                <w:p>
                  <w:pPr>
                    <w:pStyle w:val="47"/>
                    <w:topLinePunct/>
                    <w:spacing w:before="0" w:after="0" w:line="240" w:lineRule="auto"/>
                    <w:ind w:left="0" w:firstLine="0" w:firstLineChars="0"/>
                    <w:textAlignment w:val="center"/>
                    <w:rPr>
                      <w:color w:val="auto"/>
                    </w:rPr>
                  </w:pPr>
                  <w:r>
                    <w:rPr>
                      <w:rFonts w:hint="eastAsia" w:ascii="Times New Roman" w:hAnsi="Times New Roman" w:eastAsia="宋体" w:cs="Times New Roman"/>
                      <w:color w:val="auto"/>
                      <w:lang w:val="en-US" w:eastAsia="zh-CN"/>
                    </w:rPr>
                    <w:t>295.668</w:t>
                  </w:r>
                  <w:r>
                    <w:rPr>
                      <w:rFonts w:ascii="Times New Roman" w:hAnsi="Times New Roman" w:eastAsia="宋体" w:cs="Times New Roman"/>
                      <w:color w:val="auto"/>
                    </w:rPr>
                    <w:t>m</w:t>
                  </w:r>
                  <w:r>
                    <w:rPr>
                      <w:color w:val="auto"/>
                      <w:vertAlign w:val="superscript"/>
                    </w:rPr>
                    <w:t>3</w:t>
                  </w:r>
                  <w:r>
                    <w:rPr>
                      <w:color w:val="auto"/>
                    </w:rPr>
                    <w:t>/a</w:t>
                  </w:r>
                </w:p>
              </w:tc>
              <w:tc>
                <w:tcPr>
                  <w:tcW w:w="726"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color w:val="auto"/>
                    </w:rPr>
                    <w:t>COD</w:t>
                  </w:r>
                </w:p>
              </w:tc>
              <w:tc>
                <w:tcPr>
                  <w:tcW w:w="1257" w:type="pct"/>
                  <w:tcMar>
                    <w:left w:w="28" w:type="dxa"/>
                    <w:right w:w="28" w:type="dxa"/>
                  </w:tcMar>
                  <w:vAlign w:val="center"/>
                </w:tcPr>
                <w:p>
                  <w:pPr>
                    <w:pStyle w:val="2"/>
                    <w:bidi w:val="0"/>
                    <w:rPr>
                      <w:rFonts w:hint="default"/>
                      <w:color w:val="auto"/>
                      <w:lang w:val="en-US" w:eastAsia="zh-CN"/>
                    </w:rPr>
                  </w:pPr>
                  <w:r>
                    <w:rPr>
                      <w:rFonts w:hint="default"/>
                      <w:color w:val="auto"/>
                      <w:lang w:val="en-US" w:eastAsia="zh-CN"/>
                    </w:rPr>
                    <w:t>313.4</w:t>
                  </w:r>
                </w:p>
              </w:tc>
              <w:tc>
                <w:tcPr>
                  <w:tcW w:w="1732" w:type="dxa"/>
                  <w:tcMar>
                    <w:left w:w="28" w:type="dxa"/>
                    <w:right w:w="28" w:type="dxa"/>
                  </w:tcMar>
                  <w:vAlign w:val="center"/>
                </w:tcPr>
                <w:p>
                  <w:pPr>
                    <w:pStyle w:val="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0.093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3" w:type="pct"/>
                  <w:vMerge w:val="continue"/>
                  <w:tcMar>
                    <w:left w:w="28" w:type="dxa"/>
                    <w:right w:w="28" w:type="dxa"/>
                  </w:tcMar>
                  <w:vAlign w:val="center"/>
                </w:tcPr>
                <w:p>
                  <w:pPr>
                    <w:pStyle w:val="47"/>
                    <w:topLinePunct/>
                    <w:spacing w:before="0" w:after="0" w:line="240" w:lineRule="auto"/>
                    <w:ind w:left="0" w:firstLine="0" w:firstLineChars="0"/>
                    <w:textAlignment w:val="center"/>
                    <w:rPr>
                      <w:color w:val="auto"/>
                    </w:rPr>
                  </w:pPr>
                </w:p>
              </w:tc>
              <w:tc>
                <w:tcPr>
                  <w:tcW w:w="1011" w:type="pct"/>
                  <w:vMerge w:val="continue"/>
                  <w:tcMar>
                    <w:left w:w="28" w:type="dxa"/>
                    <w:right w:w="28" w:type="dxa"/>
                  </w:tcMar>
                  <w:vAlign w:val="center"/>
                </w:tcPr>
                <w:p>
                  <w:pPr>
                    <w:pStyle w:val="47"/>
                    <w:topLinePunct/>
                    <w:spacing w:before="0" w:after="0" w:line="240" w:lineRule="auto"/>
                    <w:ind w:left="0" w:firstLine="0" w:firstLineChars="0"/>
                    <w:textAlignment w:val="center"/>
                    <w:rPr>
                      <w:color w:val="auto"/>
                    </w:rPr>
                  </w:pPr>
                </w:p>
              </w:tc>
              <w:tc>
                <w:tcPr>
                  <w:tcW w:w="726"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color w:val="auto"/>
                    </w:rPr>
                    <w:t>BOD</w:t>
                  </w:r>
                  <w:r>
                    <w:rPr>
                      <w:color w:val="auto"/>
                      <w:vertAlign w:val="subscript"/>
                    </w:rPr>
                    <w:t>5</w:t>
                  </w:r>
                </w:p>
              </w:tc>
              <w:tc>
                <w:tcPr>
                  <w:tcW w:w="1257" w:type="pct"/>
                  <w:tcMar>
                    <w:left w:w="28" w:type="dxa"/>
                    <w:right w:w="28" w:type="dxa"/>
                  </w:tcMar>
                  <w:vAlign w:val="center"/>
                </w:tcPr>
                <w:p>
                  <w:pPr>
                    <w:pStyle w:val="2"/>
                    <w:bidi w:val="0"/>
                    <w:rPr>
                      <w:rFonts w:hint="default"/>
                      <w:color w:val="auto"/>
                      <w:lang w:val="en-US" w:eastAsia="zh-CN"/>
                    </w:rPr>
                  </w:pPr>
                  <w:r>
                    <w:rPr>
                      <w:rFonts w:hint="default"/>
                      <w:color w:val="auto"/>
                      <w:lang w:val="en-US" w:eastAsia="zh-CN"/>
                    </w:rPr>
                    <w:t>114.2</w:t>
                  </w:r>
                </w:p>
              </w:tc>
              <w:tc>
                <w:tcPr>
                  <w:tcW w:w="1732" w:type="dxa"/>
                  <w:tcMar>
                    <w:left w:w="28" w:type="dxa"/>
                    <w:right w:w="28" w:type="dxa"/>
                  </w:tcMar>
                  <w:vAlign w:val="center"/>
                </w:tcPr>
                <w:p>
                  <w:pPr>
                    <w:pStyle w:val="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3" w:type="pct"/>
                  <w:vMerge w:val="continue"/>
                  <w:tcMar>
                    <w:left w:w="28" w:type="dxa"/>
                    <w:right w:w="28" w:type="dxa"/>
                  </w:tcMar>
                  <w:vAlign w:val="center"/>
                </w:tcPr>
                <w:p>
                  <w:pPr>
                    <w:pStyle w:val="47"/>
                    <w:topLinePunct/>
                    <w:spacing w:before="0" w:after="0" w:line="240" w:lineRule="auto"/>
                    <w:ind w:left="0" w:firstLine="0" w:firstLineChars="0"/>
                    <w:textAlignment w:val="center"/>
                    <w:rPr>
                      <w:color w:val="auto"/>
                    </w:rPr>
                  </w:pPr>
                </w:p>
              </w:tc>
              <w:tc>
                <w:tcPr>
                  <w:tcW w:w="1011" w:type="pct"/>
                  <w:vMerge w:val="continue"/>
                  <w:tcMar>
                    <w:left w:w="28" w:type="dxa"/>
                    <w:right w:w="28" w:type="dxa"/>
                  </w:tcMar>
                  <w:vAlign w:val="center"/>
                </w:tcPr>
                <w:p>
                  <w:pPr>
                    <w:pStyle w:val="47"/>
                    <w:topLinePunct/>
                    <w:spacing w:before="0" w:after="0" w:line="240" w:lineRule="auto"/>
                    <w:ind w:left="0" w:firstLine="0" w:firstLineChars="0"/>
                    <w:textAlignment w:val="center"/>
                    <w:rPr>
                      <w:color w:val="auto"/>
                    </w:rPr>
                  </w:pPr>
                </w:p>
              </w:tc>
              <w:tc>
                <w:tcPr>
                  <w:tcW w:w="726"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rFonts w:hint="eastAsia"/>
                      <w:color w:val="auto"/>
                    </w:rPr>
                    <w:t>SS</w:t>
                  </w:r>
                </w:p>
              </w:tc>
              <w:tc>
                <w:tcPr>
                  <w:tcW w:w="1257" w:type="pct"/>
                  <w:tcMar>
                    <w:left w:w="28" w:type="dxa"/>
                    <w:right w:w="28" w:type="dxa"/>
                  </w:tcMar>
                  <w:vAlign w:val="center"/>
                </w:tcPr>
                <w:p>
                  <w:pPr>
                    <w:pStyle w:val="2"/>
                    <w:bidi w:val="0"/>
                    <w:rPr>
                      <w:rFonts w:hint="default"/>
                      <w:color w:val="auto"/>
                      <w:lang w:val="en-US" w:eastAsia="zh-CN"/>
                    </w:rPr>
                  </w:pPr>
                  <w:r>
                    <w:rPr>
                      <w:rFonts w:hint="default"/>
                      <w:color w:val="auto"/>
                      <w:lang w:val="en-US" w:eastAsia="zh-CN"/>
                    </w:rPr>
                    <w:t>194.7</w:t>
                  </w:r>
                </w:p>
              </w:tc>
              <w:tc>
                <w:tcPr>
                  <w:tcW w:w="1732" w:type="dxa"/>
                  <w:tcMar>
                    <w:left w:w="28" w:type="dxa"/>
                    <w:right w:w="28" w:type="dxa"/>
                  </w:tcMar>
                  <w:vAlign w:val="center"/>
                </w:tcPr>
                <w:p>
                  <w:pPr>
                    <w:pStyle w:val="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3" w:type="pct"/>
                  <w:vMerge w:val="continue"/>
                  <w:tcMar>
                    <w:left w:w="28" w:type="dxa"/>
                    <w:right w:w="28" w:type="dxa"/>
                  </w:tcMar>
                  <w:vAlign w:val="center"/>
                </w:tcPr>
                <w:p>
                  <w:pPr>
                    <w:pStyle w:val="47"/>
                    <w:topLinePunct/>
                    <w:spacing w:before="0" w:after="0" w:line="240" w:lineRule="auto"/>
                    <w:ind w:left="0" w:firstLine="0" w:firstLineChars="0"/>
                    <w:textAlignment w:val="center"/>
                    <w:rPr>
                      <w:color w:val="auto"/>
                    </w:rPr>
                  </w:pPr>
                </w:p>
              </w:tc>
              <w:tc>
                <w:tcPr>
                  <w:tcW w:w="1011" w:type="pct"/>
                  <w:vMerge w:val="continue"/>
                  <w:tcMar>
                    <w:left w:w="28" w:type="dxa"/>
                    <w:right w:w="28" w:type="dxa"/>
                  </w:tcMar>
                  <w:vAlign w:val="center"/>
                </w:tcPr>
                <w:p>
                  <w:pPr>
                    <w:pStyle w:val="47"/>
                    <w:topLinePunct/>
                    <w:spacing w:before="0" w:after="0" w:line="240" w:lineRule="auto"/>
                    <w:ind w:left="0" w:firstLine="0" w:firstLineChars="0"/>
                    <w:textAlignment w:val="center"/>
                    <w:rPr>
                      <w:color w:val="auto"/>
                    </w:rPr>
                  </w:pPr>
                </w:p>
              </w:tc>
              <w:tc>
                <w:tcPr>
                  <w:tcW w:w="726" w:type="pct"/>
                  <w:tcMar>
                    <w:left w:w="28" w:type="dxa"/>
                    <w:right w:w="28" w:type="dxa"/>
                  </w:tcMar>
                  <w:vAlign w:val="center"/>
                </w:tcPr>
                <w:p>
                  <w:pPr>
                    <w:pStyle w:val="47"/>
                    <w:topLinePunct/>
                    <w:spacing w:before="0" w:after="0" w:line="240" w:lineRule="auto"/>
                    <w:ind w:left="0" w:firstLine="0" w:firstLineChars="0"/>
                    <w:textAlignment w:val="center"/>
                    <w:rPr>
                      <w:color w:val="auto"/>
                    </w:rPr>
                  </w:pPr>
                  <w:r>
                    <w:rPr>
                      <w:color w:val="auto"/>
                    </w:rPr>
                    <w:t>NH</w:t>
                  </w:r>
                  <w:r>
                    <w:rPr>
                      <w:color w:val="auto"/>
                      <w:vertAlign w:val="subscript"/>
                    </w:rPr>
                    <w:t>3</w:t>
                  </w:r>
                  <w:r>
                    <w:rPr>
                      <w:color w:val="auto"/>
                    </w:rPr>
                    <w:t>-N</w:t>
                  </w:r>
                </w:p>
              </w:tc>
              <w:tc>
                <w:tcPr>
                  <w:tcW w:w="1257" w:type="pct"/>
                  <w:tcMar>
                    <w:left w:w="28" w:type="dxa"/>
                    <w:right w:w="28" w:type="dxa"/>
                  </w:tcMar>
                  <w:vAlign w:val="center"/>
                </w:tcPr>
                <w:p>
                  <w:pPr>
                    <w:pStyle w:val="2"/>
                    <w:bidi w:val="0"/>
                    <w:rPr>
                      <w:rFonts w:hint="default"/>
                      <w:color w:val="auto"/>
                      <w:lang w:val="en-US" w:eastAsia="zh-CN"/>
                    </w:rPr>
                  </w:pPr>
                  <w:r>
                    <w:rPr>
                      <w:rFonts w:hint="default"/>
                      <w:color w:val="auto"/>
                      <w:lang w:val="en-US" w:eastAsia="zh-CN"/>
                    </w:rPr>
                    <w:t>47.7</w:t>
                  </w:r>
                </w:p>
              </w:tc>
              <w:tc>
                <w:tcPr>
                  <w:tcW w:w="1732" w:type="dxa"/>
                  <w:tcMar>
                    <w:left w:w="28" w:type="dxa"/>
                    <w:right w:w="28" w:type="dxa"/>
                  </w:tcMar>
                  <w:vAlign w:val="center"/>
                </w:tcPr>
                <w:p>
                  <w:pPr>
                    <w:pStyle w:val="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Mar>
                    <w:left w:w="28" w:type="dxa"/>
                    <w:right w:w="28" w:type="dxa"/>
                  </w:tcMar>
                  <w:vAlign w:val="center"/>
                </w:tcPr>
                <w:p>
                  <w:pPr>
                    <w:pStyle w:val="47"/>
                    <w:topLinePunct/>
                    <w:spacing w:before="0" w:after="0" w:line="240" w:lineRule="auto"/>
                    <w:ind w:left="0" w:firstLine="0" w:firstLineChars="0"/>
                    <w:textAlignment w:val="center"/>
                    <w:rPr>
                      <w:rFonts w:hint="eastAsia" w:ascii="Times New Roman" w:hAnsi="Times New Roman" w:eastAsia="宋体" w:cs="Times New Roman"/>
                      <w:color w:val="auto"/>
                      <w:lang w:val="en-US" w:eastAsia="zh-CN"/>
                    </w:rPr>
                  </w:pPr>
                  <w:r>
                    <w:rPr>
                      <w:rFonts w:hint="eastAsia" w:cs="Times New Roman"/>
                      <w:color w:val="auto"/>
                      <w:sz w:val="21"/>
                      <w:szCs w:val="21"/>
                      <w:highlight w:val="none"/>
                      <w:lang w:val="en-US" w:eastAsia="zh-CN"/>
                    </w:rPr>
                    <w:t>SS产生浓度参考《社会区域类影响评价/环境影响评价工程师职业资格登记培训教材》中房地产项目取值；CODcr、</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eastAsia" w:ascii="Times New Roman" w:hAnsi="Times New Roman" w:eastAsia="宋体" w:cs="Times New Roman"/>
                      <w:color w:val="auto"/>
                      <w:sz w:val="21"/>
                      <w:szCs w:val="21"/>
                      <w:highlight w:val="none"/>
                      <w:vertAlign w:val="baseline"/>
                      <w:lang w:val="en-US" w:eastAsia="zh-CN"/>
                    </w:rPr>
                    <w:t>、氨氮参考《排放源统计调查产排污核算方法和系数手册》中“集中式污染治理设施产排污系数手册”巴音郭楞蒙古自治州污水处理厂进水水质浓度</w:t>
                  </w:r>
                  <w:r>
                    <w:rPr>
                      <w:rFonts w:hint="eastAsia" w:cs="Times New Roman"/>
                      <w:color w:val="auto"/>
                      <w:sz w:val="21"/>
                      <w:szCs w:val="21"/>
                      <w:highlight w:val="none"/>
                      <w:vertAlign w:val="baseline"/>
                      <w:lang w:val="en-US" w:eastAsia="zh-CN"/>
                    </w:rPr>
                    <w:t>。</w:t>
                  </w:r>
                </w:p>
              </w:tc>
            </w:tr>
          </w:tbl>
          <w:p>
            <w:pPr>
              <w:pStyle w:val="5"/>
              <w:bidi w:val="0"/>
              <w:rPr>
                <w:rFonts w:hint="eastAsia"/>
                <w:color w:val="auto"/>
                <w:lang w:val="en-US" w:eastAsia="zh-CN"/>
              </w:rPr>
            </w:pPr>
            <w:r>
              <w:rPr>
                <w:rFonts w:hint="eastAsia"/>
                <w:color w:val="auto"/>
                <w:lang w:val="en-US" w:eastAsia="zh-CN"/>
              </w:rPr>
              <w:t>3.3对地表水的影响分析</w:t>
            </w:r>
          </w:p>
          <w:p>
            <w:pPr>
              <w:bidi w:val="0"/>
              <w:rPr>
                <w:rFonts w:hint="eastAsia"/>
                <w:color w:val="auto"/>
              </w:rPr>
            </w:pPr>
            <w:r>
              <w:rPr>
                <w:rFonts w:hint="eastAsia"/>
                <w:color w:val="auto"/>
                <w:lang w:val="en-US" w:eastAsia="zh-CN"/>
              </w:rPr>
              <w:t>本项目无生产废水排出，采矿废水和洗车废水经三级沉淀后循环使用不外排；</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eastAsia="zh-CN"/>
              </w:rPr>
              <w:t>，</w:t>
            </w:r>
            <w:r>
              <w:rPr>
                <w:rFonts w:hint="eastAsia"/>
                <w:color w:val="auto"/>
              </w:rPr>
              <w:t>不会对项目区地表水水体造成影响。</w:t>
            </w:r>
          </w:p>
          <w:p>
            <w:pPr>
              <w:pStyle w:val="5"/>
              <w:rPr>
                <w:color w:val="auto"/>
              </w:rPr>
            </w:pPr>
            <w:r>
              <w:rPr>
                <w:rFonts w:hint="eastAsia"/>
                <w:color w:val="auto"/>
                <w:lang w:val="en-US" w:eastAsia="zh-CN"/>
              </w:rPr>
              <w:t>4</w:t>
            </w:r>
            <w:r>
              <w:rPr>
                <w:rFonts w:hint="eastAsia"/>
                <w:color w:val="auto"/>
              </w:rPr>
              <w:t>、噪声污染源及影响分析</w:t>
            </w:r>
          </w:p>
          <w:p>
            <w:pPr>
              <w:pStyle w:val="5"/>
              <w:rPr>
                <w:color w:val="auto"/>
              </w:rPr>
            </w:pPr>
            <w:r>
              <w:rPr>
                <w:rFonts w:hint="eastAsia"/>
                <w:color w:val="auto"/>
                <w:lang w:val="en-US" w:eastAsia="zh-CN"/>
              </w:rPr>
              <w:t>4</w:t>
            </w:r>
            <w:r>
              <w:rPr>
                <w:rFonts w:hint="eastAsia"/>
                <w:color w:val="auto"/>
              </w:rPr>
              <w:t>.1噪声源统计</w:t>
            </w:r>
          </w:p>
          <w:p>
            <w:pPr>
              <w:pStyle w:val="71"/>
              <w:ind w:firstLine="480"/>
              <w:rPr>
                <w:color w:val="auto"/>
              </w:rPr>
            </w:pPr>
            <w:r>
              <w:rPr>
                <w:color w:val="auto"/>
              </w:rPr>
              <w:t>项目噪声主要来自</w:t>
            </w:r>
            <w:r>
              <w:rPr>
                <w:rFonts w:hint="eastAsia"/>
                <w:color w:val="auto"/>
                <w:lang w:eastAsia="zh-CN"/>
              </w:rPr>
              <w:t>开采、</w:t>
            </w:r>
            <w:r>
              <w:rPr>
                <w:rFonts w:hint="eastAsia"/>
                <w:color w:val="auto"/>
                <w:lang w:val="en-US" w:eastAsia="zh-CN"/>
              </w:rPr>
              <w:t>凿岩机</w:t>
            </w:r>
            <w:r>
              <w:rPr>
                <w:rFonts w:hint="eastAsia"/>
                <w:color w:val="auto"/>
                <w:lang w:eastAsia="zh-CN"/>
              </w:rPr>
              <w:t>、锯切、运输</w:t>
            </w:r>
            <w:r>
              <w:rPr>
                <w:color w:val="auto"/>
              </w:rPr>
              <w:t>过程中产生的噪声。根据对矿区同类地面设备的实测及类比调查，确定地面生产系统主要噪声源及噪声设备声级值见表</w:t>
            </w:r>
            <w:r>
              <w:rPr>
                <w:rFonts w:hint="eastAsia"/>
                <w:color w:val="auto"/>
                <w:lang w:val="en-US" w:eastAsia="zh-CN"/>
              </w:rPr>
              <w:t>4-6</w:t>
            </w:r>
            <w:r>
              <w:rPr>
                <w:color w:val="auto"/>
              </w:rPr>
              <w:t>。</w:t>
            </w:r>
          </w:p>
          <w:p>
            <w:pPr>
              <w:pStyle w:val="7"/>
              <w:bidi w:val="0"/>
              <w:rPr>
                <w:rFonts w:ascii="Times New Roman" w:hAnsi="Times New Roman" w:cs="Times New Roman" w:eastAsiaTheme="minorEastAsia"/>
                <w:color w:val="auto"/>
                <w:szCs w:val="21"/>
                <w:lang w:eastAsia="zh-CN"/>
              </w:rPr>
            </w:pPr>
            <w:r>
              <w:rPr>
                <w:color w:val="auto"/>
                <w:lang w:eastAsia="zh-CN"/>
              </w:rPr>
              <w:t>表</w:t>
            </w:r>
            <w:r>
              <w:rPr>
                <w:rFonts w:hint="eastAsia"/>
                <w:color w:val="auto"/>
                <w:lang w:val="en-US" w:eastAsia="zh-CN"/>
              </w:rPr>
              <w:t xml:space="preserve">4-6             </w:t>
            </w:r>
            <w:r>
              <w:rPr>
                <w:color w:val="auto"/>
                <w:lang w:eastAsia="zh-CN"/>
              </w:rPr>
              <w:t>工业企业噪声源强调查清单（室外声源）</w:t>
            </w:r>
          </w:p>
          <w:tbl>
            <w:tblPr>
              <w:tblStyle w:val="30"/>
              <w:tblW w:w="498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96"/>
              <w:gridCol w:w="880"/>
              <w:gridCol w:w="780"/>
              <w:gridCol w:w="770"/>
              <w:gridCol w:w="480"/>
              <w:gridCol w:w="990"/>
              <w:gridCol w:w="1360"/>
              <w:gridCol w:w="894"/>
              <w:gridCol w:w="7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vMerge w:val="restart"/>
                  <w:tcBorders>
                    <w:tl2br w:val="nil"/>
                    <w:tr2bl w:val="nil"/>
                  </w:tcBorders>
                  <w:shd w:val="clear" w:color="auto" w:fill="auto"/>
                  <w:vAlign w:val="center"/>
                </w:tcPr>
                <w:p>
                  <w:pPr>
                    <w:pStyle w:val="2"/>
                    <w:bidi w:val="0"/>
                    <w:rPr>
                      <w:b w:val="0"/>
                      <w:color w:val="auto"/>
                    </w:rPr>
                  </w:pPr>
                  <w:bookmarkStart w:id="9" w:name="PT_5"/>
                  <w:r>
                    <w:rPr>
                      <w:b w:val="0"/>
                      <w:color w:val="auto"/>
                    </w:rPr>
                    <w:t>序号</w:t>
                  </w:r>
                </w:p>
              </w:tc>
              <w:tc>
                <w:tcPr>
                  <w:tcW w:w="595" w:type="pct"/>
                  <w:vMerge w:val="restart"/>
                  <w:tcBorders>
                    <w:tl2br w:val="nil"/>
                    <w:tr2bl w:val="nil"/>
                  </w:tcBorders>
                  <w:shd w:val="clear" w:color="auto" w:fill="auto"/>
                  <w:vAlign w:val="center"/>
                </w:tcPr>
                <w:p>
                  <w:pPr>
                    <w:pStyle w:val="2"/>
                    <w:bidi w:val="0"/>
                    <w:rPr>
                      <w:b w:val="0"/>
                      <w:color w:val="auto"/>
                    </w:rPr>
                  </w:pPr>
                  <w:r>
                    <w:rPr>
                      <w:b w:val="0"/>
                      <w:color w:val="auto"/>
                    </w:rPr>
                    <w:t>声源名称</w:t>
                  </w:r>
                </w:p>
              </w:tc>
              <w:tc>
                <w:tcPr>
                  <w:tcW w:w="1373" w:type="pct"/>
                  <w:gridSpan w:val="3"/>
                  <w:tcBorders>
                    <w:tl2br w:val="nil"/>
                    <w:tr2bl w:val="nil"/>
                  </w:tcBorders>
                  <w:shd w:val="clear" w:color="auto" w:fill="auto"/>
                  <w:vAlign w:val="center"/>
                </w:tcPr>
                <w:p>
                  <w:pPr>
                    <w:pStyle w:val="2"/>
                    <w:bidi w:val="0"/>
                    <w:rPr>
                      <w:b w:val="0"/>
                      <w:color w:val="auto"/>
                    </w:rPr>
                  </w:pPr>
                  <w:r>
                    <w:rPr>
                      <w:b w:val="0"/>
                      <w:color w:val="auto"/>
                    </w:rPr>
                    <w:t>空间相对位置/m</w:t>
                  </w:r>
                </w:p>
              </w:tc>
              <w:tc>
                <w:tcPr>
                  <w:tcW w:w="1590" w:type="pct"/>
                  <w:gridSpan w:val="2"/>
                  <w:tcBorders>
                    <w:tl2br w:val="nil"/>
                    <w:tr2bl w:val="nil"/>
                  </w:tcBorders>
                  <w:shd w:val="clear" w:color="auto" w:fill="auto"/>
                  <w:vAlign w:val="center"/>
                </w:tcPr>
                <w:p>
                  <w:pPr>
                    <w:pStyle w:val="2"/>
                    <w:bidi w:val="0"/>
                    <w:rPr>
                      <w:b w:val="0"/>
                      <w:color w:val="auto"/>
                      <w:lang w:eastAsia="zh-CN"/>
                    </w:rPr>
                  </w:pPr>
                  <w:r>
                    <w:rPr>
                      <w:b w:val="0"/>
                      <w:color w:val="auto"/>
                      <w:lang w:eastAsia="zh-CN"/>
                    </w:rPr>
                    <w:t>声源源强（任选一种）</w:t>
                  </w:r>
                </w:p>
              </w:tc>
              <w:tc>
                <w:tcPr>
                  <w:tcW w:w="604" w:type="pct"/>
                  <w:vMerge w:val="restart"/>
                  <w:tcBorders>
                    <w:tl2br w:val="nil"/>
                    <w:tr2bl w:val="nil"/>
                  </w:tcBorders>
                  <w:shd w:val="clear" w:color="auto" w:fill="auto"/>
                  <w:vAlign w:val="center"/>
                </w:tcPr>
                <w:p>
                  <w:pPr>
                    <w:pStyle w:val="2"/>
                    <w:bidi w:val="0"/>
                    <w:rPr>
                      <w:b w:val="0"/>
                      <w:color w:val="auto"/>
                    </w:rPr>
                  </w:pPr>
                  <w:r>
                    <w:rPr>
                      <w:b w:val="0"/>
                      <w:color w:val="auto"/>
                    </w:rPr>
                    <w:t>声源控制措施</w:t>
                  </w:r>
                </w:p>
              </w:tc>
              <w:tc>
                <w:tcPr>
                  <w:tcW w:w="500" w:type="pct"/>
                  <w:vMerge w:val="restart"/>
                  <w:tcBorders>
                    <w:tl2br w:val="nil"/>
                    <w:tr2bl w:val="nil"/>
                  </w:tcBorders>
                  <w:shd w:val="clear" w:color="auto" w:fill="auto"/>
                  <w:vAlign w:val="center"/>
                </w:tcPr>
                <w:p>
                  <w:pPr>
                    <w:pStyle w:val="2"/>
                    <w:bidi w:val="0"/>
                    <w:rPr>
                      <w:b w:val="0"/>
                      <w:color w:val="auto"/>
                    </w:rPr>
                  </w:pPr>
                  <w:r>
                    <w:rPr>
                      <w:b w:val="0"/>
                      <w:color w:val="auto"/>
                    </w:rP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vMerge w:val="continue"/>
                  <w:tcBorders>
                    <w:tl2br w:val="nil"/>
                    <w:tr2bl w:val="nil"/>
                  </w:tcBorders>
                  <w:shd w:val="clear" w:color="auto" w:fill="auto"/>
                  <w:vAlign w:val="center"/>
                </w:tcPr>
                <w:p>
                  <w:pPr>
                    <w:pStyle w:val="2"/>
                    <w:bidi w:val="0"/>
                    <w:rPr>
                      <w:b w:val="0"/>
                      <w:color w:val="auto"/>
                    </w:rPr>
                  </w:pPr>
                </w:p>
              </w:tc>
              <w:tc>
                <w:tcPr>
                  <w:tcW w:w="595" w:type="pct"/>
                  <w:vMerge w:val="continue"/>
                  <w:tcBorders>
                    <w:tl2br w:val="nil"/>
                    <w:tr2bl w:val="nil"/>
                  </w:tcBorders>
                  <w:shd w:val="clear" w:color="auto" w:fill="auto"/>
                  <w:vAlign w:val="center"/>
                </w:tcPr>
                <w:p>
                  <w:pPr>
                    <w:pStyle w:val="2"/>
                    <w:bidi w:val="0"/>
                    <w:rPr>
                      <w:b w:val="0"/>
                      <w:color w:val="auto"/>
                    </w:rPr>
                  </w:pPr>
                </w:p>
              </w:tc>
              <w:tc>
                <w:tcPr>
                  <w:tcW w:w="527" w:type="pct"/>
                  <w:tcBorders>
                    <w:tl2br w:val="nil"/>
                    <w:tr2bl w:val="nil"/>
                  </w:tcBorders>
                  <w:shd w:val="clear" w:color="auto" w:fill="auto"/>
                  <w:vAlign w:val="center"/>
                </w:tcPr>
                <w:p>
                  <w:pPr>
                    <w:pStyle w:val="2"/>
                    <w:bidi w:val="0"/>
                    <w:rPr>
                      <w:b w:val="0"/>
                      <w:color w:val="auto"/>
                    </w:rPr>
                  </w:pPr>
                  <w:r>
                    <w:rPr>
                      <w:b w:val="0"/>
                      <w:color w:val="auto"/>
                    </w:rPr>
                    <w:t>X</w:t>
                  </w:r>
                </w:p>
              </w:tc>
              <w:tc>
                <w:tcPr>
                  <w:tcW w:w="521" w:type="pct"/>
                  <w:tcBorders>
                    <w:tl2br w:val="nil"/>
                    <w:tr2bl w:val="nil"/>
                  </w:tcBorders>
                  <w:shd w:val="clear" w:color="auto" w:fill="auto"/>
                  <w:vAlign w:val="center"/>
                </w:tcPr>
                <w:p>
                  <w:pPr>
                    <w:pStyle w:val="2"/>
                    <w:bidi w:val="0"/>
                    <w:rPr>
                      <w:b w:val="0"/>
                      <w:color w:val="auto"/>
                    </w:rPr>
                  </w:pPr>
                  <w:r>
                    <w:rPr>
                      <w:b w:val="0"/>
                      <w:color w:val="auto"/>
                    </w:rPr>
                    <w:t>Y</w:t>
                  </w:r>
                </w:p>
              </w:tc>
              <w:tc>
                <w:tcPr>
                  <w:tcW w:w="324" w:type="pct"/>
                  <w:tcBorders>
                    <w:tl2br w:val="nil"/>
                    <w:tr2bl w:val="nil"/>
                  </w:tcBorders>
                  <w:shd w:val="clear" w:color="auto" w:fill="auto"/>
                  <w:vAlign w:val="center"/>
                </w:tcPr>
                <w:p>
                  <w:pPr>
                    <w:pStyle w:val="2"/>
                    <w:bidi w:val="0"/>
                    <w:rPr>
                      <w:b w:val="0"/>
                      <w:color w:val="auto"/>
                    </w:rPr>
                  </w:pPr>
                  <w:r>
                    <w:rPr>
                      <w:b w:val="0"/>
                      <w:color w:val="auto"/>
                    </w:rPr>
                    <w:t>Z</w:t>
                  </w:r>
                </w:p>
              </w:tc>
              <w:tc>
                <w:tcPr>
                  <w:tcW w:w="669" w:type="pct"/>
                  <w:tcBorders>
                    <w:tl2br w:val="nil"/>
                    <w:tr2bl w:val="nil"/>
                  </w:tcBorders>
                  <w:shd w:val="clear" w:color="auto" w:fill="auto"/>
                  <w:vAlign w:val="center"/>
                </w:tcPr>
                <w:p>
                  <w:pPr>
                    <w:pStyle w:val="2"/>
                    <w:bidi w:val="0"/>
                    <w:rPr>
                      <w:b w:val="0"/>
                      <w:color w:val="auto"/>
                    </w:rPr>
                  </w:pPr>
                  <w:r>
                    <w:rPr>
                      <w:b w:val="0"/>
                      <w:color w:val="auto"/>
                    </w:rPr>
                    <w:t>（声压级/距声源距离）</w:t>
                  </w:r>
                  <w:r>
                    <w:rPr>
                      <w:rFonts w:hint="eastAsia"/>
                      <w:b w:val="0"/>
                      <w:color w:val="auto"/>
                      <w:lang w:val="en-US" w:eastAsia="zh-CN"/>
                    </w:rPr>
                    <w:t>/</w:t>
                  </w:r>
                  <w:r>
                    <w:rPr>
                      <w:b w:val="0"/>
                      <w:color w:val="auto"/>
                    </w:rPr>
                    <w:t>（dB(A)/m）</w:t>
                  </w:r>
                </w:p>
              </w:tc>
              <w:tc>
                <w:tcPr>
                  <w:tcW w:w="920" w:type="pct"/>
                  <w:tcBorders>
                    <w:tl2br w:val="nil"/>
                    <w:tr2bl w:val="nil"/>
                  </w:tcBorders>
                  <w:shd w:val="clear" w:color="auto" w:fill="auto"/>
                  <w:vAlign w:val="center"/>
                </w:tcPr>
                <w:p>
                  <w:pPr>
                    <w:pStyle w:val="2"/>
                    <w:bidi w:val="0"/>
                    <w:rPr>
                      <w:b w:val="0"/>
                      <w:color w:val="auto"/>
                    </w:rPr>
                  </w:pPr>
                  <w:r>
                    <w:rPr>
                      <w:b w:val="0"/>
                      <w:color w:val="auto"/>
                    </w:rPr>
                    <w:t>声功率级/dB(A)</w:t>
                  </w:r>
                </w:p>
              </w:tc>
              <w:tc>
                <w:tcPr>
                  <w:tcW w:w="604" w:type="pct"/>
                  <w:vMerge w:val="continue"/>
                  <w:tcBorders>
                    <w:tl2br w:val="nil"/>
                    <w:tr2bl w:val="nil"/>
                  </w:tcBorders>
                  <w:shd w:val="clear" w:color="auto" w:fill="auto"/>
                  <w:vAlign w:val="center"/>
                </w:tcPr>
                <w:p>
                  <w:pPr>
                    <w:pStyle w:val="2"/>
                    <w:bidi w:val="0"/>
                    <w:rPr>
                      <w:b w:val="0"/>
                      <w:color w:val="auto"/>
                    </w:rPr>
                  </w:pPr>
                </w:p>
                <w:bookmarkEnd w:id="9"/>
              </w:tc>
              <w:tc>
                <w:tcPr>
                  <w:tcW w:w="500" w:type="pct"/>
                  <w:vMerge w:val="continue"/>
                  <w:tcBorders>
                    <w:tl2br w:val="nil"/>
                    <w:tr2bl w:val="nil"/>
                  </w:tcBorders>
                  <w:shd w:val="clear" w:color="auto" w:fill="auto"/>
                  <w:vAlign w:val="center"/>
                </w:tcPr>
                <w:p>
                  <w:pPr>
                    <w:pStyle w:val="2"/>
                    <w:bidi w:val="0"/>
                    <w:rPr>
                      <w:b w:val="0"/>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w:t>
                  </w:r>
                </w:p>
              </w:tc>
              <w:tc>
                <w:tcPr>
                  <w:tcW w:w="595" w:type="pct"/>
                  <w:tcBorders>
                    <w:tl2br w:val="nil"/>
                    <w:tr2bl w:val="nil"/>
                  </w:tcBorders>
                  <w:shd w:val="clear" w:color="auto" w:fill="auto"/>
                  <w:vAlign w:val="center"/>
                </w:tcPr>
                <w:p>
                  <w:pPr>
                    <w:pStyle w:val="2"/>
                    <w:bidi w:val="0"/>
                    <w:rPr>
                      <w:b w:val="0"/>
                      <w:color w:val="auto"/>
                    </w:rPr>
                  </w:pPr>
                  <w:r>
                    <w:rPr>
                      <w:b w:val="0"/>
                      <w:color w:val="auto"/>
                    </w:rPr>
                    <w:t>圆盘锯石机</w:t>
                  </w:r>
                </w:p>
              </w:tc>
              <w:tc>
                <w:tcPr>
                  <w:tcW w:w="527" w:type="pct"/>
                  <w:tcBorders>
                    <w:tl2br w:val="nil"/>
                    <w:tr2bl w:val="nil"/>
                  </w:tcBorders>
                  <w:shd w:val="clear" w:color="auto" w:fill="auto"/>
                  <w:vAlign w:val="center"/>
                </w:tcPr>
                <w:p>
                  <w:pPr>
                    <w:pStyle w:val="2"/>
                    <w:bidi w:val="0"/>
                    <w:rPr>
                      <w:b w:val="0"/>
                      <w:color w:val="auto"/>
                    </w:rPr>
                  </w:pPr>
                  <w:r>
                    <w:rPr>
                      <w:b w:val="0"/>
                      <w:color w:val="auto"/>
                    </w:rPr>
                    <w:t>-535.4</w:t>
                  </w:r>
                </w:p>
              </w:tc>
              <w:tc>
                <w:tcPr>
                  <w:tcW w:w="521" w:type="pct"/>
                  <w:tcBorders>
                    <w:tl2br w:val="nil"/>
                    <w:tr2bl w:val="nil"/>
                  </w:tcBorders>
                  <w:shd w:val="clear" w:color="auto" w:fill="auto"/>
                  <w:vAlign w:val="center"/>
                </w:tcPr>
                <w:p>
                  <w:pPr>
                    <w:pStyle w:val="2"/>
                    <w:bidi w:val="0"/>
                    <w:rPr>
                      <w:b w:val="0"/>
                      <w:color w:val="auto"/>
                    </w:rPr>
                  </w:pPr>
                  <w:r>
                    <w:rPr>
                      <w:b w:val="0"/>
                      <w:color w:val="auto"/>
                    </w:rPr>
                    <w:t>-142.7</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100</w:t>
                  </w:r>
                </w:p>
              </w:tc>
              <w:tc>
                <w:tcPr>
                  <w:tcW w:w="604" w:type="pct"/>
                  <w:vMerge w:val="restart"/>
                  <w:tcBorders>
                    <w:tl2br w:val="nil"/>
                    <w:tr2bl w:val="nil"/>
                  </w:tcBorders>
                  <w:shd w:val="clear" w:color="auto" w:fill="auto"/>
                  <w:vAlign w:val="center"/>
                </w:tcPr>
                <w:p>
                  <w:pPr>
                    <w:pStyle w:val="2"/>
                    <w:bidi w:val="0"/>
                    <w:rPr>
                      <w:b w:val="0"/>
                      <w:color w:val="auto"/>
                    </w:rPr>
                  </w:pPr>
                  <w:r>
                    <w:rPr>
                      <w:b w:val="0"/>
                      <w:color w:val="auto"/>
                    </w:rPr>
                    <w:t>定期维护、基础减振</w:t>
                  </w:r>
                </w:p>
              </w:tc>
              <w:tc>
                <w:tcPr>
                  <w:tcW w:w="500"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2</w:t>
                  </w:r>
                </w:p>
              </w:tc>
              <w:tc>
                <w:tcPr>
                  <w:tcW w:w="595" w:type="pct"/>
                  <w:tcBorders>
                    <w:tl2br w:val="nil"/>
                    <w:tr2bl w:val="nil"/>
                  </w:tcBorders>
                  <w:shd w:val="clear" w:color="auto" w:fill="auto"/>
                  <w:vAlign w:val="center"/>
                </w:tcPr>
                <w:p>
                  <w:pPr>
                    <w:pStyle w:val="2"/>
                    <w:bidi w:val="0"/>
                    <w:rPr>
                      <w:b w:val="0"/>
                      <w:color w:val="auto"/>
                    </w:rPr>
                  </w:pPr>
                  <w:r>
                    <w:rPr>
                      <w:b w:val="0"/>
                      <w:color w:val="auto"/>
                    </w:rPr>
                    <w:t>圆盘锯石机</w:t>
                  </w:r>
                </w:p>
              </w:tc>
              <w:tc>
                <w:tcPr>
                  <w:tcW w:w="527" w:type="pct"/>
                  <w:tcBorders>
                    <w:tl2br w:val="nil"/>
                    <w:tr2bl w:val="nil"/>
                  </w:tcBorders>
                  <w:shd w:val="clear" w:color="auto" w:fill="auto"/>
                  <w:vAlign w:val="center"/>
                </w:tcPr>
                <w:p>
                  <w:pPr>
                    <w:pStyle w:val="2"/>
                    <w:bidi w:val="0"/>
                    <w:rPr>
                      <w:b w:val="0"/>
                      <w:color w:val="auto"/>
                    </w:rPr>
                  </w:pPr>
                  <w:r>
                    <w:rPr>
                      <w:b w:val="0"/>
                      <w:color w:val="auto"/>
                    </w:rPr>
                    <w:t>531.9</w:t>
                  </w:r>
                </w:p>
              </w:tc>
              <w:tc>
                <w:tcPr>
                  <w:tcW w:w="521" w:type="pct"/>
                  <w:tcBorders>
                    <w:tl2br w:val="nil"/>
                    <w:tr2bl w:val="nil"/>
                  </w:tcBorders>
                  <w:shd w:val="clear" w:color="auto" w:fill="auto"/>
                  <w:vAlign w:val="center"/>
                </w:tcPr>
                <w:p>
                  <w:pPr>
                    <w:pStyle w:val="2"/>
                    <w:bidi w:val="0"/>
                    <w:rPr>
                      <w:b w:val="0"/>
                      <w:color w:val="auto"/>
                    </w:rPr>
                  </w:pPr>
                  <w:r>
                    <w:rPr>
                      <w:b w:val="0"/>
                      <w:color w:val="auto"/>
                    </w:rPr>
                    <w:t>85.1</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100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3</w:t>
                  </w:r>
                </w:p>
              </w:tc>
              <w:tc>
                <w:tcPr>
                  <w:tcW w:w="595" w:type="pct"/>
                  <w:tcBorders>
                    <w:tl2br w:val="nil"/>
                    <w:tr2bl w:val="nil"/>
                  </w:tcBorders>
                  <w:shd w:val="clear" w:color="auto" w:fill="auto"/>
                  <w:vAlign w:val="center"/>
                </w:tcPr>
                <w:p>
                  <w:pPr>
                    <w:pStyle w:val="2"/>
                    <w:bidi w:val="0"/>
                    <w:rPr>
                      <w:b w:val="0"/>
                      <w:color w:val="auto"/>
                    </w:rPr>
                  </w:pPr>
                  <w:r>
                    <w:rPr>
                      <w:b w:val="0"/>
                      <w:color w:val="auto"/>
                    </w:rPr>
                    <w:t>圆盘锯石机</w:t>
                  </w:r>
                </w:p>
              </w:tc>
              <w:tc>
                <w:tcPr>
                  <w:tcW w:w="527" w:type="pct"/>
                  <w:tcBorders>
                    <w:tl2br w:val="nil"/>
                    <w:tr2bl w:val="nil"/>
                  </w:tcBorders>
                  <w:shd w:val="clear" w:color="auto" w:fill="auto"/>
                  <w:vAlign w:val="center"/>
                </w:tcPr>
                <w:p>
                  <w:pPr>
                    <w:pStyle w:val="2"/>
                    <w:bidi w:val="0"/>
                    <w:rPr>
                      <w:b w:val="0"/>
                      <w:color w:val="auto"/>
                    </w:rPr>
                  </w:pPr>
                  <w:r>
                    <w:rPr>
                      <w:b w:val="0"/>
                      <w:color w:val="auto"/>
                    </w:rPr>
                    <w:t>548.3</w:t>
                  </w:r>
                </w:p>
              </w:tc>
              <w:tc>
                <w:tcPr>
                  <w:tcW w:w="521" w:type="pct"/>
                  <w:tcBorders>
                    <w:tl2br w:val="nil"/>
                    <w:tr2bl w:val="nil"/>
                  </w:tcBorders>
                  <w:shd w:val="clear" w:color="auto" w:fill="auto"/>
                  <w:vAlign w:val="center"/>
                </w:tcPr>
                <w:p>
                  <w:pPr>
                    <w:pStyle w:val="2"/>
                    <w:bidi w:val="0"/>
                    <w:rPr>
                      <w:b w:val="0"/>
                      <w:color w:val="auto"/>
                    </w:rPr>
                  </w:pPr>
                  <w:r>
                    <w:rPr>
                      <w:b w:val="0"/>
                      <w:color w:val="auto"/>
                    </w:rPr>
                    <w:t>19.9</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100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rFonts w:hint="default"/>
                      <w:b w:val="0"/>
                      <w:color w:val="auto"/>
                      <w:lang w:val="en-US" w:eastAsia="zh-CN"/>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4</w:t>
                  </w:r>
                </w:p>
              </w:tc>
              <w:tc>
                <w:tcPr>
                  <w:tcW w:w="595" w:type="pct"/>
                  <w:tcBorders>
                    <w:tl2br w:val="nil"/>
                    <w:tr2bl w:val="nil"/>
                  </w:tcBorders>
                  <w:shd w:val="clear" w:color="auto" w:fill="auto"/>
                  <w:vAlign w:val="center"/>
                </w:tcPr>
                <w:p>
                  <w:pPr>
                    <w:pStyle w:val="2"/>
                    <w:bidi w:val="0"/>
                    <w:rPr>
                      <w:b w:val="0"/>
                      <w:color w:val="auto"/>
                    </w:rPr>
                  </w:pPr>
                  <w:r>
                    <w:rPr>
                      <w:b w:val="0"/>
                      <w:color w:val="auto"/>
                    </w:rPr>
                    <w:t>金刚石绳锯机</w:t>
                  </w:r>
                </w:p>
              </w:tc>
              <w:tc>
                <w:tcPr>
                  <w:tcW w:w="527" w:type="pct"/>
                  <w:tcBorders>
                    <w:tl2br w:val="nil"/>
                    <w:tr2bl w:val="nil"/>
                  </w:tcBorders>
                  <w:shd w:val="clear" w:color="auto" w:fill="auto"/>
                  <w:vAlign w:val="center"/>
                </w:tcPr>
                <w:p>
                  <w:pPr>
                    <w:pStyle w:val="2"/>
                    <w:bidi w:val="0"/>
                    <w:rPr>
                      <w:b w:val="0"/>
                      <w:color w:val="auto"/>
                    </w:rPr>
                  </w:pPr>
                  <w:r>
                    <w:rPr>
                      <w:b w:val="0"/>
                      <w:color w:val="auto"/>
                    </w:rPr>
                    <w:t>-558.5</w:t>
                  </w:r>
                </w:p>
              </w:tc>
              <w:tc>
                <w:tcPr>
                  <w:tcW w:w="521" w:type="pct"/>
                  <w:tcBorders>
                    <w:tl2br w:val="nil"/>
                    <w:tr2bl w:val="nil"/>
                  </w:tcBorders>
                  <w:shd w:val="clear" w:color="auto" w:fill="auto"/>
                  <w:vAlign w:val="center"/>
                </w:tcPr>
                <w:p>
                  <w:pPr>
                    <w:pStyle w:val="2"/>
                    <w:bidi w:val="0"/>
                    <w:rPr>
                      <w:b w:val="0"/>
                      <w:color w:val="auto"/>
                    </w:rPr>
                  </w:pPr>
                  <w:r>
                    <w:rPr>
                      <w:b w:val="0"/>
                      <w:color w:val="auto"/>
                    </w:rPr>
                    <w:t>-140.9</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90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5</w:t>
                  </w:r>
                </w:p>
              </w:tc>
              <w:tc>
                <w:tcPr>
                  <w:tcW w:w="595" w:type="pct"/>
                  <w:tcBorders>
                    <w:tl2br w:val="nil"/>
                    <w:tr2bl w:val="nil"/>
                  </w:tcBorders>
                  <w:shd w:val="clear" w:color="auto" w:fill="auto"/>
                  <w:vAlign w:val="center"/>
                </w:tcPr>
                <w:p>
                  <w:pPr>
                    <w:pStyle w:val="2"/>
                    <w:bidi w:val="0"/>
                    <w:rPr>
                      <w:b w:val="0"/>
                      <w:color w:val="auto"/>
                    </w:rPr>
                  </w:pPr>
                  <w:r>
                    <w:rPr>
                      <w:b w:val="0"/>
                      <w:color w:val="auto"/>
                    </w:rPr>
                    <w:t>金刚石绳锯机</w:t>
                  </w:r>
                </w:p>
              </w:tc>
              <w:tc>
                <w:tcPr>
                  <w:tcW w:w="527" w:type="pct"/>
                  <w:tcBorders>
                    <w:tl2br w:val="nil"/>
                    <w:tr2bl w:val="nil"/>
                  </w:tcBorders>
                  <w:shd w:val="clear" w:color="auto" w:fill="auto"/>
                  <w:vAlign w:val="center"/>
                </w:tcPr>
                <w:p>
                  <w:pPr>
                    <w:pStyle w:val="2"/>
                    <w:bidi w:val="0"/>
                    <w:rPr>
                      <w:b w:val="0"/>
                      <w:color w:val="auto"/>
                    </w:rPr>
                  </w:pPr>
                  <w:r>
                    <w:rPr>
                      <w:b w:val="0"/>
                      <w:color w:val="auto"/>
                    </w:rPr>
                    <w:t>512.8</w:t>
                  </w:r>
                </w:p>
              </w:tc>
              <w:tc>
                <w:tcPr>
                  <w:tcW w:w="521" w:type="pct"/>
                  <w:tcBorders>
                    <w:tl2br w:val="nil"/>
                    <w:tr2bl w:val="nil"/>
                  </w:tcBorders>
                  <w:shd w:val="clear" w:color="auto" w:fill="auto"/>
                  <w:vAlign w:val="center"/>
                </w:tcPr>
                <w:p>
                  <w:pPr>
                    <w:pStyle w:val="2"/>
                    <w:bidi w:val="0"/>
                    <w:rPr>
                      <w:b w:val="0"/>
                      <w:color w:val="auto"/>
                    </w:rPr>
                  </w:pPr>
                  <w:r>
                    <w:rPr>
                      <w:b w:val="0"/>
                      <w:color w:val="auto"/>
                    </w:rPr>
                    <w:t>76.2</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90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6</w:t>
                  </w:r>
                </w:p>
              </w:tc>
              <w:tc>
                <w:tcPr>
                  <w:tcW w:w="595" w:type="pct"/>
                  <w:tcBorders>
                    <w:tl2br w:val="nil"/>
                    <w:tr2bl w:val="nil"/>
                  </w:tcBorders>
                  <w:shd w:val="clear" w:color="auto" w:fill="auto"/>
                  <w:vAlign w:val="center"/>
                </w:tcPr>
                <w:p>
                  <w:pPr>
                    <w:pStyle w:val="2"/>
                    <w:bidi w:val="0"/>
                    <w:rPr>
                      <w:b w:val="0"/>
                      <w:color w:val="auto"/>
                    </w:rPr>
                  </w:pPr>
                  <w:r>
                    <w:rPr>
                      <w:b w:val="0"/>
                      <w:color w:val="auto"/>
                    </w:rPr>
                    <w:t>手持式凿岩机</w:t>
                  </w:r>
                </w:p>
              </w:tc>
              <w:tc>
                <w:tcPr>
                  <w:tcW w:w="527" w:type="pct"/>
                  <w:tcBorders>
                    <w:tl2br w:val="nil"/>
                    <w:tr2bl w:val="nil"/>
                  </w:tcBorders>
                  <w:shd w:val="clear" w:color="auto" w:fill="auto"/>
                  <w:vAlign w:val="center"/>
                </w:tcPr>
                <w:p>
                  <w:pPr>
                    <w:pStyle w:val="2"/>
                    <w:bidi w:val="0"/>
                    <w:rPr>
                      <w:b w:val="0"/>
                      <w:color w:val="auto"/>
                    </w:rPr>
                  </w:pPr>
                  <w:r>
                    <w:rPr>
                      <w:b w:val="0"/>
                      <w:color w:val="auto"/>
                    </w:rPr>
                    <w:t>-572.2</w:t>
                  </w:r>
                </w:p>
              </w:tc>
              <w:tc>
                <w:tcPr>
                  <w:tcW w:w="521" w:type="pct"/>
                  <w:tcBorders>
                    <w:tl2br w:val="nil"/>
                    <w:tr2bl w:val="nil"/>
                  </w:tcBorders>
                  <w:shd w:val="clear" w:color="auto" w:fill="auto"/>
                  <w:vAlign w:val="center"/>
                </w:tcPr>
                <w:p>
                  <w:pPr>
                    <w:pStyle w:val="2"/>
                    <w:bidi w:val="0"/>
                    <w:rPr>
                      <w:b w:val="0"/>
                      <w:color w:val="auto"/>
                    </w:rPr>
                  </w:pPr>
                  <w:r>
                    <w:rPr>
                      <w:b w:val="0"/>
                      <w:color w:val="auto"/>
                    </w:rPr>
                    <w:t>-149.8</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rFonts w:hint="eastAsia"/>
                      <w:b w:val="0"/>
                      <w:color w:val="auto"/>
                      <w:lang w:val="en-US" w:eastAsia="zh-CN"/>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restart"/>
                  <w:tcBorders>
                    <w:tl2br w:val="nil"/>
                    <w:tr2bl w:val="nil"/>
                  </w:tcBorders>
                  <w:shd w:val="clear" w:color="auto" w:fill="auto"/>
                  <w:vAlign w:val="center"/>
                </w:tcPr>
                <w:p>
                  <w:pPr>
                    <w:pStyle w:val="2"/>
                    <w:bidi w:val="0"/>
                    <w:rPr>
                      <w:b w:val="0"/>
                      <w:color w:val="auto"/>
                    </w:rPr>
                  </w:pPr>
                  <w:r>
                    <w:rPr>
                      <w:b w:val="0"/>
                      <w:color w:val="auto"/>
                    </w:rPr>
                    <w:t>定期维护</w:t>
                  </w: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7</w:t>
                  </w:r>
                </w:p>
              </w:tc>
              <w:tc>
                <w:tcPr>
                  <w:tcW w:w="595" w:type="pct"/>
                  <w:tcBorders>
                    <w:tl2br w:val="nil"/>
                    <w:tr2bl w:val="nil"/>
                  </w:tcBorders>
                  <w:shd w:val="clear" w:color="auto" w:fill="auto"/>
                  <w:vAlign w:val="center"/>
                </w:tcPr>
                <w:p>
                  <w:pPr>
                    <w:pStyle w:val="2"/>
                    <w:bidi w:val="0"/>
                    <w:rPr>
                      <w:b w:val="0"/>
                      <w:color w:val="auto"/>
                    </w:rPr>
                  </w:pPr>
                  <w:r>
                    <w:rPr>
                      <w:b w:val="0"/>
                      <w:color w:val="auto"/>
                    </w:rPr>
                    <w:t>手持式凿岩机</w:t>
                  </w:r>
                </w:p>
              </w:tc>
              <w:tc>
                <w:tcPr>
                  <w:tcW w:w="527" w:type="pct"/>
                  <w:tcBorders>
                    <w:tl2br w:val="nil"/>
                    <w:tr2bl w:val="nil"/>
                  </w:tcBorders>
                  <w:shd w:val="clear" w:color="auto" w:fill="auto"/>
                  <w:vAlign w:val="center"/>
                </w:tcPr>
                <w:p>
                  <w:pPr>
                    <w:pStyle w:val="2"/>
                    <w:bidi w:val="0"/>
                    <w:rPr>
                      <w:b w:val="0"/>
                      <w:color w:val="auto"/>
                    </w:rPr>
                  </w:pPr>
                  <w:r>
                    <w:rPr>
                      <w:b w:val="0"/>
                      <w:color w:val="auto"/>
                    </w:rPr>
                    <w:t>-558</w:t>
                  </w:r>
                </w:p>
              </w:tc>
              <w:tc>
                <w:tcPr>
                  <w:tcW w:w="521" w:type="pct"/>
                  <w:tcBorders>
                    <w:tl2br w:val="nil"/>
                    <w:tr2bl w:val="nil"/>
                  </w:tcBorders>
                  <w:shd w:val="clear" w:color="auto" w:fill="auto"/>
                  <w:vAlign w:val="center"/>
                </w:tcPr>
                <w:p>
                  <w:pPr>
                    <w:pStyle w:val="2"/>
                    <w:bidi w:val="0"/>
                    <w:rPr>
                      <w:b w:val="0"/>
                      <w:color w:val="auto"/>
                    </w:rPr>
                  </w:pPr>
                  <w:r>
                    <w:rPr>
                      <w:b w:val="0"/>
                      <w:color w:val="auto"/>
                    </w:rPr>
                    <w:t>-147.6</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8</w:t>
                  </w:r>
                </w:p>
              </w:tc>
              <w:tc>
                <w:tcPr>
                  <w:tcW w:w="595" w:type="pct"/>
                  <w:tcBorders>
                    <w:tl2br w:val="nil"/>
                    <w:tr2bl w:val="nil"/>
                  </w:tcBorders>
                  <w:shd w:val="clear" w:color="auto" w:fill="auto"/>
                  <w:vAlign w:val="center"/>
                </w:tcPr>
                <w:p>
                  <w:pPr>
                    <w:pStyle w:val="2"/>
                    <w:bidi w:val="0"/>
                    <w:rPr>
                      <w:b w:val="0"/>
                      <w:color w:val="auto"/>
                    </w:rPr>
                  </w:pPr>
                  <w:r>
                    <w:rPr>
                      <w:b w:val="0"/>
                      <w:color w:val="auto"/>
                    </w:rPr>
                    <w:t>手持式凿岩机</w:t>
                  </w:r>
                </w:p>
              </w:tc>
              <w:tc>
                <w:tcPr>
                  <w:tcW w:w="527" w:type="pct"/>
                  <w:tcBorders>
                    <w:tl2br w:val="nil"/>
                    <w:tr2bl w:val="nil"/>
                  </w:tcBorders>
                  <w:shd w:val="clear" w:color="auto" w:fill="auto"/>
                  <w:vAlign w:val="center"/>
                </w:tcPr>
                <w:p>
                  <w:pPr>
                    <w:pStyle w:val="2"/>
                    <w:bidi w:val="0"/>
                    <w:rPr>
                      <w:b w:val="0"/>
                      <w:color w:val="auto"/>
                    </w:rPr>
                  </w:pPr>
                  <w:r>
                    <w:rPr>
                      <w:b w:val="0"/>
                      <w:color w:val="auto"/>
                    </w:rPr>
                    <w:t>501.7</w:t>
                  </w:r>
                </w:p>
              </w:tc>
              <w:tc>
                <w:tcPr>
                  <w:tcW w:w="521" w:type="pct"/>
                  <w:tcBorders>
                    <w:tl2br w:val="nil"/>
                    <w:tr2bl w:val="nil"/>
                  </w:tcBorders>
                  <w:shd w:val="clear" w:color="auto" w:fill="auto"/>
                  <w:vAlign w:val="center"/>
                </w:tcPr>
                <w:p>
                  <w:pPr>
                    <w:pStyle w:val="2"/>
                    <w:bidi w:val="0"/>
                    <w:rPr>
                      <w:b w:val="0"/>
                      <w:color w:val="auto"/>
                    </w:rPr>
                  </w:pPr>
                  <w:r>
                    <w:rPr>
                      <w:b w:val="0"/>
                      <w:color w:val="auto"/>
                    </w:rPr>
                    <w:t>65.6</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9</w:t>
                  </w:r>
                </w:p>
              </w:tc>
              <w:tc>
                <w:tcPr>
                  <w:tcW w:w="595" w:type="pct"/>
                  <w:tcBorders>
                    <w:tl2br w:val="nil"/>
                    <w:tr2bl w:val="nil"/>
                  </w:tcBorders>
                  <w:shd w:val="clear" w:color="auto" w:fill="auto"/>
                  <w:vAlign w:val="center"/>
                </w:tcPr>
                <w:p>
                  <w:pPr>
                    <w:pStyle w:val="2"/>
                    <w:bidi w:val="0"/>
                    <w:rPr>
                      <w:b w:val="0"/>
                      <w:color w:val="auto"/>
                    </w:rPr>
                  </w:pPr>
                  <w:r>
                    <w:rPr>
                      <w:b w:val="0"/>
                      <w:color w:val="auto"/>
                    </w:rPr>
                    <w:t>手持式凿岩机</w:t>
                  </w:r>
                </w:p>
              </w:tc>
              <w:tc>
                <w:tcPr>
                  <w:tcW w:w="527" w:type="pct"/>
                  <w:tcBorders>
                    <w:tl2br w:val="nil"/>
                    <w:tr2bl w:val="nil"/>
                  </w:tcBorders>
                  <w:shd w:val="clear" w:color="auto" w:fill="auto"/>
                  <w:vAlign w:val="center"/>
                </w:tcPr>
                <w:p>
                  <w:pPr>
                    <w:pStyle w:val="2"/>
                    <w:bidi w:val="0"/>
                    <w:rPr>
                      <w:b w:val="0"/>
                      <w:color w:val="auto"/>
                    </w:rPr>
                  </w:pPr>
                  <w:r>
                    <w:rPr>
                      <w:b w:val="0"/>
                      <w:color w:val="auto"/>
                    </w:rPr>
                    <w:t>550.5</w:t>
                  </w:r>
                </w:p>
              </w:tc>
              <w:tc>
                <w:tcPr>
                  <w:tcW w:w="521" w:type="pct"/>
                  <w:tcBorders>
                    <w:tl2br w:val="nil"/>
                    <w:tr2bl w:val="nil"/>
                  </w:tcBorders>
                  <w:shd w:val="clear" w:color="auto" w:fill="auto"/>
                  <w:vAlign w:val="center"/>
                </w:tcPr>
                <w:p>
                  <w:pPr>
                    <w:pStyle w:val="2"/>
                    <w:bidi w:val="0"/>
                    <w:rPr>
                      <w:b w:val="0"/>
                      <w:color w:val="auto"/>
                    </w:rPr>
                  </w:pPr>
                  <w:r>
                    <w:rPr>
                      <w:b w:val="0"/>
                      <w:color w:val="auto"/>
                    </w:rPr>
                    <w:t>94.9</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10</w:t>
                  </w:r>
                </w:p>
              </w:tc>
              <w:tc>
                <w:tcPr>
                  <w:tcW w:w="595" w:type="pct"/>
                  <w:tcBorders>
                    <w:tl2br w:val="nil"/>
                    <w:tr2bl w:val="nil"/>
                  </w:tcBorders>
                  <w:shd w:val="clear" w:color="auto" w:fill="auto"/>
                  <w:vAlign w:val="center"/>
                </w:tcPr>
                <w:p>
                  <w:pPr>
                    <w:pStyle w:val="2"/>
                    <w:bidi w:val="0"/>
                    <w:rPr>
                      <w:b w:val="0"/>
                      <w:color w:val="auto"/>
                    </w:rPr>
                  </w:pPr>
                  <w:r>
                    <w:rPr>
                      <w:b w:val="0"/>
                      <w:color w:val="auto"/>
                    </w:rPr>
                    <w:t>手持式凿岩机</w:t>
                  </w:r>
                </w:p>
              </w:tc>
              <w:tc>
                <w:tcPr>
                  <w:tcW w:w="527" w:type="pct"/>
                  <w:tcBorders>
                    <w:tl2br w:val="nil"/>
                    <w:tr2bl w:val="nil"/>
                  </w:tcBorders>
                  <w:shd w:val="clear" w:color="auto" w:fill="auto"/>
                  <w:vAlign w:val="center"/>
                </w:tcPr>
                <w:p>
                  <w:pPr>
                    <w:pStyle w:val="2"/>
                    <w:bidi w:val="0"/>
                    <w:rPr>
                      <w:b w:val="0"/>
                      <w:color w:val="auto"/>
                    </w:rPr>
                  </w:pPr>
                  <w:r>
                    <w:rPr>
                      <w:b w:val="0"/>
                      <w:color w:val="auto"/>
                    </w:rPr>
                    <w:t>542.1</w:t>
                  </w:r>
                </w:p>
              </w:tc>
              <w:tc>
                <w:tcPr>
                  <w:tcW w:w="521" w:type="pct"/>
                  <w:tcBorders>
                    <w:tl2br w:val="nil"/>
                    <w:tr2bl w:val="nil"/>
                  </w:tcBorders>
                  <w:shd w:val="clear" w:color="auto" w:fill="auto"/>
                  <w:vAlign w:val="center"/>
                </w:tcPr>
                <w:p>
                  <w:pPr>
                    <w:pStyle w:val="2"/>
                    <w:bidi w:val="0"/>
                    <w:rPr>
                      <w:b w:val="0"/>
                      <w:color w:val="auto"/>
                    </w:rPr>
                  </w:pPr>
                  <w:r>
                    <w:rPr>
                      <w:b w:val="0"/>
                      <w:color w:val="auto"/>
                    </w:rPr>
                    <w:t>18.4</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11</w:t>
                  </w:r>
                </w:p>
              </w:tc>
              <w:tc>
                <w:tcPr>
                  <w:tcW w:w="595" w:type="pct"/>
                  <w:tcBorders>
                    <w:tl2br w:val="nil"/>
                    <w:tr2bl w:val="nil"/>
                  </w:tcBorders>
                  <w:shd w:val="clear" w:color="auto" w:fill="auto"/>
                  <w:vAlign w:val="center"/>
                </w:tcPr>
                <w:p>
                  <w:pPr>
                    <w:pStyle w:val="2"/>
                    <w:bidi w:val="0"/>
                    <w:rPr>
                      <w:b w:val="0"/>
                      <w:color w:val="auto"/>
                    </w:rPr>
                  </w:pPr>
                  <w:r>
                    <w:rPr>
                      <w:b w:val="0"/>
                      <w:color w:val="auto"/>
                    </w:rPr>
                    <w:t>固定式螺杆电动空压机</w:t>
                  </w:r>
                </w:p>
              </w:tc>
              <w:tc>
                <w:tcPr>
                  <w:tcW w:w="527" w:type="pct"/>
                  <w:tcBorders>
                    <w:tl2br w:val="nil"/>
                    <w:tr2bl w:val="nil"/>
                  </w:tcBorders>
                  <w:shd w:val="clear" w:color="auto" w:fill="auto"/>
                  <w:vAlign w:val="center"/>
                </w:tcPr>
                <w:p>
                  <w:pPr>
                    <w:pStyle w:val="2"/>
                    <w:bidi w:val="0"/>
                    <w:rPr>
                      <w:b w:val="0"/>
                      <w:color w:val="auto"/>
                    </w:rPr>
                  </w:pPr>
                  <w:r>
                    <w:rPr>
                      <w:b w:val="0"/>
                      <w:color w:val="auto"/>
                    </w:rPr>
                    <w:t>519.5</w:t>
                  </w:r>
                </w:p>
              </w:tc>
              <w:tc>
                <w:tcPr>
                  <w:tcW w:w="521" w:type="pct"/>
                  <w:tcBorders>
                    <w:tl2br w:val="nil"/>
                    <w:tr2bl w:val="nil"/>
                  </w:tcBorders>
                  <w:shd w:val="clear" w:color="auto" w:fill="auto"/>
                  <w:vAlign w:val="center"/>
                </w:tcPr>
                <w:p>
                  <w:pPr>
                    <w:pStyle w:val="2"/>
                    <w:bidi w:val="0"/>
                    <w:rPr>
                      <w:b w:val="0"/>
                      <w:color w:val="auto"/>
                    </w:rPr>
                  </w:pPr>
                  <w:r>
                    <w:rPr>
                      <w:b w:val="0"/>
                      <w:color w:val="auto"/>
                    </w:rPr>
                    <w:t>48.3</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90</w:t>
                  </w:r>
                </w:p>
              </w:tc>
              <w:tc>
                <w:tcPr>
                  <w:tcW w:w="604" w:type="pct"/>
                  <w:tcBorders>
                    <w:tl2br w:val="nil"/>
                    <w:tr2bl w:val="nil"/>
                  </w:tcBorders>
                  <w:shd w:val="clear" w:color="auto" w:fill="auto"/>
                  <w:vAlign w:val="center"/>
                </w:tcPr>
                <w:p>
                  <w:pPr>
                    <w:pStyle w:val="2"/>
                    <w:bidi w:val="0"/>
                    <w:rPr>
                      <w:b w:val="0"/>
                      <w:color w:val="auto"/>
                    </w:rPr>
                  </w:pPr>
                  <w:r>
                    <w:rPr>
                      <w:b w:val="0"/>
                      <w:color w:val="auto"/>
                    </w:rPr>
                    <w:t>定期维护、基础减振</w:t>
                  </w: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12</w:t>
                  </w:r>
                </w:p>
              </w:tc>
              <w:tc>
                <w:tcPr>
                  <w:tcW w:w="595" w:type="pct"/>
                  <w:tcBorders>
                    <w:tl2br w:val="nil"/>
                    <w:tr2bl w:val="nil"/>
                  </w:tcBorders>
                  <w:shd w:val="clear" w:color="auto" w:fill="auto"/>
                  <w:vAlign w:val="center"/>
                </w:tcPr>
                <w:p>
                  <w:pPr>
                    <w:pStyle w:val="2"/>
                    <w:bidi w:val="0"/>
                    <w:rPr>
                      <w:b w:val="0"/>
                      <w:color w:val="auto"/>
                    </w:rPr>
                  </w:pPr>
                  <w:r>
                    <w:rPr>
                      <w:b w:val="0"/>
                      <w:color w:val="auto"/>
                    </w:rPr>
                    <w:t>叉装车</w:t>
                  </w:r>
                </w:p>
              </w:tc>
              <w:tc>
                <w:tcPr>
                  <w:tcW w:w="527" w:type="pct"/>
                  <w:tcBorders>
                    <w:tl2br w:val="nil"/>
                    <w:tr2bl w:val="nil"/>
                  </w:tcBorders>
                  <w:shd w:val="clear" w:color="auto" w:fill="auto"/>
                  <w:vAlign w:val="center"/>
                </w:tcPr>
                <w:p>
                  <w:pPr>
                    <w:pStyle w:val="2"/>
                    <w:bidi w:val="0"/>
                    <w:rPr>
                      <w:b w:val="0"/>
                      <w:color w:val="auto"/>
                    </w:rPr>
                  </w:pPr>
                  <w:r>
                    <w:rPr>
                      <w:b w:val="0"/>
                      <w:color w:val="auto"/>
                    </w:rPr>
                    <w:t>539</w:t>
                  </w:r>
                </w:p>
              </w:tc>
              <w:tc>
                <w:tcPr>
                  <w:tcW w:w="521" w:type="pct"/>
                  <w:tcBorders>
                    <w:tl2br w:val="nil"/>
                    <w:tr2bl w:val="nil"/>
                  </w:tcBorders>
                  <w:shd w:val="clear" w:color="auto" w:fill="auto"/>
                  <w:vAlign w:val="center"/>
                </w:tcPr>
                <w:p>
                  <w:pPr>
                    <w:pStyle w:val="2"/>
                    <w:bidi w:val="0"/>
                    <w:rPr>
                      <w:b w:val="0"/>
                      <w:color w:val="auto"/>
                    </w:rPr>
                  </w:pPr>
                  <w:r>
                    <w:rPr>
                      <w:b w:val="0"/>
                      <w:color w:val="auto"/>
                    </w:rPr>
                    <w:t>64.7</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restart"/>
                  <w:tcBorders>
                    <w:tl2br w:val="nil"/>
                    <w:tr2bl w:val="nil"/>
                  </w:tcBorders>
                  <w:shd w:val="clear" w:color="auto" w:fill="auto"/>
                  <w:vAlign w:val="center"/>
                </w:tcPr>
                <w:p>
                  <w:pPr>
                    <w:pStyle w:val="2"/>
                    <w:bidi w:val="0"/>
                    <w:rPr>
                      <w:b w:val="0"/>
                      <w:color w:val="auto"/>
                    </w:rPr>
                  </w:pPr>
                  <w:r>
                    <w:rPr>
                      <w:b w:val="0"/>
                      <w:color w:val="auto"/>
                    </w:rPr>
                    <w:t>定期维护</w:t>
                  </w: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13</w:t>
                  </w:r>
                </w:p>
              </w:tc>
              <w:tc>
                <w:tcPr>
                  <w:tcW w:w="595" w:type="pct"/>
                  <w:tcBorders>
                    <w:tl2br w:val="nil"/>
                    <w:tr2bl w:val="nil"/>
                  </w:tcBorders>
                  <w:shd w:val="clear" w:color="auto" w:fill="auto"/>
                  <w:vAlign w:val="center"/>
                </w:tcPr>
                <w:p>
                  <w:pPr>
                    <w:pStyle w:val="2"/>
                    <w:bidi w:val="0"/>
                    <w:rPr>
                      <w:b w:val="0"/>
                      <w:color w:val="auto"/>
                    </w:rPr>
                  </w:pPr>
                  <w:r>
                    <w:rPr>
                      <w:b w:val="0"/>
                      <w:color w:val="auto"/>
                    </w:rPr>
                    <w:t>叉装车</w:t>
                  </w:r>
                </w:p>
              </w:tc>
              <w:tc>
                <w:tcPr>
                  <w:tcW w:w="527" w:type="pct"/>
                  <w:tcBorders>
                    <w:tl2br w:val="nil"/>
                    <w:tr2bl w:val="nil"/>
                  </w:tcBorders>
                  <w:shd w:val="clear" w:color="auto" w:fill="auto"/>
                  <w:vAlign w:val="center"/>
                </w:tcPr>
                <w:p>
                  <w:pPr>
                    <w:pStyle w:val="2"/>
                    <w:bidi w:val="0"/>
                    <w:rPr>
                      <w:b w:val="0"/>
                      <w:color w:val="auto"/>
                    </w:rPr>
                  </w:pPr>
                  <w:r>
                    <w:rPr>
                      <w:b w:val="0"/>
                      <w:color w:val="auto"/>
                    </w:rPr>
                    <w:t>-506.6</w:t>
                  </w:r>
                </w:p>
              </w:tc>
              <w:tc>
                <w:tcPr>
                  <w:tcW w:w="521" w:type="pct"/>
                  <w:tcBorders>
                    <w:tl2br w:val="nil"/>
                    <w:tr2bl w:val="nil"/>
                  </w:tcBorders>
                  <w:shd w:val="clear" w:color="auto" w:fill="auto"/>
                  <w:vAlign w:val="center"/>
                </w:tcPr>
                <w:p>
                  <w:pPr>
                    <w:pStyle w:val="2"/>
                    <w:bidi w:val="0"/>
                    <w:rPr>
                      <w:b w:val="0"/>
                      <w:color w:val="auto"/>
                    </w:rPr>
                  </w:pPr>
                  <w:r>
                    <w:rPr>
                      <w:b w:val="0"/>
                      <w:color w:val="auto"/>
                    </w:rPr>
                    <w:t>-153.4</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14</w:t>
                  </w:r>
                </w:p>
              </w:tc>
              <w:tc>
                <w:tcPr>
                  <w:tcW w:w="595" w:type="pct"/>
                  <w:tcBorders>
                    <w:tl2br w:val="nil"/>
                    <w:tr2bl w:val="nil"/>
                  </w:tcBorders>
                  <w:shd w:val="clear" w:color="auto" w:fill="auto"/>
                  <w:vAlign w:val="center"/>
                </w:tcPr>
                <w:p>
                  <w:pPr>
                    <w:pStyle w:val="2"/>
                    <w:bidi w:val="0"/>
                    <w:rPr>
                      <w:b w:val="0"/>
                      <w:color w:val="auto"/>
                    </w:rPr>
                  </w:pPr>
                  <w:r>
                    <w:rPr>
                      <w:b w:val="0"/>
                      <w:color w:val="auto"/>
                    </w:rPr>
                    <w:t>装载机</w:t>
                  </w:r>
                </w:p>
              </w:tc>
              <w:tc>
                <w:tcPr>
                  <w:tcW w:w="527" w:type="pct"/>
                  <w:tcBorders>
                    <w:tl2br w:val="nil"/>
                    <w:tr2bl w:val="nil"/>
                  </w:tcBorders>
                  <w:shd w:val="clear" w:color="auto" w:fill="auto"/>
                  <w:vAlign w:val="center"/>
                </w:tcPr>
                <w:p>
                  <w:pPr>
                    <w:pStyle w:val="2"/>
                    <w:bidi w:val="0"/>
                    <w:rPr>
                      <w:b w:val="0"/>
                      <w:color w:val="auto"/>
                    </w:rPr>
                  </w:pPr>
                  <w:r>
                    <w:rPr>
                      <w:b w:val="0"/>
                      <w:color w:val="auto"/>
                    </w:rPr>
                    <w:t>-33.2</w:t>
                  </w:r>
                </w:p>
              </w:tc>
              <w:tc>
                <w:tcPr>
                  <w:tcW w:w="521" w:type="pct"/>
                  <w:tcBorders>
                    <w:tl2br w:val="nil"/>
                    <w:tr2bl w:val="nil"/>
                  </w:tcBorders>
                  <w:shd w:val="clear" w:color="auto" w:fill="auto"/>
                  <w:vAlign w:val="center"/>
                </w:tcPr>
                <w:p>
                  <w:pPr>
                    <w:pStyle w:val="2"/>
                    <w:bidi w:val="0"/>
                    <w:rPr>
                      <w:b w:val="0"/>
                      <w:color w:val="auto"/>
                    </w:rPr>
                  </w:pPr>
                  <w:r>
                    <w:rPr>
                      <w:b w:val="0"/>
                      <w:color w:val="auto"/>
                    </w:rPr>
                    <w:t>47</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335" w:type="pct"/>
                  <w:tcBorders>
                    <w:tl2br w:val="nil"/>
                    <w:tr2bl w:val="nil"/>
                  </w:tcBorders>
                  <w:shd w:val="clear" w:color="auto" w:fill="auto"/>
                  <w:vAlign w:val="center"/>
                </w:tcPr>
                <w:p>
                  <w:pPr>
                    <w:pStyle w:val="2"/>
                    <w:bidi w:val="0"/>
                    <w:rPr>
                      <w:b w:val="0"/>
                      <w:color w:val="auto"/>
                    </w:rPr>
                  </w:pPr>
                  <w:r>
                    <w:rPr>
                      <w:b w:val="0"/>
                      <w:color w:val="auto"/>
                    </w:rPr>
                    <w:t>15</w:t>
                  </w:r>
                </w:p>
              </w:tc>
              <w:tc>
                <w:tcPr>
                  <w:tcW w:w="595" w:type="pct"/>
                  <w:tcBorders>
                    <w:tl2br w:val="nil"/>
                    <w:tr2bl w:val="nil"/>
                  </w:tcBorders>
                  <w:shd w:val="clear" w:color="auto" w:fill="auto"/>
                  <w:vAlign w:val="center"/>
                </w:tcPr>
                <w:p>
                  <w:pPr>
                    <w:pStyle w:val="2"/>
                    <w:bidi w:val="0"/>
                    <w:rPr>
                      <w:b w:val="0"/>
                      <w:color w:val="auto"/>
                    </w:rPr>
                  </w:pPr>
                  <w:r>
                    <w:rPr>
                      <w:b w:val="0"/>
                      <w:color w:val="auto"/>
                    </w:rPr>
                    <w:t>挖掘机</w:t>
                  </w:r>
                </w:p>
              </w:tc>
              <w:tc>
                <w:tcPr>
                  <w:tcW w:w="527" w:type="pct"/>
                  <w:tcBorders>
                    <w:tl2br w:val="nil"/>
                    <w:tr2bl w:val="nil"/>
                  </w:tcBorders>
                  <w:shd w:val="clear" w:color="auto" w:fill="auto"/>
                  <w:vAlign w:val="center"/>
                </w:tcPr>
                <w:p>
                  <w:pPr>
                    <w:pStyle w:val="2"/>
                    <w:bidi w:val="0"/>
                    <w:rPr>
                      <w:b w:val="0"/>
                      <w:color w:val="auto"/>
                    </w:rPr>
                  </w:pPr>
                  <w:r>
                    <w:rPr>
                      <w:b w:val="0"/>
                      <w:color w:val="auto"/>
                    </w:rPr>
                    <w:t>489.8</w:t>
                  </w:r>
                </w:p>
              </w:tc>
              <w:tc>
                <w:tcPr>
                  <w:tcW w:w="521" w:type="pct"/>
                  <w:tcBorders>
                    <w:tl2br w:val="nil"/>
                    <w:tr2bl w:val="nil"/>
                  </w:tcBorders>
                  <w:shd w:val="clear" w:color="auto" w:fill="auto"/>
                  <w:vAlign w:val="center"/>
                </w:tcPr>
                <w:p>
                  <w:pPr>
                    <w:pStyle w:val="2"/>
                    <w:bidi w:val="0"/>
                    <w:rPr>
                      <w:b w:val="0"/>
                      <w:color w:val="auto"/>
                    </w:rPr>
                  </w:pPr>
                  <w:r>
                    <w:rPr>
                      <w:b w:val="0"/>
                      <w:color w:val="auto"/>
                    </w:rPr>
                    <w:t>52.3</w:t>
                  </w:r>
                </w:p>
              </w:tc>
              <w:tc>
                <w:tcPr>
                  <w:tcW w:w="324" w:type="pct"/>
                  <w:tcBorders>
                    <w:tl2br w:val="nil"/>
                    <w:tr2bl w:val="nil"/>
                  </w:tcBorders>
                  <w:shd w:val="clear" w:color="auto" w:fill="auto"/>
                  <w:vAlign w:val="center"/>
                </w:tcPr>
                <w:p>
                  <w:pPr>
                    <w:pStyle w:val="2"/>
                    <w:bidi w:val="0"/>
                    <w:rPr>
                      <w:b w:val="0"/>
                      <w:color w:val="auto"/>
                    </w:rPr>
                  </w:pPr>
                  <w:r>
                    <w:rPr>
                      <w:b w:val="0"/>
                      <w:color w:val="auto"/>
                    </w:rPr>
                    <w:t>1.2</w:t>
                  </w:r>
                </w:p>
              </w:tc>
              <w:tc>
                <w:tcPr>
                  <w:tcW w:w="669"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w:t>
                  </w:r>
                </w:p>
              </w:tc>
              <w:tc>
                <w:tcPr>
                  <w:tcW w:w="920" w:type="pct"/>
                  <w:tcBorders>
                    <w:tl2br w:val="nil"/>
                    <w:tr2bl w:val="nil"/>
                  </w:tcBorders>
                  <w:shd w:val="clear" w:color="auto" w:fill="auto"/>
                  <w:vAlign w:val="center"/>
                </w:tcPr>
                <w:p>
                  <w:pPr>
                    <w:pStyle w:val="2"/>
                    <w:bidi w:val="0"/>
                    <w:rPr>
                      <w:b w:val="0"/>
                      <w:color w:val="auto"/>
                    </w:rPr>
                  </w:pPr>
                  <w:r>
                    <w:rPr>
                      <w:b w:val="0"/>
                      <w:color w:val="auto"/>
                    </w:rPr>
                    <w:t>80</w:t>
                  </w:r>
                </w:p>
              </w:tc>
              <w:tc>
                <w:tcPr>
                  <w:tcW w:w="604" w:type="pct"/>
                  <w:vMerge w:val="continue"/>
                  <w:tcBorders>
                    <w:tl2br w:val="nil"/>
                    <w:tr2bl w:val="nil"/>
                  </w:tcBorders>
                  <w:shd w:val="clear" w:color="auto" w:fill="auto"/>
                  <w:vAlign w:val="center"/>
                </w:tcPr>
                <w:p>
                  <w:pPr>
                    <w:pStyle w:val="2"/>
                    <w:bidi w:val="0"/>
                    <w:rPr>
                      <w:b w:val="0"/>
                      <w:color w:val="auto"/>
                    </w:rPr>
                  </w:pPr>
                </w:p>
              </w:tc>
              <w:tc>
                <w:tcPr>
                  <w:tcW w:w="500" w:type="pct"/>
                  <w:tcBorders>
                    <w:tl2br w:val="nil"/>
                    <w:tr2bl w:val="nil"/>
                  </w:tcBorders>
                  <w:shd w:val="clear" w:color="auto" w:fill="auto"/>
                  <w:vAlign w:val="center"/>
                </w:tcPr>
                <w:p>
                  <w:pPr>
                    <w:pStyle w:val="2"/>
                    <w:bidi w:val="0"/>
                    <w:rPr>
                      <w:b w:val="0"/>
                      <w:color w:val="auto"/>
                    </w:rPr>
                  </w:pPr>
                  <w:r>
                    <w:rPr>
                      <w:rFonts w:hint="eastAsia"/>
                      <w:b w:val="0"/>
                      <w:color w:val="auto"/>
                      <w:lang w:val="en-US" w:eastAsia="zh-CN"/>
                    </w:rPr>
                    <w:t>白天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000" w:type="pct"/>
                  <w:gridSpan w:val="9"/>
                  <w:tcBorders>
                    <w:tl2br w:val="nil"/>
                    <w:tr2bl w:val="nil"/>
                  </w:tcBorders>
                  <w:shd w:val="clear" w:color="auto" w:fill="auto"/>
                  <w:vAlign w:val="center"/>
                </w:tcPr>
                <w:p>
                  <w:pPr>
                    <w:pStyle w:val="2"/>
                    <w:bidi w:val="0"/>
                    <w:rPr>
                      <w:rFonts w:hint="eastAsia"/>
                      <w:b w:val="0"/>
                      <w:color w:val="auto"/>
                      <w:lang w:val="en-US" w:eastAsia="zh-CN"/>
                    </w:rPr>
                  </w:pPr>
                  <w:r>
                    <w:rPr>
                      <w:rFonts w:hint="default"/>
                      <w:color w:val="auto"/>
                      <w:lang w:val="en-US" w:eastAsia="zh-CN"/>
                    </w:rPr>
                    <w:t>表中坐标以厂界中心（</w:t>
                  </w:r>
                  <w:bookmarkStart w:id="10" w:name="PO_6"/>
                  <w:r>
                    <w:rPr>
                      <w:rFonts w:hint="default"/>
                      <w:color w:val="auto"/>
                      <w:lang w:val="en-US" w:eastAsia="zh-CN"/>
                    </w:rPr>
                    <w:t>85.8080750</w:t>
                  </w:r>
                  <w:r>
                    <w:rPr>
                      <w:rFonts w:hint="eastAsia"/>
                      <w:color w:val="auto"/>
                      <w:lang w:val="en-US" w:eastAsia="zh-CN"/>
                    </w:rPr>
                    <w:t>，</w:t>
                  </w:r>
                  <w:r>
                    <w:rPr>
                      <w:rFonts w:hint="default"/>
                      <w:color w:val="auto"/>
                      <w:lang w:val="en-US" w:eastAsia="zh-CN"/>
                    </w:rPr>
                    <w:t>42.079196</w:t>
                  </w:r>
                  <w:bookmarkEnd w:id="10"/>
                  <w:r>
                    <w:rPr>
                      <w:rFonts w:hint="default"/>
                      <w:color w:val="auto"/>
                      <w:lang w:val="en-US" w:eastAsia="zh-CN"/>
                    </w:rPr>
                    <w:t>）为坐标原点，正东向为X轴正方向，正北向为Y轴正方向</w:t>
                  </w:r>
                  <w:r>
                    <w:rPr>
                      <w:rFonts w:hint="eastAsia"/>
                      <w:color w:val="auto"/>
                      <w:lang w:val="en-US" w:eastAsia="zh-CN"/>
                    </w:rPr>
                    <w:t>。</w:t>
                  </w:r>
                </w:p>
              </w:tc>
            </w:tr>
          </w:tbl>
          <w:p>
            <w:pPr>
              <w:pStyle w:val="5"/>
              <w:rPr>
                <w:color w:val="auto"/>
              </w:rPr>
            </w:pPr>
            <w:r>
              <w:rPr>
                <w:rFonts w:hint="eastAsia"/>
                <w:color w:val="auto"/>
                <w:lang w:val="en-US" w:eastAsia="zh-CN"/>
              </w:rPr>
              <w:t>4</w:t>
            </w:r>
            <w:r>
              <w:rPr>
                <w:rFonts w:hint="eastAsia"/>
                <w:color w:val="auto"/>
              </w:rPr>
              <w:t>.2</w:t>
            </w:r>
            <w:r>
              <w:rPr>
                <w:color w:val="auto"/>
              </w:rPr>
              <w:t>噪声影响预测与分析</w:t>
            </w:r>
          </w:p>
          <w:p>
            <w:pPr>
              <w:pStyle w:val="9"/>
              <w:ind w:firstLine="480"/>
              <w:rPr>
                <w:color w:val="auto"/>
              </w:rPr>
            </w:pPr>
            <w:r>
              <w:rPr>
                <w:color w:val="auto"/>
              </w:rPr>
              <w:t>设备噪声如</w:t>
            </w:r>
            <w:r>
              <w:rPr>
                <w:rFonts w:hint="eastAsia"/>
                <w:color w:val="auto"/>
                <w:lang w:eastAsia="zh-CN"/>
              </w:rPr>
              <w:t>挖掘机、</w:t>
            </w:r>
            <w:r>
              <w:rPr>
                <w:rFonts w:hint="eastAsia"/>
                <w:color w:val="auto"/>
                <w:lang w:val="en-US" w:eastAsia="zh-CN"/>
              </w:rPr>
              <w:t>凿岩机</w:t>
            </w:r>
            <w:r>
              <w:rPr>
                <w:rFonts w:hint="eastAsia"/>
                <w:color w:val="auto"/>
                <w:lang w:eastAsia="zh-CN"/>
              </w:rPr>
              <w:t>、锯切</w:t>
            </w:r>
            <w:r>
              <w:rPr>
                <w:color w:val="auto"/>
              </w:rPr>
              <w:t>等过程产生的噪声主要是对工作人员听力、情绪产生影响，目前还无法对其采取治理措施，故只有采取减少接触高噪声工作时间、采取佩戴隔声耳罩或耳塞、轮岗等措施减少噪声对工人的影响并定期对高噪声的工人进行听力检查，噪声设施对地面环境有一定的影响。</w:t>
            </w:r>
          </w:p>
          <w:p>
            <w:pPr>
              <w:pStyle w:val="9"/>
              <w:ind w:firstLine="480"/>
              <w:rPr>
                <w:color w:val="auto"/>
              </w:rPr>
            </w:pPr>
            <w:r>
              <w:rPr>
                <w:color w:val="auto"/>
              </w:rPr>
              <w:t>本环评主要对采矿</w:t>
            </w:r>
            <w:r>
              <w:rPr>
                <w:rFonts w:hint="eastAsia"/>
                <w:color w:val="auto"/>
              </w:rPr>
              <w:t>场</w:t>
            </w:r>
            <w:r>
              <w:rPr>
                <w:color w:val="auto"/>
              </w:rPr>
              <w:t>生产设备对矿区环境的影响进行预测评价。</w:t>
            </w:r>
          </w:p>
          <w:p>
            <w:pPr>
              <w:ind w:firstLine="470" w:firstLineChars="196"/>
              <w:rPr>
                <w:color w:val="auto"/>
              </w:rPr>
            </w:pPr>
            <w:r>
              <w:rPr>
                <w:rFonts w:hint="eastAsia"/>
                <w:color w:val="auto"/>
              </w:rPr>
              <w:t>（1）</w:t>
            </w:r>
            <w:r>
              <w:rPr>
                <w:color w:val="auto"/>
              </w:rPr>
              <w:t>预测方法</w:t>
            </w:r>
          </w:p>
          <w:p>
            <w:pPr>
              <w:pStyle w:val="9"/>
              <w:ind w:firstLine="480"/>
              <w:rPr>
                <w:color w:val="auto"/>
              </w:rPr>
            </w:pPr>
            <w:r>
              <w:rPr>
                <w:rFonts w:hint="eastAsia"/>
                <w:color w:val="auto"/>
              </w:rPr>
              <w:t>矿区</w:t>
            </w:r>
            <w:r>
              <w:rPr>
                <w:color w:val="auto"/>
              </w:rPr>
              <w:t>生产期主要噪声源均置于野外，在声波传播的过程中，通过距离衰减以及空气吸收衰减到达矿界。故</w:t>
            </w:r>
            <w:r>
              <w:rPr>
                <w:rFonts w:hint="eastAsia"/>
                <w:color w:val="auto"/>
              </w:rPr>
              <w:t>矿区</w:t>
            </w:r>
            <w:r>
              <w:rPr>
                <w:color w:val="auto"/>
              </w:rPr>
              <w:t>生产期设备声源在传播过程中的实际衰减量要大于其预测衰减量，即实际噪声值将略低于其预测值。</w:t>
            </w:r>
          </w:p>
          <w:p>
            <w:pPr>
              <w:ind w:firstLine="470" w:firstLineChars="196"/>
              <w:rPr>
                <w:color w:val="auto"/>
              </w:rPr>
            </w:pPr>
            <w:r>
              <w:rPr>
                <w:rFonts w:hint="eastAsia"/>
                <w:color w:val="auto"/>
              </w:rPr>
              <w:t>（2）</w:t>
            </w:r>
            <w:r>
              <w:rPr>
                <w:color w:val="auto"/>
              </w:rPr>
              <w:t>噪声评价标准</w:t>
            </w:r>
          </w:p>
          <w:p>
            <w:pPr>
              <w:pStyle w:val="9"/>
              <w:ind w:firstLine="480"/>
              <w:rPr>
                <w:color w:val="auto"/>
              </w:rPr>
            </w:pPr>
            <w:r>
              <w:rPr>
                <w:color w:val="auto"/>
              </w:rPr>
              <w:t>厂界噪声标准采用《工业企业厂界环境噪声排放标准》</w:t>
            </w:r>
            <w:r>
              <w:rPr>
                <w:rFonts w:hint="eastAsia"/>
                <w:color w:val="auto"/>
              </w:rPr>
              <w:t>（</w:t>
            </w:r>
            <w:r>
              <w:rPr>
                <w:color w:val="auto"/>
              </w:rPr>
              <w:t>GB12348-2008</w:t>
            </w:r>
            <w:r>
              <w:rPr>
                <w:rFonts w:hint="eastAsia"/>
                <w:color w:val="auto"/>
              </w:rPr>
              <w:t>）</w:t>
            </w:r>
            <w:r>
              <w:rPr>
                <w:color w:val="auto"/>
              </w:rPr>
              <w:t>中</w:t>
            </w:r>
            <w:r>
              <w:rPr>
                <w:rFonts w:hint="eastAsia"/>
                <w:color w:val="auto"/>
                <w:lang w:val="en-US" w:eastAsia="zh-CN"/>
              </w:rPr>
              <w:t>2</w:t>
            </w:r>
            <w:r>
              <w:rPr>
                <w:color w:val="auto"/>
              </w:rPr>
              <w:t>类</w:t>
            </w:r>
            <w:r>
              <w:rPr>
                <w:rFonts w:hint="eastAsia"/>
                <w:color w:val="auto"/>
              </w:rPr>
              <w:t>区</w:t>
            </w:r>
            <w:r>
              <w:rPr>
                <w:color w:val="auto"/>
              </w:rPr>
              <w:t>标准，即昼间6</w:t>
            </w:r>
            <w:r>
              <w:rPr>
                <w:rFonts w:hint="eastAsia"/>
                <w:color w:val="auto"/>
                <w:lang w:val="en-US" w:eastAsia="zh-CN"/>
              </w:rPr>
              <w:t>0</w:t>
            </w:r>
            <w:r>
              <w:rPr>
                <w:color w:val="auto"/>
              </w:rPr>
              <w:t>dB（A），夜间5</w:t>
            </w:r>
            <w:r>
              <w:rPr>
                <w:rFonts w:hint="eastAsia"/>
                <w:color w:val="auto"/>
                <w:lang w:val="en-US" w:eastAsia="zh-CN"/>
              </w:rPr>
              <w:t>0</w:t>
            </w:r>
            <w:r>
              <w:rPr>
                <w:color w:val="auto"/>
              </w:rPr>
              <w:t>dB（A）。</w:t>
            </w:r>
          </w:p>
          <w:p>
            <w:pPr>
              <w:ind w:firstLine="470" w:firstLineChars="196"/>
              <w:rPr>
                <w:rFonts w:hint="eastAsia" w:eastAsia="宋体"/>
                <w:color w:val="auto"/>
                <w:lang w:eastAsia="zh-CN"/>
              </w:rPr>
            </w:pPr>
            <w:r>
              <w:rPr>
                <w:rFonts w:hint="eastAsia"/>
                <w:color w:val="auto"/>
              </w:rPr>
              <w:t>（3）</w:t>
            </w:r>
            <w:r>
              <w:rPr>
                <w:color w:val="auto"/>
              </w:rPr>
              <w:t>噪声影响预测</w:t>
            </w:r>
            <w:r>
              <w:rPr>
                <w:rFonts w:hint="eastAsia"/>
                <w:color w:val="auto"/>
                <w:lang w:val="en-US" w:eastAsia="zh-CN"/>
              </w:rPr>
              <w:t>模型</w:t>
            </w:r>
          </w:p>
          <w:p>
            <w:pPr>
              <w:bidi w:val="0"/>
              <w:rPr>
                <w:color w:val="auto"/>
              </w:rPr>
            </w:pPr>
            <w:r>
              <w:rPr>
                <w:rFonts w:hint="eastAsia"/>
                <w:color w:val="auto"/>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r>
              <w:rPr>
                <w:color w:val="auto"/>
              </w:rPr>
              <w:t>。</w:t>
            </w:r>
          </w:p>
          <w:p>
            <w:pPr>
              <w:pStyle w:val="5"/>
              <w:rPr>
                <w:color w:val="auto"/>
              </w:rPr>
            </w:pPr>
            <w:r>
              <w:rPr>
                <w:rFonts w:hint="eastAsia"/>
                <w:color w:val="auto"/>
                <w:lang w:val="en-US" w:eastAsia="zh-CN"/>
              </w:rPr>
              <w:t>4.</w:t>
            </w:r>
            <w:r>
              <w:rPr>
                <w:rFonts w:hint="eastAsia"/>
                <w:color w:val="auto"/>
              </w:rPr>
              <w:t>3</w:t>
            </w:r>
            <w:r>
              <w:rPr>
                <w:color w:val="auto"/>
              </w:rPr>
              <w:t>噪声预测结果及影响分析</w:t>
            </w:r>
          </w:p>
          <w:p>
            <w:pPr>
              <w:pStyle w:val="9"/>
              <w:ind w:firstLine="480"/>
              <w:rPr>
                <w:color w:val="auto"/>
              </w:rPr>
            </w:pPr>
            <w:r>
              <w:rPr>
                <w:color w:val="auto"/>
              </w:rPr>
              <w:t>根据项目特点，将</w:t>
            </w:r>
            <w:r>
              <w:rPr>
                <w:rFonts w:hint="eastAsia"/>
                <w:color w:val="auto"/>
              </w:rPr>
              <w:t>设备噪声</w:t>
            </w:r>
            <w:r>
              <w:rPr>
                <w:color w:val="auto"/>
              </w:rPr>
              <w:t>作为点源预测，其噪声预测结果见表</w:t>
            </w:r>
            <w:r>
              <w:rPr>
                <w:rFonts w:hint="eastAsia"/>
                <w:color w:val="auto"/>
                <w:lang w:val="en-US" w:eastAsia="zh-CN"/>
              </w:rPr>
              <w:t>4-7</w:t>
            </w:r>
            <w:r>
              <w:rPr>
                <w:color w:val="auto"/>
              </w:rPr>
              <w:t>。</w:t>
            </w:r>
          </w:p>
          <w:p>
            <w:pPr>
              <w:pStyle w:val="7"/>
              <w:bidi w:val="0"/>
              <w:rPr>
                <w:color w:val="auto"/>
              </w:rPr>
            </w:pPr>
            <w:r>
              <w:rPr>
                <w:rFonts w:hint="eastAsia"/>
                <w:color w:val="auto"/>
              </w:rPr>
              <w:t>表</w:t>
            </w:r>
            <w:r>
              <w:rPr>
                <w:rFonts w:hint="eastAsia"/>
                <w:color w:val="auto"/>
                <w:lang w:val="en-US" w:eastAsia="zh-CN"/>
              </w:rPr>
              <w:t>4-7</w:t>
            </w:r>
            <w:r>
              <w:rPr>
                <w:rFonts w:hint="eastAsia"/>
                <w:color w:val="auto"/>
              </w:rPr>
              <w:t xml:space="preserve">         噪声受声点的噪声影响预测                 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6"/>
              <w:gridCol w:w="697"/>
              <w:gridCol w:w="802"/>
              <w:gridCol w:w="595"/>
              <w:gridCol w:w="863"/>
              <w:gridCol w:w="1231"/>
              <w:gridCol w:w="1233"/>
              <w:gridCol w:w="1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vMerge w:val="restart"/>
                  <w:tcBorders>
                    <w:tl2br w:val="nil"/>
                    <w:tr2bl w:val="nil"/>
                  </w:tcBorders>
                  <w:shd w:val="clear" w:color="auto" w:fill="auto"/>
                  <w:vAlign w:val="center"/>
                </w:tcPr>
                <w:p>
                  <w:pPr>
                    <w:pStyle w:val="2"/>
                    <w:bidi w:val="0"/>
                    <w:rPr>
                      <w:color w:val="auto"/>
                    </w:rPr>
                  </w:pPr>
                  <w:r>
                    <w:rPr>
                      <w:color w:val="auto"/>
                    </w:rPr>
                    <w:t>预测方位</w:t>
                  </w:r>
                </w:p>
              </w:tc>
              <w:tc>
                <w:tcPr>
                  <w:tcW w:w="1412" w:type="pct"/>
                  <w:gridSpan w:val="3"/>
                  <w:tcBorders>
                    <w:tl2br w:val="nil"/>
                    <w:tr2bl w:val="nil"/>
                  </w:tcBorders>
                  <w:shd w:val="clear" w:color="auto" w:fill="auto"/>
                  <w:vAlign w:val="center"/>
                </w:tcPr>
                <w:p>
                  <w:pPr>
                    <w:pStyle w:val="2"/>
                    <w:bidi w:val="0"/>
                    <w:rPr>
                      <w:color w:val="auto"/>
                    </w:rPr>
                  </w:pPr>
                  <w:r>
                    <w:rPr>
                      <w:rFonts w:hint="eastAsia"/>
                      <w:color w:val="auto"/>
                      <w:lang w:val="en-US" w:eastAsia="zh-CN"/>
                    </w:rPr>
                    <w:t>最大值点</w:t>
                  </w:r>
                  <w:r>
                    <w:rPr>
                      <w:color w:val="auto"/>
                    </w:rPr>
                    <w:t>空间相对位置/m</w:t>
                  </w:r>
                </w:p>
              </w:tc>
              <w:tc>
                <w:tcPr>
                  <w:tcW w:w="582" w:type="pct"/>
                  <w:vMerge w:val="restart"/>
                  <w:tcBorders>
                    <w:tl2br w:val="nil"/>
                    <w:tr2bl w:val="nil"/>
                  </w:tcBorders>
                  <w:shd w:val="clear" w:color="auto" w:fill="auto"/>
                  <w:vAlign w:val="center"/>
                </w:tcPr>
                <w:p>
                  <w:pPr>
                    <w:pStyle w:val="2"/>
                    <w:bidi w:val="0"/>
                    <w:rPr>
                      <w:color w:val="auto"/>
                    </w:rPr>
                  </w:pPr>
                  <w:r>
                    <w:rPr>
                      <w:color w:val="auto"/>
                    </w:rPr>
                    <w:t>时段</w:t>
                  </w:r>
                </w:p>
              </w:tc>
              <w:tc>
                <w:tcPr>
                  <w:tcW w:w="830" w:type="pct"/>
                  <w:vMerge w:val="restart"/>
                  <w:tcBorders>
                    <w:tl2br w:val="nil"/>
                    <w:tr2bl w:val="nil"/>
                  </w:tcBorders>
                  <w:shd w:val="clear" w:color="auto" w:fill="auto"/>
                  <w:vAlign w:val="center"/>
                </w:tcPr>
                <w:p>
                  <w:pPr>
                    <w:pStyle w:val="2"/>
                    <w:bidi w:val="0"/>
                    <w:rPr>
                      <w:color w:val="auto"/>
                    </w:rPr>
                  </w:pPr>
                  <w:r>
                    <w:rPr>
                      <w:rFonts w:hint="eastAsia"/>
                      <w:color w:val="auto"/>
                    </w:rPr>
                    <w:t>贡献值</w:t>
                  </w:r>
                  <w:r>
                    <w:rPr>
                      <w:color w:val="auto"/>
                    </w:rPr>
                    <w:t>（dB(A)）</w:t>
                  </w:r>
                </w:p>
              </w:tc>
              <w:tc>
                <w:tcPr>
                  <w:tcW w:w="831" w:type="pct"/>
                  <w:vMerge w:val="restart"/>
                  <w:tcBorders>
                    <w:tl2br w:val="nil"/>
                    <w:tr2bl w:val="nil"/>
                  </w:tcBorders>
                  <w:shd w:val="clear" w:color="auto" w:fill="auto"/>
                  <w:vAlign w:val="center"/>
                </w:tcPr>
                <w:p>
                  <w:pPr>
                    <w:pStyle w:val="2"/>
                    <w:bidi w:val="0"/>
                    <w:rPr>
                      <w:color w:val="auto"/>
                    </w:rPr>
                  </w:pPr>
                  <w:r>
                    <w:rPr>
                      <w:color w:val="auto"/>
                    </w:rPr>
                    <w:t>标准限值（dB(A)）</w:t>
                  </w:r>
                </w:p>
              </w:tc>
              <w:tc>
                <w:tcPr>
                  <w:tcW w:w="697" w:type="pct"/>
                  <w:vMerge w:val="restart"/>
                  <w:tcBorders>
                    <w:tl2br w:val="nil"/>
                    <w:tr2bl w:val="nil"/>
                  </w:tcBorders>
                  <w:shd w:val="clear" w:color="auto" w:fill="auto"/>
                  <w:vAlign w:val="center"/>
                </w:tcPr>
                <w:p>
                  <w:pPr>
                    <w:pStyle w:val="2"/>
                    <w:bidi w:val="0"/>
                    <w:rPr>
                      <w:color w:val="auto"/>
                    </w:rPr>
                  </w:pPr>
                  <w:r>
                    <w:rPr>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auto"/>
                  <w:vAlign w:val="center"/>
                </w:tcPr>
                <w:p>
                  <w:pPr>
                    <w:pStyle w:val="2"/>
                    <w:bidi w:val="0"/>
                    <w:rPr>
                      <w:color w:val="auto"/>
                    </w:rPr>
                  </w:pPr>
                </w:p>
              </w:tc>
              <w:tc>
                <w:tcPr>
                  <w:tcW w:w="470" w:type="pct"/>
                  <w:tcBorders>
                    <w:tl2br w:val="nil"/>
                    <w:tr2bl w:val="nil"/>
                  </w:tcBorders>
                  <w:shd w:val="clear" w:color="auto" w:fill="auto"/>
                  <w:vAlign w:val="center"/>
                </w:tcPr>
                <w:p>
                  <w:pPr>
                    <w:pStyle w:val="2"/>
                    <w:bidi w:val="0"/>
                    <w:rPr>
                      <w:color w:val="auto"/>
                    </w:rPr>
                  </w:pPr>
                  <w:r>
                    <w:rPr>
                      <w:color w:val="auto"/>
                    </w:rPr>
                    <w:t>X</w:t>
                  </w:r>
                </w:p>
              </w:tc>
              <w:tc>
                <w:tcPr>
                  <w:tcW w:w="541" w:type="pct"/>
                  <w:tcBorders>
                    <w:tl2br w:val="nil"/>
                    <w:tr2bl w:val="nil"/>
                  </w:tcBorders>
                  <w:shd w:val="clear" w:color="auto" w:fill="auto"/>
                  <w:vAlign w:val="center"/>
                </w:tcPr>
                <w:p>
                  <w:pPr>
                    <w:pStyle w:val="2"/>
                    <w:bidi w:val="0"/>
                    <w:rPr>
                      <w:color w:val="auto"/>
                    </w:rPr>
                  </w:pPr>
                  <w:r>
                    <w:rPr>
                      <w:color w:val="auto"/>
                    </w:rPr>
                    <w:t>Y</w:t>
                  </w:r>
                </w:p>
              </w:tc>
              <w:tc>
                <w:tcPr>
                  <w:tcW w:w="401" w:type="pct"/>
                  <w:tcBorders>
                    <w:tl2br w:val="nil"/>
                    <w:tr2bl w:val="nil"/>
                  </w:tcBorders>
                  <w:shd w:val="clear" w:color="auto" w:fill="auto"/>
                  <w:vAlign w:val="center"/>
                </w:tcPr>
                <w:p>
                  <w:pPr>
                    <w:pStyle w:val="2"/>
                    <w:bidi w:val="0"/>
                    <w:rPr>
                      <w:color w:val="auto"/>
                    </w:rPr>
                  </w:pPr>
                  <w:r>
                    <w:rPr>
                      <w:color w:val="auto"/>
                    </w:rPr>
                    <w:t>Z</w:t>
                  </w:r>
                </w:p>
              </w:tc>
              <w:tc>
                <w:tcPr>
                  <w:tcW w:w="582" w:type="pct"/>
                  <w:vMerge w:val="continue"/>
                  <w:tcBorders>
                    <w:tl2br w:val="nil"/>
                    <w:tr2bl w:val="nil"/>
                  </w:tcBorders>
                  <w:shd w:val="clear" w:color="auto" w:fill="auto"/>
                  <w:vAlign w:val="center"/>
                </w:tcPr>
                <w:p>
                  <w:pPr>
                    <w:pStyle w:val="2"/>
                    <w:bidi w:val="0"/>
                    <w:rPr>
                      <w:color w:val="auto"/>
                    </w:rPr>
                  </w:pPr>
                </w:p>
              </w:tc>
              <w:tc>
                <w:tcPr>
                  <w:tcW w:w="830" w:type="pct"/>
                  <w:vMerge w:val="continue"/>
                  <w:tcBorders>
                    <w:tl2br w:val="nil"/>
                    <w:tr2bl w:val="nil"/>
                  </w:tcBorders>
                  <w:shd w:val="clear" w:color="auto" w:fill="auto"/>
                  <w:vAlign w:val="center"/>
                </w:tcPr>
                <w:p>
                  <w:pPr>
                    <w:pStyle w:val="2"/>
                    <w:bidi w:val="0"/>
                    <w:rPr>
                      <w:color w:val="auto"/>
                    </w:rPr>
                  </w:pPr>
                </w:p>
              </w:tc>
              <w:tc>
                <w:tcPr>
                  <w:tcW w:w="831" w:type="pct"/>
                  <w:vMerge w:val="continue"/>
                  <w:tcBorders>
                    <w:tl2br w:val="nil"/>
                    <w:tr2bl w:val="nil"/>
                  </w:tcBorders>
                  <w:shd w:val="clear" w:color="auto" w:fill="auto"/>
                  <w:vAlign w:val="center"/>
                </w:tcPr>
                <w:p>
                  <w:pPr>
                    <w:pStyle w:val="2"/>
                    <w:bidi w:val="0"/>
                    <w:rPr>
                      <w:color w:val="auto"/>
                    </w:rPr>
                  </w:pPr>
                </w:p>
              </w:tc>
              <w:tc>
                <w:tcPr>
                  <w:tcW w:w="697" w:type="pct"/>
                  <w:vMerge w:val="continue"/>
                  <w:tcBorders>
                    <w:tl2br w:val="nil"/>
                    <w:tr2bl w:val="nil"/>
                  </w:tcBorders>
                  <w:shd w:val="clear" w:color="auto" w:fill="auto"/>
                  <w:vAlign w:val="center"/>
                </w:tcPr>
                <w:p>
                  <w:pPr>
                    <w:pStyle w:val="2"/>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2"/>
                    <w:bidi w:val="0"/>
                    <w:rPr>
                      <w:color w:val="auto"/>
                    </w:rPr>
                  </w:pPr>
                  <w:r>
                    <w:rPr>
                      <w:color w:val="auto"/>
                    </w:rPr>
                    <w:t>东侧</w:t>
                  </w:r>
                </w:p>
              </w:tc>
              <w:tc>
                <w:tcPr>
                  <w:tcW w:w="470" w:type="pct"/>
                  <w:tcBorders>
                    <w:tl2br w:val="nil"/>
                    <w:tr2bl w:val="nil"/>
                  </w:tcBorders>
                  <w:shd w:val="clear" w:color="auto" w:fill="auto"/>
                  <w:vAlign w:val="center"/>
                </w:tcPr>
                <w:p>
                  <w:pPr>
                    <w:pStyle w:val="2"/>
                    <w:bidi w:val="0"/>
                    <w:rPr>
                      <w:color w:val="auto"/>
                    </w:rPr>
                  </w:pPr>
                  <w:r>
                    <w:rPr>
                      <w:color w:val="auto"/>
                    </w:rPr>
                    <w:t>678.1</w:t>
                  </w:r>
                </w:p>
              </w:tc>
              <w:tc>
                <w:tcPr>
                  <w:tcW w:w="541" w:type="pct"/>
                  <w:tcBorders>
                    <w:tl2br w:val="nil"/>
                    <w:tr2bl w:val="nil"/>
                  </w:tcBorders>
                  <w:shd w:val="clear" w:color="auto" w:fill="auto"/>
                  <w:vAlign w:val="center"/>
                </w:tcPr>
                <w:p>
                  <w:pPr>
                    <w:pStyle w:val="2"/>
                    <w:bidi w:val="0"/>
                    <w:rPr>
                      <w:color w:val="auto"/>
                    </w:rPr>
                  </w:pPr>
                  <w:r>
                    <w:rPr>
                      <w:color w:val="auto"/>
                    </w:rPr>
                    <w:t>33.8</w:t>
                  </w:r>
                </w:p>
              </w:tc>
              <w:tc>
                <w:tcPr>
                  <w:tcW w:w="401" w:type="pct"/>
                  <w:tcBorders>
                    <w:tl2br w:val="nil"/>
                    <w:tr2bl w:val="nil"/>
                  </w:tcBorders>
                  <w:shd w:val="clear" w:color="auto" w:fill="auto"/>
                  <w:vAlign w:val="center"/>
                </w:tcPr>
                <w:p>
                  <w:pPr>
                    <w:pStyle w:val="2"/>
                    <w:bidi w:val="0"/>
                    <w:rPr>
                      <w:color w:val="auto"/>
                    </w:rPr>
                  </w:pPr>
                  <w:r>
                    <w:rPr>
                      <w:color w:val="auto"/>
                    </w:rPr>
                    <w:t>1.2</w:t>
                  </w:r>
                </w:p>
              </w:tc>
              <w:tc>
                <w:tcPr>
                  <w:tcW w:w="582" w:type="pct"/>
                  <w:tcBorders>
                    <w:tl2br w:val="nil"/>
                    <w:tr2bl w:val="nil"/>
                  </w:tcBorders>
                  <w:shd w:val="clear" w:color="auto" w:fill="auto"/>
                  <w:vAlign w:val="center"/>
                </w:tcPr>
                <w:p>
                  <w:pPr>
                    <w:pStyle w:val="2"/>
                    <w:bidi w:val="0"/>
                    <w:rPr>
                      <w:color w:val="auto"/>
                    </w:rPr>
                  </w:pPr>
                  <w:r>
                    <w:rPr>
                      <w:color w:val="auto"/>
                    </w:rPr>
                    <w:t>昼间</w:t>
                  </w:r>
                </w:p>
              </w:tc>
              <w:tc>
                <w:tcPr>
                  <w:tcW w:w="830" w:type="pct"/>
                  <w:tcBorders>
                    <w:tl2br w:val="nil"/>
                    <w:tr2bl w:val="nil"/>
                  </w:tcBorders>
                  <w:shd w:val="clear" w:color="auto" w:fill="auto"/>
                  <w:vAlign w:val="center"/>
                </w:tcPr>
                <w:p>
                  <w:pPr>
                    <w:pStyle w:val="2"/>
                    <w:bidi w:val="0"/>
                    <w:rPr>
                      <w:color w:val="auto"/>
                    </w:rPr>
                  </w:pPr>
                  <w:r>
                    <w:rPr>
                      <w:color w:val="auto"/>
                    </w:rPr>
                    <w:t>23.9</w:t>
                  </w:r>
                </w:p>
              </w:tc>
              <w:tc>
                <w:tcPr>
                  <w:tcW w:w="831" w:type="pct"/>
                  <w:tcBorders>
                    <w:tl2br w:val="nil"/>
                    <w:tr2bl w:val="nil"/>
                  </w:tcBorders>
                  <w:shd w:val="clear" w:color="auto" w:fill="auto"/>
                  <w:vAlign w:val="center"/>
                </w:tcPr>
                <w:p>
                  <w:pPr>
                    <w:pStyle w:val="2"/>
                    <w:bidi w:val="0"/>
                    <w:rPr>
                      <w:color w:val="auto"/>
                    </w:rPr>
                  </w:pPr>
                  <w:r>
                    <w:rPr>
                      <w:color w:val="auto"/>
                    </w:rPr>
                    <w:t>60</w:t>
                  </w:r>
                </w:p>
              </w:tc>
              <w:tc>
                <w:tcPr>
                  <w:tcW w:w="697" w:type="pct"/>
                  <w:tcBorders>
                    <w:tl2br w:val="nil"/>
                    <w:tr2bl w:val="nil"/>
                  </w:tcBorders>
                  <w:shd w:val="clear" w:color="auto" w:fill="auto"/>
                  <w:vAlign w:val="center"/>
                </w:tcPr>
                <w:p>
                  <w:pPr>
                    <w:pStyle w:val="2"/>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2"/>
                    <w:bidi w:val="0"/>
                    <w:rPr>
                      <w:color w:val="auto"/>
                    </w:rPr>
                  </w:pPr>
                  <w:r>
                    <w:rPr>
                      <w:color w:val="auto"/>
                    </w:rPr>
                    <w:t>南侧</w:t>
                  </w:r>
                </w:p>
              </w:tc>
              <w:tc>
                <w:tcPr>
                  <w:tcW w:w="470" w:type="pct"/>
                  <w:tcBorders>
                    <w:tl2br w:val="nil"/>
                    <w:tr2bl w:val="nil"/>
                  </w:tcBorders>
                  <w:shd w:val="clear" w:color="auto" w:fill="auto"/>
                  <w:vAlign w:val="center"/>
                </w:tcPr>
                <w:p>
                  <w:pPr>
                    <w:pStyle w:val="2"/>
                    <w:bidi w:val="0"/>
                    <w:rPr>
                      <w:color w:val="auto"/>
                    </w:rPr>
                  </w:pPr>
                  <w:r>
                    <w:rPr>
                      <w:color w:val="auto"/>
                    </w:rPr>
                    <w:t>-593</w:t>
                  </w:r>
                </w:p>
              </w:tc>
              <w:tc>
                <w:tcPr>
                  <w:tcW w:w="541" w:type="pct"/>
                  <w:tcBorders>
                    <w:tl2br w:val="nil"/>
                    <w:tr2bl w:val="nil"/>
                  </w:tcBorders>
                  <w:shd w:val="clear" w:color="auto" w:fill="auto"/>
                  <w:vAlign w:val="center"/>
                </w:tcPr>
                <w:p>
                  <w:pPr>
                    <w:pStyle w:val="2"/>
                    <w:bidi w:val="0"/>
                    <w:rPr>
                      <w:color w:val="auto"/>
                    </w:rPr>
                  </w:pPr>
                  <w:r>
                    <w:rPr>
                      <w:color w:val="auto"/>
                    </w:rPr>
                    <w:t>-642.8</w:t>
                  </w:r>
                </w:p>
              </w:tc>
              <w:tc>
                <w:tcPr>
                  <w:tcW w:w="401" w:type="pct"/>
                  <w:tcBorders>
                    <w:tl2br w:val="nil"/>
                    <w:tr2bl w:val="nil"/>
                  </w:tcBorders>
                  <w:shd w:val="clear" w:color="auto" w:fill="auto"/>
                  <w:vAlign w:val="center"/>
                </w:tcPr>
                <w:p>
                  <w:pPr>
                    <w:pStyle w:val="2"/>
                    <w:bidi w:val="0"/>
                    <w:rPr>
                      <w:color w:val="auto"/>
                    </w:rPr>
                  </w:pPr>
                  <w:r>
                    <w:rPr>
                      <w:color w:val="auto"/>
                    </w:rPr>
                    <w:t>1.2</w:t>
                  </w:r>
                </w:p>
              </w:tc>
              <w:tc>
                <w:tcPr>
                  <w:tcW w:w="582" w:type="pct"/>
                  <w:tcBorders>
                    <w:tl2br w:val="nil"/>
                    <w:tr2bl w:val="nil"/>
                  </w:tcBorders>
                  <w:shd w:val="clear" w:color="auto" w:fill="auto"/>
                  <w:vAlign w:val="center"/>
                </w:tcPr>
                <w:p>
                  <w:pPr>
                    <w:pStyle w:val="2"/>
                    <w:bidi w:val="0"/>
                    <w:rPr>
                      <w:color w:val="auto"/>
                    </w:rPr>
                  </w:pPr>
                  <w:r>
                    <w:rPr>
                      <w:color w:val="auto"/>
                    </w:rPr>
                    <w:t>昼间</w:t>
                  </w:r>
                </w:p>
              </w:tc>
              <w:tc>
                <w:tcPr>
                  <w:tcW w:w="830" w:type="pct"/>
                  <w:tcBorders>
                    <w:tl2br w:val="nil"/>
                    <w:tr2bl w:val="nil"/>
                  </w:tcBorders>
                  <w:shd w:val="clear" w:color="auto" w:fill="auto"/>
                  <w:vAlign w:val="center"/>
                </w:tcPr>
                <w:p>
                  <w:pPr>
                    <w:pStyle w:val="2"/>
                    <w:bidi w:val="0"/>
                    <w:rPr>
                      <w:color w:val="auto"/>
                    </w:rPr>
                  </w:pPr>
                  <w:r>
                    <w:rPr>
                      <w:color w:val="auto"/>
                    </w:rPr>
                    <w:t>0</w:t>
                  </w:r>
                </w:p>
              </w:tc>
              <w:tc>
                <w:tcPr>
                  <w:tcW w:w="831" w:type="pct"/>
                  <w:tcBorders>
                    <w:tl2br w:val="nil"/>
                    <w:tr2bl w:val="nil"/>
                  </w:tcBorders>
                  <w:shd w:val="clear" w:color="auto" w:fill="auto"/>
                  <w:vAlign w:val="center"/>
                </w:tcPr>
                <w:p>
                  <w:pPr>
                    <w:pStyle w:val="2"/>
                    <w:bidi w:val="0"/>
                    <w:rPr>
                      <w:color w:val="auto"/>
                    </w:rPr>
                  </w:pPr>
                  <w:r>
                    <w:rPr>
                      <w:color w:val="auto"/>
                    </w:rPr>
                    <w:t>60</w:t>
                  </w:r>
                </w:p>
              </w:tc>
              <w:tc>
                <w:tcPr>
                  <w:tcW w:w="697" w:type="pct"/>
                  <w:tcBorders>
                    <w:tl2br w:val="nil"/>
                    <w:tr2bl w:val="nil"/>
                  </w:tcBorders>
                  <w:shd w:val="clear" w:color="auto" w:fill="auto"/>
                  <w:vAlign w:val="center"/>
                </w:tcPr>
                <w:p>
                  <w:pPr>
                    <w:pStyle w:val="2"/>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2"/>
                    <w:bidi w:val="0"/>
                    <w:rPr>
                      <w:color w:val="auto"/>
                    </w:rPr>
                  </w:pPr>
                  <w:r>
                    <w:rPr>
                      <w:color w:val="auto"/>
                    </w:rPr>
                    <w:t>西侧</w:t>
                  </w:r>
                </w:p>
              </w:tc>
              <w:tc>
                <w:tcPr>
                  <w:tcW w:w="470" w:type="pct"/>
                  <w:tcBorders>
                    <w:tl2br w:val="nil"/>
                    <w:tr2bl w:val="nil"/>
                  </w:tcBorders>
                  <w:shd w:val="clear" w:color="auto" w:fill="auto"/>
                  <w:vAlign w:val="center"/>
                </w:tcPr>
                <w:p>
                  <w:pPr>
                    <w:pStyle w:val="2"/>
                    <w:bidi w:val="0"/>
                    <w:rPr>
                      <w:color w:val="auto"/>
                    </w:rPr>
                  </w:pPr>
                  <w:r>
                    <w:rPr>
                      <w:color w:val="auto"/>
                    </w:rPr>
                    <w:t>0</w:t>
                  </w:r>
                </w:p>
              </w:tc>
              <w:tc>
                <w:tcPr>
                  <w:tcW w:w="541" w:type="pct"/>
                  <w:tcBorders>
                    <w:tl2br w:val="nil"/>
                    <w:tr2bl w:val="nil"/>
                  </w:tcBorders>
                  <w:shd w:val="clear" w:color="auto" w:fill="auto"/>
                  <w:vAlign w:val="center"/>
                </w:tcPr>
                <w:p>
                  <w:pPr>
                    <w:pStyle w:val="2"/>
                    <w:bidi w:val="0"/>
                    <w:rPr>
                      <w:color w:val="auto"/>
                    </w:rPr>
                  </w:pPr>
                  <w:r>
                    <w:rPr>
                      <w:color w:val="auto"/>
                    </w:rPr>
                    <w:t>0</w:t>
                  </w:r>
                </w:p>
              </w:tc>
              <w:tc>
                <w:tcPr>
                  <w:tcW w:w="401" w:type="pct"/>
                  <w:tcBorders>
                    <w:tl2br w:val="nil"/>
                    <w:tr2bl w:val="nil"/>
                  </w:tcBorders>
                  <w:shd w:val="clear" w:color="auto" w:fill="auto"/>
                  <w:vAlign w:val="center"/>
                </w:tcPr>
                <w:p>
                  <w:pPr>
                    <w:pStyle w:val="2"/>
                    <w:bidi w:val="0"/>
                    <w:rPr>
                      <w:color w:val="auto"/>
                    </w:rPr>
                  </w:pPr>
                  <w:r>
                    <w:rPr>
                      <w:color w:val="auto"/>
                    </w:rPr>
                    <w:t>1.2</w:t>
                  </w:r>
                </w:p>
              </w:tc>
              <w:tc>
                <w:tcPr>
                  <w:tcW w:w="582" w:type="pct"/>
                  <w:tcBorders>
                    <w:tl2br w:val="nil"/>
                    <w:tr2bl w:val="nil"/>
                  </w:tcBorders>
                  <w:shd w:val="clear" w:color="auto" w:fill="auto"/>
                  <w:vAlign w:val="center"/>
                </w:tcPr>
                <w:p>
                  <w:pPr>
                    <w:pStyle w:val="2"/>
                    <w:bidi w:val="0"/>
                    <w:rPr>
                      <w:color w:val="auto"/>
                    </w:rPr>
                  </w:pPr>
                  <w:r>
                    <w:rPr>
                      <w:color w:val="auto"/>
                    </w:rPr>
                    <w:t>昼间</w:t>
                  </w:r>
                </w:p>
              </w:tc>
              <w:tc>
                <w:tcPr>
                  <w:tcW w:w="830" w:type="pct"/>
                  <w:tcBorders>
                    <w:tl2br w:val="nil"/>
                    <w:tr2bl w:val="nil"/>
                  </w:tcBorders>
                  <w:shd w:val="clear" w:color="auto" w:fill="auto"/>
                  <w:vAlign w:val="center"/>
                </w:tcPr>
                <w:p>
                  <w:pPr>
                    <w:pStyle w:val="2"/>
                    <w:bidi w:val="0"/>
                    <w:rPr>
                      <w:color w:val="auto"/>
                    </w:rPr>
                  </w:pPr>
                  <w:r>
                    <w:rPr>
                      <w:color w:val="auto"/>
                    </w:rPr>
                    <w:t>22.2</w:t>
                  </w:r>
                </w:p>
              </w:tc>
              <w:tc>
                <w:tcPr>
                  <w:tcW w:w="831" w:type="pct"/>
                  <w:tcBorders>
                    <w:tl2br w:val="nil"/>
                    <w:tr2bl w:val="nil"/>
                  </w:tcBorders>
                  <w:shd w:val="clear" w:color="auto" w:fill="auto"/>
                  <w:vAlign w:val="center"/>
                </w:tcPr>
                <w:p>
                  <w:pPr>
                    <w:pStyle w:val="2"/>
                    <w:bidi w:val="0"/>
                    <w:rPr>
                      <w:color w:val="auto"/>
                    </w:rPr>
                  </w:pPr>
                  <w:r>
                    <w:rPr>
                      <w:color w:val="auto"/>
                    </w:rPr>
                    <w:t>60</w:t>
                  </w:r>
                </w:p>
              </w:tc>
              <w:tc>
                <w:tcPr>
                  <w:tcW w:w="697" w:type="pct"/>
                  <w:tcBorders>
                    <w:tl2br w:val="nil"/>
                    <w:tr2bl w:val="nil"/>
                  </w:tcBorders>
                  <w:shd w:val="clear" w:color="auto" w:fill="auto"/>
                  <w:vAlign w:val="center"/>
                </w:tcPr>
                <w:p>
                  <w:pPr>
                    <w:pStyle w:val="2"/>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2"/>
                    <w:bidi w:val="0"/>
                    <w:rPr>
                      <w:color w:val="auto"/>
                    </w:rPr>
                  </w:pPr>
                  <w:r>
                    <w:rPr>
                      <w:color w:val="auto"/>
                    </w:rPr>
                    <w:t>北侧</w:t>
                  </w:r>
                </w:p>
              </w:tc>
              <w:tc>
                <w:tcPr>
                  <w:tcW w:w="470" w:type="pct"/>
                  <w:tcBorders>
                    <w:tl2br w:val="nil"/>
                    <w:tr2bl w:val="nil"/>
                  </w:tcBorders>
                  <w:shd w:val="clear" w:color="auto" w:fill="auto"/>
                  <w:vAlign w:val="center"/>
                </w:tcPr>
                <w:p>
                  <w:pPr>
                    <w:pStyle w:val="2"/>
                    <w:bidi w:val="0"/>
                    <w:rPr>
                      <w:color w:val="auto"/>
                    </w:rPr>
                  </w:pPr>
                  <w:r>
                    <w:rPr>
                      <w:color w:val="auto"/>
                    </w:rPr>
                    <w:t>1.9</w:t>
                  </w:r>
                </w:p>
              </w:tc>
              <w:tc>
                <w:tcPr>
                  <w:tcW w:w="541" w:type="pct"/>
                  <w:tcBorders>
                    <w:tl2br w:val="nil"/>
                    <w:tr2bl w:val="nil"/>
                  </w:tcBorders>
                  <w:shd w:val="clear" w:color="auto" w:fill="auto"/>
                  <w:vAlign w:val="center"/>
                </w:tcPr>
                <w:p>
                  <w:pPr>
                    <w:pStyle w:val="2"/>
                    <w:bidi w:val="0"/>
                    <w:rPr>
                      <w:color w:val="auto"/>
                    </w:rPr>
                  </w:pPr>
                  <w:r>
                    <w:rPr>
                      <w:color w:val="auto"/>
                    </w:rPr>
                    <w:t>1.2</w:t>
                  </w:r>
                </w:p>
              </w:tc>
              <w:tc>
                <w:tcPr>
                  <w:tcW w:w="401" w:type="pct"/>
                  <w:tcBorders>
                    <w:tl2br w:val="nil"/>
                    <w:tr2bl w:val="nil"/>
                  </w:tcBorders>
                  <w:shd w:val="clear" w:color="auto" w:fill="auto"/>
                  <w:vAlign w:val="center"/>
                </w:tcPr>
                <w:p>
                  <w:pPr>
                    <w:pStyle w:val="2"/>
                    <w:bidi w:val="0"/>
                    <w:rPr>
                      <w:color w:val="auto"/>
                    </w:rPr>
                  </w:pPr>
                  <w:r>
                    <w:rPr>
                      <w:color w:val="auto"/>
                    </w:rPr>
                    <w:t>1.2</w:t>
                  </w:r>
                </w:p>
              </w:tc>
              <w:tc>
                <w:tcPr>
                  <w:tcW w:w="582" w:type="pct"/>
                  <w:tcBorders>
                    <w:tl2br w:val="nil"/>
                    <w:tr2bl w:val="nil"/>
                  </w:tcBorders>
                  <w:shd w:val="clear" w:color="auto" w:fill="auto"/>
                  <w:vAlign w:val="center"/>
                </w:tcPr>
                <w:p>
                  <w:pPr>
                    <w:pStyle w:val="2"/>
                    <w:bidi w:val="0"/>
                    <w:rPr>
                      <w:color w:val="auto"/>
                    </w:rPr>
                  </w:pPr>
                  <w:r>
                    <w:rPr>
                      <w:color w:val="auto"/>
                    </w:rPr>
                    <w:t>昼间</w:t>
                  </w:r>
                </w:p>
              </w:tc>
              <w:tc>
                <w:tcPr>
                  <w:tcW w:w="830" w:type="pct"/>
                  <w:tcBorders>
                    <w:tl2br w:val="nil"/>
                    <w:tr2bl w:val="nil"/>
                  </w:tcBorders>
                  <w:shd w:val="clear" w:color="auto" w:fill="auto"/>
                  <w:vAlign w:val="center"/>
                </w:tcPr>
                <w:p>
                  <w:pPr>
                    <w:pStyle w:val="2"/>
                    <w:bidi w:val="0"/>
                    <w:rPr>
                      <w:color w:val="auto"/>
                    </w:rPr>
                  </w:pPr>
                  <w:r>
                    <w:rPr>
                      <w:color w:val="auto"/>
                    </w:rPr>
                    <w:t>22.2</w:t>
                  </w:r>
                </w:p>
              </w:tc>
              <w:tc>
                <w:tcPr>
                  <w:tcW w:w="831" w:type="pct"/>
                  <w:tcBorders>
                    <w:tl2br w:val="nil"/>
                    <w:tr2bl w:val="nil"/>
                  </w:tcBorders>
                  <w:shd w:val="clear" w:color="auto" w:fill="auto"/>
                  <w:vAlign w:val="center"/>
                </w:tcPr>
                <w:p>
                  <w:pPr>
                    <w:pStyle w:val="2"/>
                    <w:bidi w:val="0"/>
                    <w:rPr>
                      <w:color w:val="auto"/>
                    </w:rPr>
                  </w:pPr>
                  <w:r>
                    <w:rPr>
                      <w:color w:val="auto"/>
                    </w:rPr>
                    <w:t>60</w:t>
                  </w:r>
                </w:p>
              </w:tc>
              <w:tc>
                <w:tcPr>
                  <w:tcW w:w="697" w:type="pct"/>
                  <w:tcBorders>
                    <w:tl2br w:val="nil"/>
                    <w:tr2bl w:val="nil"/>
                  </w:tcBorders>
                  <w:shd w:val="clear" w:color="auto" w:fill="auto"/>
                  <w:vAlign w:val="center"/>
                </w:tcPr>
                <w:p>
                  <w:pPr>
                    <w:pStyle w:val="2"/>
                    <w:bidi w:val="0"/>
                    <w:rPr>
                      <w:color w:val="auto"/>
                    </w:rPr>
                  </w:pPr>
                  <w:r>
                    <w:rPr>
                      <w:color w:val="auto"/>
                    </w:rPr>
                    <w:t>达标</w:t>
                  </w:r>
                </w:p>
              </w:tc>
            </w:tr>
          </w:tbl>
          <w:p>
            <w:pPr>
              <w:ind w:firstLine="480"/>
              <w:outlineLvl w:val="2"/>
              <w:rPr>
                <w:color w:val="auto"/>
              </w:rPr>
            </w:pPr>
            <w:r>
              <w:rPr>
                <w:color w:val="auto"/>
              </w:rPr>
              <w:t>从</w:t>
            </w:r>
            <w:r>
              <w:rPr>
                <w:rFonts w:hint="eastAsia"/>
                <w:color w:val="auto"/>
              </w:rPr>
              <w:t>上表</w:t>
            </w:r>
            <w:r>
              <w:rPr>
                <w:color w:val="auto"/>
              </w:rPr>
              <w:t>预测结果可知，在</w:t>
            </w:r>
            <w:r>
              <w:rPr>
                <w:rFonts w:hint="eastAsia"/>
                <w:color w:val="auto"/>
                <w:lang w:val="en-US" w:eastAsia="zh-CN"/>
              </w:rPr>
              <w:t>矿区范围外1m处</w:t>
            </w:r>
            <w:r>
              <w:rPr>
                <w:color w:val="auto"/>
              </w:rPr>
              <w:t>噪声满足《工业企业厂界环境噪声排放标准》</w:t>
            </w:r>
            <w:r>
              <w:rPr>
                <w:rFonts w:hint="eastAsia"/>
                <w:color w:val="auto"/>
              </w:rPr>
              <w:t>（</w:t>
            </w:r>
            <w:r>
              <w:rPr>
                <w:color w:val="auto"/>
              </w:rPr>
              <w:t>GB12348-2008</w:t>
            </w:r>
            <w:r>
              <w:rPr>
                <w:rFonts w:hint="eastAsia"/>
                <w:color w:val="auto"/>
              </w:rPr>
              <w:t>）</w:t>
            </w:r>
            <w:r>
              <w:rPr>
                <w:color w:val="auto"/>
              </w:rPr>
              <w:t>中</w:t>
            </w:r>
            <w:r>
              <w:rPr>
                <w:rFonts w:hint="eastAsia"/>
                <w:color w:val="auto"/>
                <w:lang w:val="en-US" w:eastAsia="zh-CN"/>
              </w:rPr>
              <w:t>2</w:t>
            </w:r>
            <w:r>
              <w:rPr>
                <w:color w:val="auto"/>
              </w:rPr>
              <w:t>类</w:t>
            </w:r>
            <w:r>
              <w:rPr>
                <w:rFonts w:hint="eastAsia"/>
                <w:color w:val="auto"/>
              </w:rPr>
              <w:t>区</w:t>
            </w:r>
            <w:r>
              <w:rPr>
                <w:color w:val="auto"/>
              </w:rPr>
              <w:t>标准</w:t>
            </w:r>
            <w:r>
              <w:rPr>
                <w:rFonts w:hint="eastAsia"/>
                <w:color w:val="auto"/>
              </w:rPr>
              <w:t>中昼间标准（即6</w:t>
            </w:r>
            <w:r>
              <w:rPr>
                <w:rFonts w:hint="eastAsia"/>
                <w:color w:val="auto"/>
                <w:lang w:val="en-US" w:eastAsia="zh-CN"/>
              </w:rPr>
              <w:t>0</w:t>
            </w:r>
            <w:r>
              <w:rPr>
                <w:rFonts w:hint="eastAsia"/>
                <w:color w:val="auto"/>
              </w:rPr>
              <w:t>dB（A））</w:t>
            </w:r>
            <w:r>
              <w:rPr>
                <w:color w:val="auto"/>
              </w:rPr>
              <w:t>，矿区夜间不工作，因而</w:t>
            </w:r>
            <w:r>
              <w:rPr>
                <w:rFonts w:hint="eastAsia"/>
                <w:color w:val="auto"/>
                <w:lang w:eastAsia="zh-CN"/>
              </w:rPr>
              <w:t>对</w:t>
            </w:r>
            <w:r>
              <w:rPr>
                <w:color w:val="auto"/>
              </w:rPr>
              <w:t>周围环境影响甚微，进入生产期后，生产设备产生的噪声主要影响现场作业人员。</w:t>
            </w:r>
          </w:p>
          <w:p>
            <w:pPr>
              <w:pStyle w:val="5"/>
              <w:rPr>
                <w:color w:val="auto"/>
              </w:rPr>
            </w:pPr>
            <w:r>
              <w:rPr>
                <w:rFonts w:hint="eastAsia"/>
                <w:color w:val="auto"/>
                <w:lang w:val="en-US" w:eastAsia="zh-CN"/>
              </w:rPr>
              <w:t>5</w:t>
            </w:r>
            <w:r>
              <w:rPr>
                <w:rFonts w:hint="eastAsia"/>
                <w:color w:val="auto"/>
              </w:rPr>
              <w:t>、</w:t>
            </w:r>
            <w:r>
              <w:rPr>
                <w:color w:val="auto"/>
              </w:rPr>
              <w:t>固废污染源</w:t>
            </w:r>
            <w:r>
              <w:rPr>
                <w:rFonts w:hint="eastAsia"/>
                <w:color w:val="auto"/>
              </w:rPr>
              <w:t>及影响分析</w:t>
            </w:r>
          </w:p>
          <w:p>
            <w:pPr>
              <w:pStyle w:val="71"/>
              <w:ind w:firstLine="480"/>
              <w:rPr>
                <w:color w:val="auto"/>
              </w:rPr>
            </w:pPr>
            <w:r>
              <w:rPr>
                <w:color w:val="auto"/>
              </w:rPr>
              <w:t>矿区产生的固废主要为</w:t>
            </w:r>
            <w:r>
              <w:rPr>
                <w:rFonts w:hint="eastAsia"/>
                <w:color w:val="auto"/>
                <w:lang w:eastAsia="zh-CN"/>
              </w:rPr>
              <w:t>一般工业固废、危险固废</w:t>
            </w:r>
            <w:r>
              <w:rPr>
                <w:color w:val="auto"/>
              </w:rPr>
              <w:t>及生活垃圾。</w:t>
            </w:r>
          </w:p>
          <w:p>
            <w:pPr>
              <w:pStyle w:val="5"/>
              <w:rPr>
                <w:color w:val="auto"/>
              </w:rPr>
            </w:pPr>
            <w:r>
              <w:rPr>
                <w:rFonts w:hint="eastAsia"/>
                <w:color w:val="auto"/>
                <w:lang w:val="en-US" w:eastAsia="zh-CN"/>
              </w:rPr>
              <w:t>5</w:t>
            </w:r>
            <w:r>
              <w:rPr>
                <w:color w:val="auto"/>
              </w:rPr>
              <w:t>.1生产固废</w:t>
            </w:r>
          </w:p>
          <w:p>
            <w:pPr>
              <w:pStyle w:val="71"/>
              <w:ind w:firstLine="480"/>
              <w:rPr>
                <w:color w:val="auto"/>
              </w:rPr>
            </w:pPr>
            <w:r>
              <w:rPr>
                <w:rFonts w:hint="eastAsia"/>
                <w:color w:val="auto"/>
              </w:rPr>
              <w:t>（1）</w:t>
            </w:r>
            <w:r>
              <w:rPr>
                <w:color w:val="auto"/>
              </w:rPr>
              <w:t>一般固废</w:t>
            </w:r>
          </w:p>
          <w:p>
            <w:pPr>
              <w:bidi w:val="0"/>
              <w:rPr>
                <w:rFonts w:hint="eastAsia"/>
                <w:color w:val="auto"/>
                <w:lang w:val="en-US" w:eastAsia="zh-CN"/>
              </w:rPr>
            </w:pPr>
            <w:r>
              <w:rPr>
                <w:rFonts w:hint="eastAsia"/>
                <w:color w:val="auto"/>
                <w:lang w:val="en-US" w:eastAsia="zh-CN"/>
              </w:rPr>
              <w:t>废石：</w:t>
            </w:r>
            <w:r>
              <w:rPr>
                <w:rFonts w:hint="eastAsia"/>
                <w:color w:val="auto"/>
              </w:rPr>
              <w:t>本项目产生的废石主要为沉淀泥</w:t>
            </w:r>
            <w:r>
              <w:rPr>
                <w:rFonts w:hint="eastAsia"/>
                <w:color w:val="auto"/>
                <w:lang w:eastAsia="zh-CN"/>
              </w:rPr>
              <w:t>沙、开采</w:t>
            </w:r>
            <w:r>
              <w:rPr>
                <w:rFonts w:hint="eastAsia"/>
                <w:color w:val="auto"/>
                <w:lang w:val="en-US" w:eastAsia="zh-CN"/>
              </w:rPr>
              <w:t>废石和不合格矿石。</w:t>
            </w:r>
            <w:r>
              <w:rPr>
                <w:rFonts w:hint="eastAsia"/>
                <w:color w:val="auto"/>
                <w:lang w:eastAsia="zh-CN"/>
              </w:rPr>
              <w:t>不可利用的废石量为</w:t>
            </w:r>
            <w:r>
              <w:rPr>
                <w:rFonts w:hint="eastAsia"/>
                <w:color w:val="auto"/>
                <w:lang w:val="en-US" w:eastAsia="zh-CN"/>
              </w:rPr>
              <w:t>1.95</w:t>
            </w:r>
            <w:r>
              <w:rPr>
                <w:color w:val="auto"/>
              </w:rPr>
              <w:t>万</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r>
              <w:rPr>
                <w:rFonts w:hint="eastAsia"/>
                <w:color w:val="auto"/>
              </w:rPr>
              <w:t>，</w:t>
            </w:r>
            <w:r>
              <w:rPr>
                <w:rFonts w:hint="eastAsia"/>
                <w:color w:val="auto"/>
                <w:lang w:eastAsia="zh-CN"/>
              </w:rPr>
              <w:t>沉淀泥沙产生量约</w:t>
            </w:r>
            <w:r>
              <w:rPr>
                <w:rFonts w:hint="eastAsia"/>
                <w:color w:val="auto"/>
                <w:lang w:val="en-US" w:eastAsia="zh-CN"/>
              </w:rPr>
              <w:t>0.04万m</w:t>
            </w:r>
            <w:r>
              <w:rPr>
                <w:rFonts w:hint="eastAsia"/>
                <w:color w:val="auto"/>
                <w:vertAlign w:val="superscript"/>
                <w:lang w:val="en-US" w:eastAsia="zh-CN"/>
              </w:rPr>
              <w:t>3</w:t>
            </w:r>
            <w:r>
              <w:rPr>
                <w:rFonts w:hint="eastAsia"/>
                <w:color w:val="auto"/>
                <w:lang w:val="en-US" w:eastAsia="zh-CN"/>
              </w:rPr>
              <w:t>/a，不合格矿石</w:t>
            </w:r>
            <w:r>
              <w:rPr>
                <w:rFonts w:hint="eastAsia" w:cs="Times New Roman"/>
                <w:color w:val="auto"/>
                <w:lang w:val="en-US" w:eastAsia="zh-CN"/>
              </w:rPr>
              <w:t>5.45</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/a，</w:t>
            </w:r>
            <w:r>
              <w:rPr>
                <w:rFonts w:hint="eastAsia"/>
                <w:color w:val="auto"/>
              </w:rPr>
              <w:t>暂存于废石堆场</w:t>
            </w:r>
            <w:r>
              <w:rPr>
                <w:rFonts w:hint="eastAsia"/>
                <w:color w:val="auto"/>
                <w:lang w:eastAsia="zh-CN"/>
              </w:rPr>
              <w:t>，复垦期</w:t>
            </w:r>
            <w:r>
              <w:rPr>
                <w:rFonts w:hint="eastAsia"/>
                <w:color w:val="auto"/>
              </w:rPr>
              <w:t>用于</w:t>
            </w:r>
            <w:r>
              <w:rPr>
                <w:rFonts w:hint="eastAsia"/>
                <w:color w:val="auto"/>
                <w:lang w:eastAsia="zh-CN"/>
              </w:rPr>
              <w:t>采坑回填</w:t>
            </w:r>
            <w:r>
              <w:rPr>
                <w:rFonts w:hint="eastAsia"/>
                <w:color w:val="auto"/>
              </w:rPr>
              <w:t>。</w:t>
            </w:r>
            <w:r>
              <w:rPr>
                <w:rFonts w:hint="eastAsia"/>
                <w:color w:val="auto"/>
                <w:lang w:val="en-US" w:eastAsia="zh-CN"/>
              </w:rPr>
              <w:t>根据《固体废物分类与代码目录》，</w:t>
            </w:r>
            <w:r>
              <w:rPr>
                <w:rFonts w:hint="eastAsia"/>
                <w:color w:val="auto"/>
                <w:lang w:eastAsia="zh-CN"/>
              </w:rPr>
              <w:t>废石</w:t>
            </w:r>
            <w:r>
              <w:rPr>
                <w:rFonts w:hint="eastAsia"/>
                <w:color w:val="auto"/>
                <w:lang w:val="en-US" w:eastAsia="zh-CN"/>
              </w:rPr>
              <w:t>和不合格矿石一般固体废物代码为900-099-S59，</w:t>
            </w:r>
            <w:r>
              <w:rPr>
                <w:rFonts w:hint="eastAsia"/>
                <w:color w:val="auto"/>
                <w:lang w:eastAsia="zh-CN"/>
              </w:rPr>
              <w:t>沉淀泥沙</w:t>
            </w:r>
            <w:r>
              <w:rPr>
                <w:rFonts w:hint="eastAsia"/>
                <w:color w:val="auto"/>
                <w:lang w:val="en-US" w:eastAsia="zh-CN"/>
              </w:rPr>
              <w:t>一般固体废物代码为900-099-S07。</w:t>
            </w:r>
          </w:p>
          <w:p>
            <w:pPr>
              <w:bidi w:val="0"/>
              <w:rPr>
                <w:rFonts w:hint="default"/>
                <w:color w:val="auto"/>
                <w:lang w:val="en-US" w:eastAsia="zh-CN"/>
              </w:rPr>
            </w:pPr>
            <w:r>
              <w:rPr>
                <w:rFonts w:hint="eastAsia"/>
                <w:color w:val="auto"/>
                <w:lang w:val="en-US" w:eastAsia="zh-CN"/>
              </w:rPr>
              <w:t>报废机械设备零部件：根据矿山生产过程中</w:t>
            </w:r>
            <w:r>
              <w:rPr>
                <w:rFonts w:hint="eastAsia"/>
                <w:lang w:val="en-US" w:eastAsia="zh-CN"/>
              </w:rPr>
              <w:t>锯片、锯线等易损件需要定期更换，均为金属材质，可直接外售，产生量约1t/a。</w:t>
            </w:r>
            <w:r>
              <w:rPr>
                <w:rFonts w:hint="eastAsia"/>
                <w:color w:val="auto"/>
                <w:lang w:val="en-US" w:eastAsia="zh-CN"/>
              </w:rPr>
              <w:t>根据《固体废物分类与代码目录》一般固体废物代码为900-012-S17。</w:t>
            </w:r>
          </w:p>
          <w:p>
            <w:pPr>
              <w:pStyle w:val="71"/>
              <w:ind w:firstLine="480"/>
              <w:rPr>
                <w:color w:val="auto"/>
              </w:rPr>
            </w:pPr>
            <w:r>
              <w:rPr>
                <w:rFonts w:hint="eastAsia"/>
                <w:color w:val="auto"/>
              </w:rPr>
              <w:t>（2）</w:t>
            </w:r>
            <w:r>
              <w:rPr>
                <w:color w:val="auto"/>
              </w:rPr>
              <w:t>危废固废</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废润滑油</w:t>
            </w:r>
            <w:r>
              <w:rPr>
                <w:rFonts w:hint="eastAsia"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本项目各类机械生产加工设备需要定期维护保养，会产生废润滑油，废润滑油的产生量为</w:t>
            </w:r>
            <w:r>
              <w:rPr>
                <w:rFonts w:hint="default"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w:t>
            </w:r>
            <w:r>
              <w:rPr>
                <w:rFonts w:hint="eastAsia" w:ascii="Times New Roman" w:hAnsi="Times New Roman" w:eastAsia="宋体" w:cs="Times New Roman"/>
                <w:color w:val="auto"/>
                <w:kern w:val="0"/>
                <w:sz w:val="24"/>
                <w:szCs w:val="24"/>
                <w:lang w:val="en-US" w:eastAsia="zh-CN" w:bidi="ar"/>
              </w:rPr>
              <w:t>《国家危险废物名录》</w:t>
            </w:r>
            <w:r>
              <w:rPr>
                <w:rFonts w:hint="eastAsia"/>
                <w:color w:val="auto"/>
                <w:lang w:val="en-US" w:eastAsia="zh-CN"/>
              </w:rPr>
              <w:t>（2025年版）</w:t>
            </w:r>
            <w:r>
              <w:rPr>
                <w:rFonts w:hint="eastAsia" w:ascii="Times New Roman" w:hAnsi="Times New Roman" w:eastAsia="宋体" w:cs="Times New Roman"/>
                <w:color w:val="auto"/>
                <w:kern w:val="0"/>
                <w:sz w:val="24"/>
                <w:szCs w:val="24"/>
                <w:lang w:val="en-US" w:eastAsia="zh-CN" w:bidi="ar"/>
              </w:rPr>
              <w:t>，危险废物代码为（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w:t>
            </w:r>
            <w:r>
              <w:rPr>
                <w:rFonts w:hint="eastAsia" w:ascii="Times New Roman" w:hAnsi="Times New Roman" w:eastAsia="宋体" w:cs="Times New Roman"/>
                <w:color w:val="auto"/>
                <w:kern w:val="0"/>
                <w:sz w:val="24"/>
                <w:szCs w:val="24"/>
                <w:lang w:val="en-US" w:eastAsia="zh-CN" w:bidi="ar"/>
              </w:rPr>
              <w:t>217</w:t>
            </w:r>
            <w:r>
              <w:rPr>
                <w:rFonts w:hint="default" w:ascii="Times New Roman" w:hAnsi="Times New Roman" w:eastAsia="宋体" w:cs="Times New Roman"/>
                <w:color w:val="auto"/>
                <w:kern w:val="0"/>
                <w:sz w:val="24"/>
                <w:szCs w:val="24"/>
                <w:lang w:val="en-US" w:eastAsia="zh-CN" w:bidi="ar"/>
              </w:rPr>
              <w:t>-08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废油桶</w:t>
            </w:r>
            <w:r>
              <w:rPr>
                <w:rFonts w:hint="eastAsia"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本项目在使用润滑油时产生的沾染矿物油的废弃包装物约为0.01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，根据《国家危险废物名录》（</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年），沾染矿物油的废弃包装物属于危险废物，危废代码为（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900-249-08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p>
          <w:p>
            <w:pPr>
              <w:keepNext w:val="0"/>
              <w:keepLines w:val="0"/>
              <w:widowControl/>
              <w:suppressLineNumbers w:val="0"/>
              <w:spacing w:before="0" w:beforeAutospacing="0" w:after="0" w:afterAutospacing="0"/>
              <w:ind w:left="0" w:right="0"/>
              <w:jc w:val="left"/>
              <w:rPr>
                <w:rFonts w:ascii="宋体" w:hAnsi="宋体" w:cs="宋体"/>
                <w:color w:val="auto"/>
              </w:rPr>
            </w:pPr>
            <w:r>
              <w:rPr>
                <w:rFonts w:hint="eastAsia"/>
                <w:color w:val="auto"/>
                <w:lang w:eastAsia="zh-CN"/>
              </w:rPr>
              <w:t>含油</w:t>
            </w:r>
            <w:r>
              <w:rPr>
                <w:rFonts w:hint="eastAsia"/>
                <w:color w:val="auto"/>
                <w:lang w:val="en-US" w:eastAsia="zh-CN"/>
              </w:rPr>
              <w:t>手套、抹布含油：手套、抹布维修过程产生含油手套、抹布，</w:t>
            </w:r>
            <w:r>
              <w:rPr>
                <w:rFonts w:hint="eastAsia"/>
                <w:color w:val="auto"/>
                <w:lang w:eastAsia="zh-CN"/>
              </w:rPr>
              <w:t>根据</w:t>
            </w:r>
            <w:r>
              <w:rPr>
                <w:rFonts w:hint="default"/>
                <w:color w:val="auto"/>
              </w:rPr>
              <w:t>《国家危险废物名录</w:t>
            </w:r>
            <w:r>
              <w:rPr>
                <w:rFonts w:hint="eastAsia"/>
                <w:color w:val="auto"/>
                <w:lang w:val="en-US" w:eastAsia="zh-CN"/>
              </w:rPr>
              <w:t>（2025 版）</w:t>
            </w:r>
            <w:r>
              <w:rPr>
                <w:rFonts w:hint="default"/>
                <w:color w:val="auto"/>
              </w:rPr>
              <w:t>》，废物类别为HW49</w:t>
            </w:r>
            <w:r>
              <w:rPr>
                <w:rFonts w:hint="eastAsia"/>
                <w:color w:val="auto"/>
                <w:lang w:val="en-US" w:eastAsia="zh-CN"/>
              </w:rPr>
              <w:t>（废物代码 900-041-49），产生量为0.05t/a，</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r>
              <w:rPr>
                <w:rFonts w:hint="eastAsia" w:ascii="宋体" w:hAnsi="宋体" w:cs="宋体"/>
                <w:color w:val="auto"/>
              </w:rPr>
              <w:t>。</w:t>
            </w:r>
          </w:p>
          <w:p>
            <w:pPr>
              <w:pStyle w:val="7"/>
              <w:bidi w:val="0"/>
              <w:rPr>
                <w:color w:val="auto"/>
              </w:rPr>
            </w:pPr>
            <w:r>
              <w:rPr>
                <w:rFonts w:hint="eastAsia"/>
                <w:color w:val="auto"/>
              </w:rPr>
              <w:t>表</w:t>
            </w:r>
            <w:r>
              <w:rPr>
                <w:rFonts w:hint="eastAsia"/>
                <w:color w:val="auto"/>
                <w:lang w:val="en-US" w:eastAsia="zh-CN"/>
              </w:rPr>
              <w:t>4-8</w:t>
            </w:r>
            <w:r>
              <w:rPr>
                <w:rFonts w:hint="eastAsia"/>
                <w:color w:val="auto"/>
              </w:rPr>
              <w:t xml:space="preserve">                         危险废物汇总表</w:t>
            </w:r>
          </w:p>
          <w:tbl>
            <w:tblPr>
              <w:tblStyle w:val="30"/>
              <w:tblW w:w="49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870"/>
              <w:gridCol w:w="1230"/>
              <w:gridCol w:w="810"/>
              <w:gridCol w:w="857"/>
              <w:gridCol w:w="497"/>
              <w:gridCol w:w="464"/>
              <w:gridCol w:w="612"/>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2"/>
                    <w:bidi w:val="0"/>
                    <w:rPr>
                      <w:color w:val="auto"/>
                    </w:rPr>
                  </w:pPr>
                  <w:r>
                    <w:rPr>
                      <w:color w:val="auto"/>
                    </w:rPr>
                    <w:t>危险废物名称</w:t>
                  </w:r>
                </w:p>
              </w:tc>
              <w:tc>
                <w:tcPr>
                  <w:tcW w:w="590" w:type="pct"/>
                  <w:vAlign w:val="center"/>
                </w:tcPr>
                <w:p>
                  <w:pPr>
                    <w:pStyle w:val="2"/>
                    <w:bidi w:val="0"/>
                    <w:rPr>
                      <w:color w:val="auto"/>
                    </w:rPr>
                  </w:pPr>
                  <w:r>
                    <w:rPr>
                      <w:color w:val="auto"/>
                    </w:rPr>
                    <w:t>危险</w:t>
                  </w:r>
                </w:p>
                <w:p>
                  <w:pPr>
                    <w:pStyle w:val="2"/>
                    <w:bidi w:val="0"/>
                    <w:rPr>
                      <w:color w:val="auto"/>
                    </w:rPr>
                  </w:pPr>
                  <w:r>
                    <w:rPr>
                      <w:color w:val="auto"/>
                    </w:rPr>
                    <w:t>废物</w:t>
                  </w:r>
                </w:p>
                <w:p>
                  <w:pPr>
                    <w:pStyle w:val="2"/>
                    <w:bidi w:val="0"/>
                    <w:rPr>
                      <w:color w:val="auto"/>
                    </w:rPr>
                  </w:pPr>
                  <w:r>
                    <w:rPr>
                      <w:color w:val="auto"/>
                    </w:rPr>
                    <w:t>类别</w:t>
                  </w:r>
                </w:p>
              </w:tc>
              <w:tc>
                <w:tcPr>
                  <w:tcW w:w="834" w:type="pct"/>
                  <w:vAlign w:val="center"/>
                </w:tcPr>
                <w:p>
                  <w:pPr>
                    <w:pStyle w:val="2"/>
                    <w:bidi w:val="0"/>
                    <w:rPr>
                      <w:color w:val="auto"/>
                    </w:rPr>
                  </w:pPr>
                  <w:r>
                    <w:rPr>
                      <w:color w:val="auto"/>
                    </w:rPr>
                    <w:t>危险</w:t>
                  </w:r>
                </w:p>
                <w:p>
                  <w:pPr>
                    <w:pStyle w:val="2"/>
                    <w:bidi w:val="0"/>
                    <w:rPr>
                      <w:color w:val="auto"/>
                    </w:rPr>
                  </w:pPr>
                  <w:r>
                    <w:rPr>
                      <w:color w:val="auto"/>
                    </w:rPr>
                    <w:t>废物</w:t>
                  </w:r>
                </w:p>
                <w:p>
                  <w:pPr>
                    <w:pStyle w:val="2"/>
                    <w:bidi w:val="0"/>
                    <w:rPr>
                      <w:color w:val="auto"/>
                    </w:rPr>
                  </w:pPr>
                  <w:r>
                    <w:rPr>
                      <w:color w:val="auto"/>
                    </w:rPr>
                    <w:t>代码</w:t>
                  </w:r>
                </w:p>
              </w:tc>
              <w:tc>
                <w:tcPr>
                  <w:tcW w:w="549" w:type="pct"/>
                  <w:vAlign w:val="center"/>
                </w:tcPr>
                <w:p>
                  <w:pPr>
                    <w:pStyle w:val="2"/>
                    <w:bidi w:val="0"/>
                    <w:rPr>
                      <w:color w:val="auto"/>
                    </w:rPr>
                  </w:pPr>
                  <w:r>
                    <w:rPr>
                      <w:color w:val="auto"/>
                    </w:rPr>
                    <w:t>产生</w:t>
                  </w:r>
                </w:p>
                <w:p>
                  <w:pPr>
                    <w:pStyle w:val="2"/>
                    <w:bidi w:val="0"/>
                    <w:rPr>
                      <w:color w:val="auto"/>
                    </w:rPr>
                  </w:pPr>
                  <w:r>
                    <w:rPr>
                      <w:color w:val="auto"/>
                    </w:rPr>
                    <w:t>量（t/a）</w:t>
                  </w:r>
                </w:p>
              </w:tc>
              <w:tc>
                <w:tcPr>
                  <w:tcW w:w="581" w:type="pct"/>
                  <w:vAlign w:val="center"/>
                </w:tcPr>
                <w:p>
                  <w:pPr>
                    <w:pStyle w:val="2"/>
                    <w:bidi w:val="0"/>
                    <w:rPr>
                      <w:color w:val="auto"/>
                    </w:rPr>
                  </w:pPr>
                  <w:r>
                    <w:rPr>
                      <w:color w:val="auto"/>
                    </w:rPr>
                    <w:t>产生</w:t>
                  </w:r>
                </w:p>
                <w:p>
                  <w:pPr>
                    <w:pStyle w:val="2"/>
                    <w:bidi w:val="0"/>
                    <w:rPr>
                      <w:color w:val="auto"/>
                    </w:rPr>
                  </w:pPr>
                  <w:r>
                    <w:rPr>
                      <w:color w:val="auto"/>
                    </w:rPr>
                    <w:t>工序及装置</w:t>
                  </w:r>
                </w:p>
              </w:tc>
              <w:tc>
                <w:tcPr>
                  <w:tcW w:w="337" w:type="pct"/>
                  <w:vAlign w:val="center"/>
                </w:tcPr>
                <w:p>
                  <w:pPr>
                    <w:pStyle w:val="2"/>
                    <w:bidi w:val="0"/>
                    <w:rPr>
                      <w:color w:val="auto"/>
                    </w:rPr>
                  </w:pPr>
                  <w:r>
                    <w:rPr>
                      <w:color w:val="auto"/>
                    </w:rPr>
                    <w:t>形态</w:t>
                  </w:r>
                </w:p>
              </w:tc>
              <w:tc>
                <w:tcPr>
                  <w:tcW w:w="314" w:type="pct"/>
                  <w:vAlign w:val="center"/>
                </w:tcPr>
                <w:p>
                  <w:pPr>
                    <w:pStyle w:val="2"/>
                    <w:bidi w:val="0"/>
                    <w:rPr>
                      <w:color w:val="auto"/>
                    </w:rPr>
                  </w:pPr>
                  <w:r>
                    <w:rPr>
                      <w:color w:val="auto"/>
                    </w:rPr>
                    <w:t>产废周期</w:t>
                  </w:r>
                </w:p>
              </w:tc>
              <w:tc>
                <w:tcPr>
                  <w:tcW w:w="415" w:type="pct"/>
                  <w:vAlign w:val="center"/>
                </w:tcPr>
                <w:p>
                  <w:pPr>
                    <w:pStyle w:val="2"/>
                    <w:bidi w:val="0"/>
                    <w:rPr>
                      <w:color w:val="auto"/>
                    </w:rPr>
                  </w:pPr>
                  <w:r>
                    <w:rPr>
                      <w:color w:val="auto"/>
                    </w:rPr>
                    <w:t>危险</w:t>
                  </w:r>
                </w:p>
                <w:p>
                  <w:pPr>
                    <w:pStyle w:val="2"/>
                    <w:bidi w:val="0"/>
                    <w:rPr>
                      <w:color w:val="auto"/>
                    </w:rPr>
                  </w:pPr>
                  <w:r>
                    <w:rPr>
                      <w:color w:val="auto"/>
                    </w:rPr>
                    <w:t>特性</w:t>
                  </w:r>
                </w:p>
              </w:tc>
              <w:tc>
                <w:tcPr>
                  <w:tcW w:w="737" w:type="pct"/>
                  <w:vAlign w:val="center"/>
                </w:tcPr>
                <w:p>
                  <w:pPr>
                    <w:pStyle w:val="2"/>
                    <w:bidi w:val="0"/>
                    <w:rPr>
                      <w:color w:val="auto"/>
                    </w:rPr>
                  </w:pPr>
                  <w:r>
                    <w:rPr>
                      <w:color w:val="auto"/>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2"/>
                    <w:bidi w:val="0"/>
                    <w:rPr>
                      <w:color w:val="auto"/>
                      <w:lang w:val="en-US" w:eastAsia="zh-CN"/>
                    </w:rPr>
                  </w:pPr>
                  <w:r>
                    <w:rPr>
                      <w:rFonts w:hint="eastAsia"/>
                      <w:color w:val="auto"/>
                      <w:lang w:val="en-US" w:eastAsia="zh-CN"/>
                    </w:rPr>
                    <w:t>废润滑油</w:t>
                  </w:r>
                </w:p>
              </w:tc>
              <w:tc>
                <w:tcPr>
                  <w:tcW w:w="590" w:type="pct"/>
                  <w:vAlign w:val="center"/>
                </w:tcPr>
                <w:p>
                  <w:pPr>
                    <w:pStyle w:val="2"/>
                    <w:bidi w:val="0"/>
                    <w:rPr>
                      <w:color w:val="auto"/>
                    </w:rPr>
                  </w:pPr>
                  <w:r>
                    <w:rPr>
                      <w:color w:val="auto"/>
                    </w:rPr>
                    <w:t>HW08</w:t>
                  </w:r>
                </w:p>
                <w:p>
                  <w:pPr>
                    <w:pStyle w:val="2"/>
                    <w:bidi w:val="0"/>
                    <w:rPr>
                      <w:color w:val="auto"/>
                    </w:rPr>
                  </w:pPr>
                  <w:r>
                    <w:rPr>
                      <w:rFonts w:hint="eastAsia"/>
                      <w:color w:val="auto"/>
                      <w:lang w:eastAsia="zh-CN"/>
                    </w:rPr>
                    <w:t>废润滑油</w:t>
                  </w:r>
                  <w:r>
                    <w:rPr>
                      <w:color w:val="auto"/>
                    </w:rPr>
                    <w:t>与含矿物油废物</w:t>
                  </w:r>
                </w:p>
              </w:tc>
              <w:tc>
                <w:tcPr>
                  <w:tcW w:w="834" w:type="pct"/>
                  <w:vAlign w:val="center"/>
                </w:tcPr>
                <w:p>
                  <w:pPr>
                    <w:pStyle w:val="2"/>
                    <w:bidi w:val="0"/>
                    <w:rPr>
                      <w:rFonts w:hint="default"/>
                      <w:color w:val="auto"/>
                      <w:lang w:val="en-US" w:eastAsia="zh-CN"/>
                    </w:rPr>
                  </w:pPr>
                  <w:r>
                    <w:rPr>
                      <w:rFonts w:hint="default"/>
                      <w:color w:val="auto"/>
                      <w:lang w:val="en-US" w:eastAsia="zh-CN"/>
                    </w:rPr>
                    <w:t>900-</w:t>
                  </w:r>
                  <w:r>
                    <w:rPr>
                      <w:rFonts w:hint="eastAsia"/>
                      <w:color w:val="auto"/>
                      <w:lang w:val="en-US" w:eastAsia="zh-CN"/>
                    </w:rPr>
                    <w:t>217</w:t>
                  </w:r>
                  <w:r>
                    <w:rPr>
                      <w:rFonts w:hint="default"/>
                      <w:color w:val="auto"/>
                      <w:lang w:val="en-US" w:eastAsia="zh-CN"/>
                    </w:rPr>
                    <w:t>-08</w:t>
                  </w:r>
                </w:p>
              </w:tc>
              <w:tc>
                <w:tcPr>
                  <w:tcW w:w="549" w:type="pct"/>
                  <w:shd w:val="clear" w:color="auto" w:fill="auto"/>
                  <w:vAlign w:val="center"/>
                </w:tcPr>
                <w:p>
                  <w:pPr>
                    <w:pStyle w:val="2"/>
                    <w:bidi w:val="0"/>
                    <w:rPr>
                      <w:rFonts w:hint="default"/>
                      <w:color w:val="auto"/>
                      <w:lang w:val="en-US" w:eastAsia="zh-CN"/>
                    </w:rPr>
                  </w:pPr>
                  <w:r>
                    <w:rPr>
                      <w:rFonts w:hint="eastAsia"/>
                      <w:color w:val="auto"/>
                      <w:lang w:val="en-US" w:eastAsia="zh-CN"/>
                    </w:rPr>
                    <w:t>0.1</w:t>
                  </w:r>
                </w:p>
              </w:tc>
              <w:tc>
                <w:tcPr>
                  <w:tcW w:w="581" w:type="pct"/>
                  <w:vAlign w:val="center"/>
                </w:tcPr>
                <w:p>
                  <w:pPr>
                    <w:pStyle w:val="2"/>
                    <w:bidi w:val="0"/>
                    <w:rPr>
                      <w:color w:val="auto"/>
                    </w:rPr>
                  </w:pPr>
                  <w:r>
                    <w:rPr>
                      <w:color w:val="auto"/>
                    </w:rPr>
                    <w:t>机器维修工序</w:t>
                  </w:r>
                </w:p>
              </w:tc>
              <w:tc>
                <w:tcPr>
                  <w:tcW w:w="337" w:type="pct"/>
                  <w:vAlign w:val="center"/>
                </w:tcPr>
                <w:p>
                  <w:pPr>
                    <w:pStyle w:val="2"/>
                    <w:bidi w:val="0"/>
                    <w:rPr>
                      <w:color w:val="auto"/>
                    </w:rPr>
                  </w:pPr>
                  <w:r>
                    <w:rPr>
                      <w:color w:val="auto"/>
                    </w:rPr>
                    <w:t>液态</w:t>
                  </w:r>
                </w:p>
              </w:tc>
              <w:tc>
                <w:tcPr>
                  <w:tcW w:w="314" w:type="pct"/>
                  <w:vAlign w:val="center"/>
                </w:tcPr>
                <w:p>
                  <w:pPr>
                    <w:pStyle w:val="2"/>
                    <w:bidi w:val="0"/>
                    <w:rPr>
                      <w:rFonts w:hint="eastAsia"/>
                      <w:color w:val="auto"/>
                      <w:lang w:eastAsia="zh-CN"/>
                    </w:rPr>
                  </w:pPr>
                  <w:r>
                    <w:rPr>
                      <w:rFonts w:hint="eastAsia"/>
                      <w:color w:val="auto"/>
                      <w:lang w:eastAsia="zh-CN"/>
                    </w:rPr>
                    <w:t>一年一次</w:t>
                  </w:r>
                </w:p>
              </w:tc>
              <w:tc>
                <w:tcPr>
                  <w:tcW w:w="415" w:type="pct"/>
                  <w:vAlign w:val="center"/>
                </w:tcPr>
                <w:p>
                  <w:pPr>
                    <w:pStyle w:val="2"/>
                    <w:bidi w:val="0"/>
                    <w:rPr>
                      <w:color w:val="auto"/>
                    </w:rPr>
                  </w:pPr>
                  <w:r>
                    <w:rPr>
                      <w:color w:val="auto"/>
                    </w:rPr>
                    <w:t>T</w:t>
                  </w:r>
                  <w:r>
                    <w:rPr>
                      <w:rFonts w:hint="eastAsia"/>
                      <w:color w:val="auto"/>
                      <w:lang w:val="en-US" w:eastAsia="zh-CN"/>
                    </w:rPr>
                    <w:t>,</w:t>
                  </w:r>
                  <w:r>
                    <w:rPr>
                      <w:color w:val="auto"/>
                    </w:rPr>
                    <w:t>I</w:t>
                  </w:r>
                </w:p>
              </w:tc>
              <w:tc>
                <w:tcPr>
                  <w:tcW w:w="1087" w:type="dxa"/>
                  <w:vAlign w:val="center"/>
                </w:tcPr>
                <w:p>
                  <w:pPr>
                    <w:pStyle w:val="2"/>
                    <w:bidi w:val="0"/>
                    <w:rPr>
                      <w:color w:val="auto"/>
                    </w:rPr>
                  </w:pPr>
                  <w:r>
                    <w:rPr>
                      <w:rFonts w:hint="eastAsia"/>
                      <w:color w:val="auto"/>
                      <w:lang w:val="en-US" w:eastAsia="zh-CN"/>
                    </w:rPr>
                    <w:t>委托有处理资质的单位处理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2"/>
                    <w:bidi w:val="0"/>
                    <w:rPr>
                      <w:rFonts w:hint="eastAsia"/>
                      <w:color w:val="auto"/>
                      <w:lang w:val="en-US" w:eastAsia="zh-CN"/>
                    </w:rPr>
                  </w:pPr>
                  <w:r>
                    <w:rPr>
                      <w:rFonts w:hint="eastAsia"/>
                      <w:color w:val="auto"/>
                      <w:lang w:val="en-US" w:eastAsia="zh-CN"/>
                    </w:rPr>
                    <w:t>废油桶</w:t>
                  </w:r>
                </w:p>
              </w:tc>
              <w:tc>
                <w:tcPr>
                  <w:tcW w:w="590" w:type="pct"/>
                  <w:vAlign w:val="center"/>
                </w:tcPr>
                <w:p>
                  <w:pPr>
                    <w:pStyle w:val="2"/>
                    <w:bidi w:val="0"/>
                    <w:rPr>
                      <w:color w:val="auto"/>
                    </w:rPr>
                  </w:pPr>
                  <w:r>
                    <w:rPr>
                      <w:color w:val="auto"/>
                    </w:rPr>
                    <w:t>HW08</w:t>
                  </w:r>
                </w:p>
                <w:p>
                  <w:pPr>
                    <w:pStyle w:val="2"/>
                    <w:bidi w:val="0"/>
                    <w:rPr>
                      <w:rFonts w:hint="eastAsia"/>
                      <w:color w:val="auto"/>
                      <w:lang w:eastAsia="zh-CN"/>
                    </w:rPr>
                  </w:pPr>
                  <w:r>
                    <w:rPr>
                      <w:rFonts w:hint="eastAsia"/>
                      <w:color w:val="auto"/>
                      <w:lang w:eastAsia="zh-CN"/>
                    </w:rPr>
                    <w:t>废润滑油</w:t>
                  </w:r>
                  <w:r>
                    <w:rPr>
                      <w:color w:val="auto"/>
                    </w:rPr>
                    <w:t>与含矿物油废物</w:t>
                  </w:r>
                </w:p>
              </w:tc>
              <w:tc>
                <w:tcPr>
                  <w:tcW w:w="834" w:type="pct"/>
                  <w:vAlign w:val="center"/>
                </w:tcPr>
                <w:p>
                  <w:pPr>
                    <w:pStyle w:val="2"/>
                    <w:bidi w:val="0"/>
                    <w:rPr>
                      <w:rFonts w:hint="default"/>
                      <w:color w:val="auto"/>
                      <w:lang w:val="en-US" w:eastAsia="zh-CN"/>
                    </w:rPr>
                  </w:pPr>
                  <w:r>
                    <w:rPr>
                      <w:rFonts w:hint="eastAsia"/>
                      <w:color w:val="auto"/>
                      <w:lang w:val="en-US" w:eastAsia="zh-CN"/>
                    </w:rPr>
                    <w:t>900-249-08</w:t>
                  </w:r>
                </w:p>
              </w:tc>
              <w:tc>
                <w:tcPr>
                  <w:tcW w:w="549" w:type="pct"/>
                  <w:shd w:val="clear" w:color="auto" w:fill="auto"/>
                  <w:vAlign w:val="center"/>
                </w:tcPr>
                <w:p>
                  <w:pPr>
                    <w:pStyle w:val="2"/>
                    <w:bidi w:val="0"/>
                    <w:rPr>
                      <w:rFonts w:hint="default"/>
                      <w:color w:val="auto"/>
                      <w:lang w:val="en-US" w:eastAsia="zh-CN"/>
                    </w:rPr>
                  </w:pPr>
                  <w:r>
                    <w:rPr>
                      <w:rFonts w:hint="eastAsia"/>
                      <w:color w:val="auto"/>
                      <w:lang w:val="en-US" w:eastAsia="zh-CN"/>
                    </w:rPr>
                    <w:t>0.01</w:t>
                  </w:r>
                </w:p>
              </w:tc>
              <w:tc>
                <w:tcPr>
                  <w:tcW w:w="581" w:type="pct"/>
                  <w:vAlign w:val="center"/>
                </w:tcPr>
                <w:p>
                  <w:pPr>
                    <w:pStyle w:val="2"/>
                    <w:bidi w:val="0"/>
                    <w:rPr>
                      <w:rFonts w:hint="eastAsia"/>
                      <w:color w:val="auto"/>
                      <w:lang w:eastAsia="zh-CN"/>
                    </w:rPr>
                  </w:pPr>
                  <w:r>
                    <w:rPr>
                      <w:rFonts w:hint="eastAsia"/>
                      <w:color w:val="auto"/>
                      <w:lang w:eastAsia="zh-CN"/>
                    </w:rPr>
                    <w:t>废弃包装物</w:t>
                  </w:r>
                </w:p>
              </w:tc>
              <w:tc>
                <w:tcPr>
                  <w:tcW w:w="337" w:type="pct"/>
                  <w:vAlign w:val="center"/>
                </w:tcPr>
                <w:p>
                  <w:pPr>
                    <w:pStyle w:val="2"/>
                    <w:bidi w:val="0"/>
                    <w:rPr>
                      <w:rFonts w:hint="eastAsia"/>
                      <w:color w:val="auto"/>
                      <w:lang w:eastAsia="zh-CN"/>
                    </w:rPr>
                  </w:pPr>
                  <w:r>
                    <w:rPr>
                      <w:rFonts w:hint="eastAsia"/>
                      <w:color w:val="auto"/>
                      <w:lang w:eastAsia="zh-CN"/>
                    </w:rPr>
                    <w:t>固态</w:t>
                  </w:r>
                </w:p>
              </w:tc>
              <w:tc>
                <w:tcPr>
                  <w:tcW w:w="314" w:type="pct"/>
                  <w:vAlign w:val="center"/>
                </w:tcPr>
                <w:p>
                  <w:pPr>
                    <w:pStyle w:val="2"/>
                    <w:bidi w:val="0"/>
                    <w:rPr>
                      <w:rFonts w:hint="eastAsia"/>
                      <w:color w:val="auto"/>
                      <w:lang w:val="en-US" w:eastAsia="zh-CN"/>
                    </w:rPr>
                  </w:pPr>
                  <w:r>
                    <w:rPr>
                      <w:rFonts w:hint="eastAsia"/>
                      <w:color w:val="auto"/>
                      <w:lang w:eastAsia="zh-CN"/>
                    </w:rPr>
                    <w:t>一年一次</w:t>
                  </w:r>
                </w:p>
              </w:tc>
              <w:tc>
                <w:tcPr>
                  <w:tcW w:w="415" w:type="pct"/>
                  <w:vAlign w:val="center"/>
                </w:tcPr>
                <w:p>
                  <w:pPr>
                    <w:pStyle w:val="2"/>
                    <w:bidi w:val="0"/>
                    <w:rPr>
                      <w:color w:val="auto"/>
                      <w:lang w:val="en-US" w:eastAsia="zh-CN"/>
                    </w:rPr>
                  </w:pPr>
                  <w:r>
                    <w:rPr>
                      <w:color w:val="auto"/>
                    </w:rPr>
                    <w:t>T</w:t>
                  </w:r>
                  <w:r>
                    <w:rPr>
                      <w:rFonts w:hint="eastAsia"/>
                      <w:color w:val="auto"/>
                      <w:lang w:val="en-US" w:eastAsia="zh-CN"/>
                    </w:rPr>
                    <w:t>,</w:t>
                  </w:r>
                  <w:r>
                    <w:rPr>
                      <w:color w:val="auto"/>
                    </w:rPr>
                    <w:t>I</w:t>
                  </w:r>
                </w:p>
              </w:tc>
              <w:tc>
                <w:tcPr>
                  <w:tcW w:w="1087" w:type="dxa"/>
                  <w:vAlign w:val="center"/>
                </w:tcPr>
                <w:p>
                  <w:pPr>
                    <w:pStyle w:val="2"/>
                    <w:bidi w:val="0"/>
                    <w:rPr>
                      <w:color w:val="auto"/>
                      <w:lang w:val="en-US" w:eastAsia="zh-CN"/>
                    </w:rPr>
                  </w:pPr>
                  <w:r>
                    <w:rPr>
                      <w:rFonts w:hint="eastAsia"/>
                      <w:color w:val="auto"/>
                      <w:lang w:val="en-US" w:eastAsia="zh-CN"/>
                    </w:rPr>
                    <w:t>委托有处理资质的单位处理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2"/>
                    <w:bidi w:val="0"/>
                    <w:rPr>
                      <w:rFonts w:hint="eastAsia"/>
                      <w:color w:val="auto"/>
                      <w:lang w:val="en-US" w:eastAsia="zh-CN"/>
                    </w:rPr>
                  </w:pPr>
                  <w:r>
                    <w:rPr>
                      <w:rFonts w:hint="eastAsia"/>
                      <w:color w:val="auto"/>
                    </w:rPr>
                    <w:t xml:space="preserve">废弃的含油抹布、劳 保用品  </w:t>
                  </w:r>
                  <w:r>
                    <w:rPr>
                      <w:rFonts w:hint="eastAsia"/>
                      <w:color w:val="auto"/>
                      <w:lang w:val="en-US" w:eastAsia="zh-CN"/>
                    </w:rPr>
                    <w:t xml:space="preserve"> </w:t>
                  </w:r>
                </w:p>
              </w:tc>
              <w:tc>
                <w:tcPr>
                  <w:tcW w:w="590" w:type="pct"/>
                  <w:shd w:val="clear" w:color="auto" w:fill="auto"/>
                  <w:vAlign w:val="center"/>
                </w:tcPr>
                <w:p>
                  <w:pPr>
                    <w:pStyle w:val="2"/>
                    <w:bidi w:val="0"/>
                    <w:rPr>
                      <w:rFonts w:hint="default"/>
                      <w:color w:val="auto"/>
                      <w:lang w:val="en-US" w:eastAsia="zh-CN"/>
                    </w:rPr>
                  </w:pPr>
                  <w:r>
                    <w:rPr>
                      <w:rFonts w:hint="default"/>
                      <w:color w:val="auto"/>
                      <w:lang w:val="en-US" w:eastAsia="zh-CN"/>
                    </w:rPr>
                    <w:t>HW49</w:t>
                  </w:r>
                  <w:r>
                    <w:rPr>
                      <w:rFonts w:hint="eastAsia"/>
                      <w:color w:val="auto"/>
                      <w:lang w:val="en-US" w:eastAsia="zh-CN"/>
                    </w:rPr>
                    <w:t>其他废物</w:t>
                  </w:r>
                </w:p>
              </w:tc>
              <w:tc>
                <w:tcPr>
                  <w:tcW w:w="834" w:type="pct"/>
                  <w:vAlign w:val="center"/>
                </w:tcPr>
                <w:p>
                  <w:pPr>
                    <w:pStyle w:val="2"/>
                    <w:bidi w:val="0"/>
                    <w:rPr>
                      <w:rFonts w:hint="eastAsia"/>
                      <w:color w:val="auto"/>
                      <w:lang w:val="en-US" w:eastAsia="zh-CN"/>
                    </w:rPr>
                  </w:pPr>
                  <w:r>
                    <w:rPr>
                      <w:rFonts w:hint="eastAsia"/>
                      <w:color w:val="auto"/>
                      <w:lang w:val="en-US" w:eastAsia="zh-CN"/>
                    </w:rPr>
                    <w:t xml:space="preserve">900-041-49 </w:t>
                  </w:r>
                </w:p>
              </w:tc>
              <w:tc>
                <w:tcPr>
                  <w:tcW w:w="549" w:type="pct"/>
                  <w:shd w:val="clear" w:color="auto" w:fill="auto"/>
                  <w:vAlign w:val="center"/>
                </w:tcPr>
                <w:p>
                  <w:pPr>
                    <w:pStyle w:val="2"/>
                    <w:bidi w:val="0"/>
                    <w:rPr>
                      <w:rFonts w:hint="default"/>
                      <w:color w:val="auto"/>
                      <w:lang w:val="en-US" w:eastAsia="zh-CN"/>
                    </w:rPr>
                  </w:pPr>
                  <w:r>
                    <w:rPr>
                      <w:rFonts w:hint="eastAsia"/>
                      <w:color w:val="auto"/>
                      <w:lang w:val="en-US" w:eastAsia="zh-CN"/>
                    </w:rPr>
                    <w:t>0.05</w:t>
                  </w:r>
                </w:p>
              </w:tc>
              <w:tc>
                <w:tcPr>
                  <w:tcW w:w="581" w:type="pct"/>
                  <w:vAlign w:val="center"/>
                </w:tcPr>
                <w:p>
                  <w:pPr>
                    <w:pStyle w:val="2"/>
                    <w:bidi w:val="0"/>
                    <w:rPr>
                      <w:color w:val="auto"/>
                    </w:rPr>
                  </w:pPr>
                  <w:r>
                    <w:rPr>
                      <w:rFonts w:hint="eastAsia"/>
                      <w:color w:val="auto"/>
                      <w:lang w:val="en-US" w:eastAsia="zh-CN"/>
                    </w:rPr>
                    <w:t>废弃的含油抹布、劳 保用品</w:t>
                  </w:r>
                </w:p>
              </w:tc>
              <w:tc>
                <w:tcPr>
                  <w:tcW w:w="337" w:type="pct"/>
                  <w:vAlign w:val="center"/>
                </w:tcPr>
                <w:p>
                  <w:pPr>
                    <w:pStyle w:val="2"/>
                    <w:bidi w:val="0"/>
                    <w:rPr>
                      <w:rFonts w:hint="eastAsia"/>
                      <w:color w:val="auto"/>
                      <w:lang w:eastAsia="zh-CN"/>
                    </w:rPr>
                  </w:pPr>
                  <w:r>
                    <w:rPr>
                      <w:rFonts w:hint="eastAsia"/>
                      <w:color w:val="auto"/>
                      <w:lang w:eastAsia="zh-CN"/>
                    </w:rPr>
                    <w:t>固态</w:t>
                  </w:r>
                </w:p>
              </w:tc>
              <w:tc>
                <w:tcPr>
                  <w:tcW w:w="314" w:type="pct"/>
                  <w:vAlign w:val="center"/>
                </w:tcPr>
                <w:p>
                  <w:pPr>
                    <w:pStyle w:val="2"/>
                    <w:bidi w:val="0"/>
                    <w:rPr>
                      <w:rFonts w:hint="default"/>
                      <w:color w:val="auto"/>
                      <w:lang w:val="en-US" w:eastAsia="zh-CN"/>
                    </w:rPr>
                  </w:pPr>
                  <w:r>
                    <w:rPr>
                      <w:rFonts w:hint="eastAsia"/>
                      <w:color w:val="auto"/>
                      <w:lang w:val="en-US" w:eastAsia="zh-CN"/>
                    </w:rPr>
                    <w:t>一月一次</w:t>
                  </w:r>
                </w:p>
              </w:tc>
              <w:tc>
                <w:tcPr>
                  <w:tcW w:w="415" w:type="pct"/>
                  <w:vAlign w:val="center"/>
                </w:tcPr>
                <w:p>
                  <w:pPr>
                    <w:pStyle w:val="2"/>
                    <w:bidi w:val="0"/>
                    <w:rPr>
                      <w:rFonts w:hint="eastAsia"/>
                      <w:color w:val="auto"/>
                      <w:lang w:val="en-US" w:eastAsia="zh-CN"/>
                    </w:rPr>
                  </w:pPr>
                  <w:r>
                    <w:rPr>
                      <w:rFonts w:hint="eastAsia"/>
                      <w:color w:val="auto"/>
                      <w:lang w:val="en-US" w:eastAsia="zh-CN"/>
                    </w:rPr>
                    <w:t>T, In</w:t>
                  </w:r>
                </w:p>
              </w:tc>
              <w:tc>
                <w:tcPr>
                  <w:tcW w:w="1087" w:type="dxa"/>
                  <w:vAlign w:val="center"/>
                </w:tcPr>
                <w:p>
                  <w:pPr>
                    <w:pStyle w:val="2"/>
                    <w:bidi w:val="0"/>
                    <w:rPr>
                      <w:rFonts w:hint="eastAsia"/>
                      <w:color w:val="auto"/>
                      <w:lang w:eastAsia="zh-CN"/>
                    </w:rPr>
                  </w:pPr>
                  <w:r>
                    <w:rPr>
                      <w:rFonts w:hint="eastAsia"/>
                      <w:color w:val="auto"/>
                      <w:lang w:val="en-US" w:eastAsia="zh-CN"/>
                    </w:rPr>
                    <w:t>委托有处理资质的单位处理</w:t>
                  </w:r>
                </w:p>
              </w:tc>
            </w:tr>
          </w:tbl>
          <w:p>
            <w:pPr>
              <w:pStyle w:val="5"/>
              <w:rPr>
                <w:color w:val="auto"/>
              </w:rPr>
            </w:pPr>
            <w:r>
              <w:rPr>
                <w:rFonts w:hint="eastAsia"/>
                <w:color w:val="auto"/>
                <w:lang w:val="en-US" w:eastAsia="zh-CN"/>
              </w:rPr>
              <w:t>5</w:t>
            </w:r>
            <w:r>
              <w:rPr>
                <w:color w:val="auto"/>
              </w:rPr>
              <w:t>.2生活垃圾</w:t>
            </w:r>
          </w:p>
          <w:p>
            <w:pPr>
              <w:pStyle w:val="71"/>
              <w:ind w:firstLine="480"/>
              <w:rPr>
                <w:color w:val="auto"/>
              </w:rPr>
            </w:pPr>
            <w:r>
              <w:rPr>
                <w:color w:val="auto"/>
              </w:rPr>
              <w:t>全矿区定员</w:t>
            </w:r>
            <w:r>
              <w:rPr>
                <w:rFonts w:hint="eastAsia"/>
                <w:color w:val="auto"/>
                <w:lang w:val="en-US" w:eastAsia="zh-CN"/>
              </w:rPr>
              <w:t>22</w:t>
            </w:r>
            <w:r>
              <w:rPr>
                <w:color w:val="auto"/>
              </w:rPr>
              <w:t>人，按每人每天产生生活垃圾</w:t>
            </w:r>
            <w:r>
              <w:rPr>
                <w:rFonts w:hint="eastAsia"/>
                <w:color w:val="auto"/>
              </w:rPr>
              <w:t>0.5</w:t>
            </w:r>
            <w:r>
              <w:rPr>
                <w:color w:val="auto"/>
              </w:rPr>
              <w:t>kg计算，项目年生产</w:t>
            </w:r>
            <w:r>
              <w:rPr>
                <w:rFonts w:hint="eastAsia"/>
                <w:color w:val="auto"/>
              </w:rPr>
              <w:t>2</w:t>
            </w:r>
            <w:r>
              <w:rPr>
                <w:rFonts w:hint="eastAsia"/>
                <w:color w:val="auto"/>
                <w:lang w:val="en-US" w:eastAsia="zh-CN"/>
              </w:rPr>
              <w:t>4</w:t>
            </w:r>
            <w:r>
              <w:rPr>
                <w:rFonts w:hint="eastAsia"/>
                <w:color w:val="auto"/>
              </w:rPr>
              <w:t>0</w:t>
            </w:r>
            <w:r>
              <w:rPr>
                <w:color w:val="auto"/>
              </w:rPr>
              <w:t>天，生活垃圾产生量约</w:t>
            </w:r>
            <w:r>
              <w:rPr>
                <w:rFonts w:hint="eastAsia"/>
                <w:color w:val="auto"/>
                <w:lang w:val="en-US" w:eastAsia="zh-CN"/>
              </w:rPr>
              <w:t>2.64</w:t>
            </w:r>
            <w:r>
              <w:rPr>
                <w:color w:val="auto"/>
              </w:rPr>
              <w:t>t/a，生活垃圾集中收集后</w:t>
            </w:r>
            <w:r>
              <w:rPr>
                <w:rFonts w:hint="eastAsia"/>
                <w:color w:val="auto"/>
                <w:lang w:eastAsia="zh-CN"/>
              </w:rPr>
              <w:t>定期清运至</w:t>
            </w:r>
            <w:r>
              <w:rPr>
                <w:rFonts w:hint="eastAsia"/>
                <w:color w:val="auto"/>
                <w:lang w:val="en-US" w:eastAsia="zh-CN"/>
              </w:rPr>
              <w:t>当地生活垃圾填埋场处理</w:t>
            </w:r>
            <w:r>
              <w:rPr>
                <w:color w:val="auto"/>
              </w:rPr>
              <w:t>。</w:t>
            </w:r>
          </w:p>
          <w:p>
            <w:pPr>
              <w:pStyle w:val="5"/>
              <w:suppressLineNumbers w:val="0"/>
              <w:bidi w:val="0"/>
              <w:spacing w:before="0" w:beforeAutospacing="0" w:after="0" w:afterAutospacing="0"/>
              <w:ind w:left="0" w:right="0"/>
              <w:rPr>
                <w:rFonts w:hint="default"/>
                <w:color w:val="auto"/>
              </w:rPr>
            </w:pPr>
            <w:r>
              <w:rPr>
                <w:rFonts w:hint="eastAsia"/>
                <w:color w:val="auto"/>
                <w:lang w:val="en-US" w:eastAsia="zh-CN"/>
              </w:rPr>
              <w:t>5.3</w:t>
            </w:r>
            <w:r>
              <w:rPr>
                <w:rFonts w:hint="eastAsia"/>
                <w:color w:val="auto"/>
              </w:rPr>
              <w:t>固体废物汇总</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本项目固体废物产生情况见表4-9。</w:t>
            </w:r>
          </w:p>
          <w:p>
            <w:pPr>
              <w:pStyle w:val="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表4-9</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本项目固体废物分析结果汇总表</w:t>
            </w:r>
          </w:p>
          <w:tbl>
            <w:tblPr>
              <w:tblStyle w:val="30"/>
              <w:tblW w:w="4993"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913"/>
              <w:gridCol w:w="1028"/>
              <w:gridCol w:w="642"/>
              <w:gridCol w:w="1273"/>
              <w:gridCol w:w="1113"/>
              <w:gridCol w:w="874"/>
              <w:gridCol w:w="155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名称</w:t>
                  </w:r>
                </w:p>
              </w:tc>
              <w:tc>
                <w:tcPr>
                  <w:tcW w:w="1028"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产生</w:t>
                  </w:r>
                </w:p>
                <w:p>
                  <w:pPr>
                    <w:pStyle w:val="2"/>
                    <w:rPr>
                      <w:rFonts w:hint="default"/>
                      <w:color w:val="auto"/>
                      <w:lang w:val="en-US" w:eastAsia="zh-CN"/>
                    </w:rPr>
                  </w:pPr>
                  <w:r>
                    <w:rPr>
                      <w:rFonts w:hint="eastAsia"/>
                      <w:color w:val="auto"/>
                      <w:lang w:val="en-US" w:eastAsia="zh-CN"/>
                    </w:rPr>
                    <w:t>工序</w:t>
                  </w:r>
                </w:p>
              </w:tc>
              <w:tc>
                <w:tcPr>
                  <w:tcW w:w="642"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形态</w:t>
                  </w:r>
                </w:p>
              </w:tc>
              <w:tc>
                <w:tcPr>
                  <w:tcW w:w="1273"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主要成分</w:t>
                  </w:r>
                </w:p>
              </w:tc>
              <w:tc>
                <w:tcPr>
                  <w:tcW w:w="1113"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废物代码</w:t>
                  </w:r>
                </w:p>
              </w:tc>
              <w:tc>
                <w:tcPr>
                  <w:tcW w:w="874"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产生量</w:t>
                  </w:r>
                </w:p>
              </w:tc>
              <w:tc>
                <w:tcPr>
                  <w:tcW w:w="1558"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处理处置方法</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生活垃圾</w:t>
                  </w:r>
                </w:p>
              </w:tc>
              <w:tc>
                <w:tcPr>
                  <w:tcW w:w="1028"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员工生活</w:t>
                  </w:r>
                </w:p>
              </w:tc>
              <w:tc>
                <w:tcPr>
                  <w:tcW w:w="642"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固态</w:t>
                  </w:r>
                </w:p>
              </w:tc>
              <w:tc>
                <w:tcPr>
                  <w:tcW w:w="127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废纸、塑料、杂物</w:t>
                  </w:r>
                </w:p>
              </w:tc>
              <w:tc>
                <w:tcPr>
                  <w:tcW w:w="1113" w:type="dxa"/>
                  <w:tcBorders>
                    <w:tl2br w:val="nil"/>
                    <w:tr2bl w:val="nil"/>
                  </w:tcBorders>
                  <w:shd w:val="clear" w:color="auto" w:fill="auto"/>
                  <w:vAlign w:val="center"/>
                </w:tcPr>
                <w:p>
                  <w:pPr>
                    <w:pStyle w:val="2"/>
                    <w:bidi w:val="0"/>
                    <w:rPr>
                      <w:rFonts w:hint="default"/>
                      <w:color w:val="auto"/>
                      <w:lang w:val="en-US" w:eastAsia="zh-CN"/>
                    </w:rPr>
                  </w:pPr>
                  <w:r>
                    <w:rPr>
                      <w:rFonts w:hint="default"/>
                      <w:color w:val="auto"/>
                      <w:lang w:val="en-US" w:eastAsia="zh-CN"/>
                    </w:rPr>
                    <w:t>/</w:t>
                  </w:r>
                </w:p>
              </w:tc>
              <w:tc>
                <w:tcPr>
                  <w:tcW w:w="874"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2.64</w:t>
                  </w:r>
                  <w:r>
                    <w:rPr>
                      <w:rFonts w:hint="default"/>
                      <w:color w:val="auto"/>
                      <w:lang w:val="en-US" w:eastAsia="zh-CN"/>
                    </w:rPr>
                    <w:t>t/a</w:t>
                  </w:r>
                </w:p>
              </w:tc>
              <w:tc>
                <w:tcPr>
                  <w:tcW w:w="1558"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集中收集，定期清运至当地生活垃圾填埋场处理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废石</w:t>
                  </w:r>
                </w:p>
              </w:tc>
              <w:tc>
                <w:tcPr>
                  <w:tcW w:w="1028"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采矿</w:t>
                  </w:r>
                </w:p>
              </w:tc>
              <w:tc>
                <w:tcPr>
                  <w:tcW w:w="642"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固态</w:t>
                  </w:r>
                </w:p>
              </w:tc>
              <w:tc>
                <w:tcPr>
                  <w:tcW w:w="127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eastAsia="zh-CN"/>
                    </w:rPr>
                    <w:t>开采</w:t>
                  </w:r>
                  <w:r>
                    <w:rPr>
                      <w:rFonts w:hint="eastAsia"/>
                      <w:color w:val="auto"/>
                      <w:lang w:val="en-US" w:eastAsia="zh-CN"/>
                    </w:rPr>
                    <w:t>废石</w:t>
                  </w:r>
                </w:p>
              </w:tc>
              <w:tc>
                <w:tcPr>
                  <w:tcW w:w="111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900-099-S59</w:t>
                  </w:r>
                </w:p>
              </w:tc>
              <w:tc>
                <w:tcPr>
                  <w:tcW w:w="874"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7.4</w:t>
                  </w:r>
                  <w:r>
                    <w:rPr>
                      <w:color w:val="auto"/>
                    </w:rPr>
                    <w:t>万</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/a</w:t>
                  </w:r>
                </w:p>
              </w:tc>
              <w:tc>
                <w:tcPr>
                  <w:tcW w:w="1558"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堆于废石场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泥沙</w:t>
                  </w:r>
                </w:p>
              </w:tc>
              <w:tc>
                <w:tcPr>
                  <w:tcW w:w="1028"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循环沉淀池</w:t>
                  </w:r>
                </w:p>
              </w:tc>
              <w:tc>
                <w:tcPr>
                  <w:tcW w:w="642"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固态</w:t>
                  </w:r>
                </w:p>
              </w:tc>
              <w:tc>
                <w:tcPr>
                  <w:tcW w:w="1273" w:type="dxa"/>
                  <w:tcBorders>
                    <w:tl2br w:val="nil"/>
                    <w:tr2bl w:val="nil"/>
                  </w:tcBorders>
                  <w:shd w:val="clear" w:color="auto" w:fill="auto"/>
                  <w:vAlign w:val="center"/>
                </w:tcPr>
                <w:p>
                  <w:pPr>
                    <w:pStyle w:val="2"/>
                    <w:bidi w:val="0"/>
                    <w:rPr>
                      <w:rFonts w:hint="eastAsia"/>
                      <w:color w:val="auto"/>
                    </w:rPr>
                  </w:pPr>
                  <w:r>
                    <w:rPr>
                      <w:rFonts w:hint="eastAsia"/>
                      <w:color w:val="auto"/>
                    </w:rPr>
                    <w:t>沉淀泥</w:t>
                  </w:r>
                  <w:r>
                    <w:rPr>
                      <w:rFonts w:hint="eastAsia"/>
                      <w:color w:val="auto"/>
                      <w:lang w:eastAsia="zh-CN"/>
                    </w:rPr>
                    <w:t>沙</w:t>
                  </w:r>
                </w:p>
              </w:tc>
              <w:tc>
                <w:tcPr>
                  <w:tcW w:w="111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900-099-S07</w:t>
                  </w:r>
                </w:p>
              </w:tc>
              <w:tc>
                <w:tcPr>
                  <w:tcW w:w="874"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0.04万m</w:t>
                  </w:r>
                  <w:r>
                    <w:rPr>
                      <w:rFonts w:hint="eastAsia"/>
                      <w:color w:val="auto"/>
                      <w:vertAlign w:val="superscript"/>
                      <w:lang w:val="en-US" w:eastAsia="zh-CN"/>
                    </w:rPr>
                    <w:t>3</w:t>
                  </w:r>
                  <w:r>
                    <w:rPr>
                      <w:rFonts w:hint="eastAsia"/>
                      <w:color w:val="auto"/>
                      <w:lang w:val="en-US" w:eastAsia="zh-CN"/>
                    </w:rPr>
                    <w:t>/a</w:t>
                  </w:r>
                </w:p>
              </w:tc>
              <w:tc>
                <w:tcPr>
                  <w:tcW w:w="1558" w:type="dxa"/>
                  <w:tcBorders>
                    <w:tl2br w:val="nil"/>
                    <w:tr2bl w:val="nil"/>
                  </w:tcBorders>
                  <w:shd w:val="clear" w:color="auto" w:fill="auto"/>
                  <w:vAlign w:val="center"/>
                </w:tcPr>
                <w:p>
                  <w:pPr>
                    <w:pStyle w:val="2"/>
                    <w:rPr>
                      <w:rFonts w:hint="eastAsia"/>
                      <w:color w:val="auto"/>
                      <w:lang w:val="en-US" w:eastAsia="zh-CN"/>
                    </w:rPr>
                  </w:pPr>
                  <w:r>
                    <w:rPr>
                      <w:rFonts w:hint="eastAsia"/>
                      <w:color w:val="auto"/>
                      <w:lang w:val="en-US" w:eastAsia="zh-CN"/>
                    </w:rPr>
                    <w:t>堆于废石场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报废机械设备零部件</w:t>
                  </w:r>
                </w:p>
              </w:tc>
              <w:tc>
                <w:tcPr>
                  <w:tcW w:w="1028"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rPr>
                    <w:t>锯切</w:t>
                  </w:r>
                </w:p>
              </w:tc>
              <w:tc>
                <w:tcPr>
                  <w:tcW w:w="642"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固态</w:t>
                  </w:r>
                </w:p>
              </w:tc>
              <w:tc>
                <w:tcPr>
                  <w:tcW w:w="1273" w:type="dxa"/>
                  <w:tcBorders>
                    <w:tl2br w:val="nil"/>
                    <w:tr2bl w:val="nil"/>
                  </w:tcBorders>
                  <w:shd w:val="clear" w:color="auto" w:fill="auto"/>
                  <w:vAlign w:val="center"/>
                </w:tcPr>
                <w:p>
                  <w:pPr>
                    <w:pStyle w:val="2"/>
                    <w:bidi w:val="0"/>
                    <w:rPr>
                      <w:rFonts w:hint="eastAsia"/>
                      <w:color w:val="auto"/>
                    </w:rPr>
                  </w:pPr>
                  <w:r>
                    <w:rPr>
                      <w:rFonts w:hint="eastAsia"/>
                      <w:lang w:val="en-US" w:eastAsia="zh-CN"/>
                    </w:rPr>
                    <w:t>锯片、锯线等易损件</w:t>
                  </w:r>
                </w:p>
              </w:tc>
              <w:tc>
                <w:tcPr>
                  <w:tcW w:w="111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900-012-S17</w:t>
                  </w:r>
                </w:p>
              </w:tc>
              <w:tc>
                <w:tcPr>
                  <w:tcW w:w="874"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1t/a</w:t>
                  </w:r>
                </w:p>
              </w:tc>
              <w:tc>
                <w:tcPr>
                  <w:tcW w:w="1558" w:type="dxa"/>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外售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含油抹布、劳动用品</w:t>
                  </w:r>
                </w:p>
              </w:tc>
              <w:tc>
                <w:tcPr>
                  <w:tcW w:w="1028"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机械维修</w:t>
                  </w:r>
                </w:p>
              </w:tc>
              <w:tc>
                <w:tcPr>
                  <w:tcW w:w="642"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固态</w:t>
                  </w:r>
                </w:p>
              </w:tc>
              <w:tc>
                <w:tcPr>
                  <w:tcW w:w="127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含油抹布、劳保用品</w:t>
                  </w:r>
                </w:p>
              </w:tc>
              <w:tc>
                <w:tcPr>
                  <w:tcW w:w="1113"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900-041-49</w:t>
                  </w:r>
                </w:p>
              </w:tc>
              <w:tc>
                <w:tcPr>
                  <w:tcW w:w="874" w:type="dxa"/>
                  <w:tcBorders>
                    <w:tl2br w:val="nil"/>
                    <w:tr2bl w:val="nil"/>
                  </w:tcBorders>
                  <w:shd w:val="clear" w:color="auto" w:fill="auto"/>
                  <w:vAlign w:val="center"/>
                </w:tcPr>
                <w:p>
                  <w:pPr>
                    <w:pStyle w:val="2"/>
                    <w:bidi w:val="0"/>
                    <w:rPr>
                      <w:rFonts w:hint="default"/>
                      <w:color w:val="auto"/>
                      <w:lang w:val="en-US" w:eastAsia="zh-CN"/>
                    </w:rPr>
                  </w:pPr>
                  <w:r>
                    <w:rPr>
                      <w:rFonts w:hint="eastAsia"/>
                      <w:color w:val="auto"/>
                      <w:lang w:val="en-US" w:eastAsia="zh-CN"/>
                    </w:rPr>
                    <w:t>0.05</w:t>
                  </w:r>
                  <w:r>
                    <w:rPr>
                      <w:rFonts w:hint="default"/>
                      <w:color w:val="auto"/>
                      <w:lang w:val="en-US" w:eastAsia="zh-CN"/>
                    </w:rPr>
                    <w:t>t/a</w:t>
                  </w:r>
                </w:p>
              </w:tc>
              <w:tc>
                <w:tcPr>
                  <w:tcW w:w="1558" w:type="dxa"/>
                  <w:vMerge w:val="restart"/>
                  <w:tcBorders>
                    <w:tl2br w:val="nil"/>
                    <w:tr2bl w:val="nil"/>
                  </w:tcBorders>
                  <w:shd w:val="clear" w:color="auto" w:fill="auto"/>
                  <w:vAlign w:val="center"/>
                </w:tcPr>
                <w:p>
                  <w:pPr>
                    <w:pStyle w:val="2"/>
                    <w:rPr>
                      <w:rFonts w:hint="default"/>
                      <w:color w:val="auto"/>
                      <w:lang w:val="en-US" w:eastAsia="zh-CN"/>
                    </w:rPr>
                  </w:pPr>
                  <w:r>
                    <w:rPr>
                      <w:rFonts w:hint="eastAsia"/>
                      <w:color w:val="auto"/>
                      <w:lang w:val="en-US" w:eastAsia="zh-CN"/>
                    </w:rPr>
                    <w:t>集中收集至危险废物贮存库，定期交由具有相关处理资质的单位处理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废润滑油</w:t>
                  </w:r>
                </w:p>
              </w:tc>
              <w:tc>
                <w:tcPr>
                  <w:tcW w:w="1028"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机械维修</w:t>
                  </w:r>
                </w:p>
              </w:tc>
              <w:tc>
                <w:tcPr>
                  <w:tcW w:w="642"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液态</w:t>
                  </w:r>
                </w:p>
              </w:tc>
              <w:tc>
                <w:tcPr>
                  <w:tcW w:w="127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烷烃、多环芳烃、烯烃、苯系物、酚类</w:t>
                  </w:r>
                </w:p>
              </w:tc>
              <w:tc>
                <w:tcPr>
                  <w:tcW w:w="1113" w:type="dxa"/>
                  <w:tcBorders>
                    <w:tl2br w:val="nil"/>
                    <w:tr2bl w:val="nil"/>
                  </w:tcBorders>
                  <w:shd w:val="clear" w:color="auto" w:fill="auto"/>
                  <w:vAlign w:val="center"/>
                </w:tcPr>
                <w:p>
                  <w:pPr>
                    <w:pStyle w:val="2"/>
                    <w:bidi w:val="0"/>
                    <w:ind w:firstLine="0" w:firstLineChars="0"/>
                    <w:rPr>
                      <w:rFonts w:hint="default"/>
                      <w:color w:val="auto"/>
                      <w:lang w:val="en-US" w:eastAsia="zh-CN"/>
                    </w:rPr>
                  </w:pPr>
                  <w:r>
                    <w:rPr>
                      <w:rFonts w:hint="default"/>
                      <w:color w:val="auto"/>
                      <w:lang w:val="en-US" w:eastAsia="zh-CN"/>
                    </w:rPr>
                    <w:t>900-</w:t>
                  </w:r>
                  <w:r>
                    <w:rPr>
                      <w:rFonts w:hint="eastAsia"/>
                      <w:color w:val="auto"/>
                      <w:lang w:val="en-US" w:eastAsia="zh-CN"/>
                    </w:rPr>
                    <w:t>217</w:t>
                  </w:r>
                  <w:r>
                    <w:rPr>
                      <w:rFonts w:hint="default"/>
                      <w:color w:val="auto"/>
                      <w:lang w:val="en-US" w:eastAsia="zh-CN"/>
                    </w:rPr>
                    <w:t>-08</w:t>
                  </w:r>
                </w:p>
              </w:tc>
              <w:tc>
                <w:tcPr>
                  <w:tcW w:w="874" w:type="dxa"/>
                  <w:tcBorders>
                    <w:tl2br w:val="nil"/>
                    <w:tr2bl w:val="nil"/>
                  </w:tcBorders>
                  <w:shd w:val="clear" w:color="auto" w:fill="auto"/>
                  <w:vAlign w:val="center"/>
                </w:tcPr>
                <w:p>
                  <w:pPr>
                    <w:pStyle w:val="2"/>
                    <w:bidi w:val="0"/>
                    <w:ind w:firstLine="0" w:firstLineChars="0"/>
                    <w:rPr>
                      <w:rFonts w:hint="default"/>
                      <w:color w:val="auto"/>
                      <w:lang w:val="en-US" w:eastAsia="zh-CN"/>
                    </w:rPr>
                  </w:pPr>
                  <w:r>
                    <w:rPr>
                      <w:rFonts w:hint="eastAsia"/>
                      <w:color w:val="auto"/>
                      <w:lang w:val="en-US" w:eastAsia="zh-CN"/>
                    </w:rPr>
                    <w:t>0.1</w:t>
                  </w:r>
                  <w:r>
                    <w:rPr>
                      <w:rFonts w:hint="default"/>
                      <w:color w:val="auto"/>
                      <w:lang w:val="en-US" w:eastAsia="zh-CN"/>
                    </w:rPr>
                    <w:t>t/a</w:t>
                  </w:r>
                </w:p>
              </w:tc>
              <w:tc>
                <w:tcPr>
                  <w:tcW w:w="1558" w:type="dxa"/>
                  <w:vMerge w:val="continue"/>
                  <w:tcBorders>
                    <w:tl2br w:val="nil"/>
                    <w:tr2bl w:val="nil"/>
                  </w:tcBorders>
                  <w:shd w:val="clear" w:color="auto" w:fill="auto"/>
                  <w:vAlign w:val="center"/>
                </w:tcPr>
                <w:p>
                  <w:pPr>
                    <w:pStyle w:val="2"/>
                    <w:rPr>
                      <w:rFonts w:hint="default"/>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1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废油桶</w:t>
                  </w:r>
                </w:p>
              </w:tc>
              <w:tc>
                <w:tcPr>
                  <w:tcW w:w="1028"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机械设备</w:t>
                  </w:r>
                </w:p>
              </w:tc>
              <w:tc>
                <w:tcPr>
                  <w:tcW w:w="642"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固态</w:t>
                  </w:r>
                </w:p>
              </w:tc>
              <w:tc>
                <w:tcPr>
                  <w:tcW w:w="1273" w:type="dxa"/>
                  <w:tcBorders>
                    <w:tl2br w:val="nil"/>
                    <w:tr2bl w:val="nil"/>
                  </w:tcBorders>
                  <w:shd w:val="clear" w:color="auto" w:fill="auto"/>
                  <w:vAlign w:val="center"/>
                </w:tcPr>
                <w:p>
                  <w:pPr>
                    <w:pStyle w:val="2"/>
                    <w:bidi w:val="0"/>
                    <w:rPr>
                      <w:rFonts w:hint="eastAsia"/>
                      <w:color w:val="auto"/>
                      <w:lang w:val="en-US" w:eastAsia="zh-CN"/>
                    </w:rPr>
                  </w:pPr>
                  <w:r>
                    <w:rPr>
                      <w:rFonts w:hint="eastAsia"/>
                      <w:color w:val="auto"/>
                      <w:lang w:val="en-US" w:eastAsia="zh-CN"/>
                    </w:rPr>
                    <w:t>烷烃、多环芳烃、烯烃、苯系物、酚类</w:t>
                  </w:r>
                </w:p>
              </w:tc>
              <w:tc>
                <w:tcPr>
                  <w:tcW w:w="1113" w:type="dxa"/>
                  <w:tcBorders>
                    <w:tl2br w:val="nil"/>
                    <w:tr2bl w:val="nil"/>
                  </w:tcBorders>
                  <w:shd w:val="clear" w:color="auto" w:fill="auto"/>
                  <w:vAlign w:val="center"/>
                </w:tcPr>
                <w:p>
                  <w:pPr>
                    <w:pStyle w:val="2"/>
                    <w:bidi w:val="0"/>
                    <w:ind w:firstLine="0" w:firstLineChars="0"/>
                    <w:rPr>
                      <w:rFonts w:hint="default"/>
                      <w:color w:val="auto"/>
                      <w:lang w:val="en-US" w:eastAsia="zh-CN"/>
                    </w:rPr>
                  </w:pPr>
                  <w:r>
                    <w:rPr>
                      <w:rFonts w:hint="eastAsia"/>
                      <w:color w:val="auto"/>
                      <w:lang w:val="en-US" w:eastAsia="zh-CN"/>
                    </w:rPr>
                    <w:t>900-249-08</w:t>
                  </w:r>
                </w:p>
              </w:tc>
              <w:tc>
                <w:tcPr>
                  <w:tcW w:w="874" w:type="dxa"/>
                  <w:tcBorders>
                    <w:tl2br w:val="nil"/>
                    <w:tr2bl w:val="nil"/>
                  </w:tcBorders>
                  <w:shd w:val="clear" w:color="auto" w:fill="auto"/>
                  <w:vAlign w:val="center"/>
                </w:tcPr>
                <w:p>
                  <w:pPr>
                    <w:pStyle w:val="2"/>
                    <w:bidi w:val="0"/>
                    <w:ind w:firstLine="0" w:firstLineChars="0"/>
                    <w:rPr>
                      <w:rFonts w:hint="default"/>
                      <w:color w:val="auto"/>
                      <w:lang w:val="en-US" w:eastAsia="zh-CN"/>
                    </w:rPr>
                  </w:pPr>
                  <w:r>
                    <w:rPr>
                      <w:rFonts w:hint="eastAsia"/>
                      <w:color w:val="auto"/>
                      <w:lang w:val="en-US" w:eastAsia="zh-CN"/>
                    </w:rPr>
                    <w:t>0.01</w:t>
                  </w:r>
                  <w:r>
                    <w:rPr>
                      <w:rFonts w:hint="default"/>
                      <w:color w:val="auto"/>
                      <w:lang w:val="en-US" w:eastAsia="zh-CN"/>
                    </w:rPr>
                    <w:t>t/a</w:t>
                  </w:r>
                </w:p>
              </w:tc>
              <w:tc>
                <w:tcPr>
                  <w:tcW w:w="1558" w:type="dxa"/>
                  <w:vMerge w:val="continue"/>
                  <w:tcBorders>
                    <w:tl2br w:val="nil"/>
                    <w:tr2bl w:val="nil"/>
                  </w:tcBorders>
                  <w:shd w:val="clear" w:color="auto" w:fill="auto"/>
                  <w:vAlign w:val="center"/>
                </w:tcPr>
                <w:p>
                  <w:pPr>
                    <w:pStyle w:val="2"/>
                    <w:rPr>
                      <w:rFonts w:hint="default"/>
                      <w:color w:val="auto"/>
                      <w:lang w:val="en-US" w:eastAsia="zh-CN"/>
                    </w:rPr>
                  </w:pPr>
                </w:p>
              </w:tc>
            </w:tr>
          </w:tbl>
          <w:p>
            <w:pPr>
              <w:pStyle w:val="5"/>
              <w:bidi w:val="0"/>
              <w:rPr>
                <w:rFonts w:hint="eastAsia"/>
                <w:color w:val="auto"/>
                <w:lang w:val="en-US" w:eastAsia="zh-CN"/>
              </w:rPr>
            </w:pPr>
            <w:r>
              <w:rPr>
                <w:rFonts w:hint="eastAsia"/>
                <w:color w:val="auto"/>
                <w:lang w:val="en-US" w:eastAsia="zh-CN"/>
              </w:rPr>
              <w:t>5.4固体废物环境影响分析</w:t>
            </w:r>
          </w:p>
          <w:p>
            <w:pPr>
              <w:bidi w:val="0"/>
              <w:rPr>
                <w:rFonts w:hint="eastAsia"/>
                <w:color w:val="auto"/>
                <w:lang w:val="en-US" w:eastAsia="zh-CN"/>
              </w:rPr>
            </w:pPr>
            <w:r>
              <w:rPr>
                <w:rFonts w:hint="eastAsia"/>
                <w:color w:val="auto"/>
                <w:lang w:val="en-US" w:eastAsia="zh-CN"/>
              </w:rPr>
              <w:t>本项目开采的花岗岩为非金属矿，运营期内产生的废石属第Ⅰ类一般工业固废，全部堆于废石场，后期复垦用于矿坑填埋。生活垃圾分类收集，</w:t>
            </w:r>
            <w:r>
              <w:rPr>
                <w:color w:val="auto"/>
              </w:rPr>
              <w:t>生活垃圾收集后一起运至</w:t>
            </w:r>
            <w:r>
              <w:rPr>
                <w:rFonts w:hint="eastAsia"/>
                <w:color w:val="auto"/>
                <w:lang w:eastAsia="zh-CN"/>
              </w:rPr>
              <w:t>当地</w:t>
            </w:r>
            <w:r>
              <w:rPr>
                <w:color w:val="auto"/>
              </w:rPr>
              <w:t>生活垃圾填埋场进行处置</w:t>
            </w:r>
            <w:r>
              <w:rPr>
                <w:rFonts w:hint="eastAsia"/>
                <w:color w:val="auto"/>
                <w:lang w:eastAsia="zh-CN"/>
              </w:rPr>
              <w:t>；</w:t>
            </w:r>
            <w:r>
              <w:rPr>
                <w:rFonts w:hint="eastAsia"/>
                <w:color w:val="auto"/>
                <w:lang w:val="en-US" w:eastAsia="zh-CN"/>
              </w:rPr>
              <w:t>危险废物暂存于危险废物贮存库，危险废物贮存库面积15m</w:t>
            </w:r>
            <w:r>
              <w:rPr>
                <w:rFonts w:hint="eastAsia"/>
                <w:color w:val="auto"/>
                <w:vertAlign w:val="superscript"/>
                <w:lang w:val="en-US" w:eastAsia="zh-CN"/>
              </w:rPr>
              <w:t>2</w:t>
            </w:r>
            <w:r>
              <w:rPr>
                <w:rFonts w:hint="eastAsia"/>
                <w:color w:val="auto"/>
                <w:lang w:val="en-US" w:eastAsia="zh-CN"/>
              </w:rPr>
              <w:t>，严格按照《危险废物贮存污染控制标准》（GB18597-2023），危险废物委托有资质单位运输处置，对环境影响较小。</w:t>
            </w:r>
          </w:p>
          <w:p>
            <w:pPr>
              <w:bidi w:val="0"/>
              <w:rPr>
                <w:rFonts w:hint="eastAsia"/>
                <w:color w:val="auto"/>
                <w:lang w:val="en-US" w:eastAsia="zh-CN"/>
              </w:rPr>
            </w:pPr>
            <w:r>
              <w:rPr>
                <w:rFonts w:hint="eastAsia"/>
                <w:color w:val="auto"/>
                <w:lang w:val="en-US" w:eastAsia="zh-CN"/>
              </w:rPr>
              <w:t>综上所述，项目固废均能得到妥善处置或综合利用，对环境影响很小。</w:t>
            </w:r>
          </w:p>
          <w:p>
            <w:pPr>
              <w:pStyle w:val="5"/>
              <w:numPr>
                <w:ilvl w:val="0"/>
                <w:numId w:val="0"/>
              </w:numPr>
              <w:suppressLineNumbers w:val="0"/>
              <w:bidi w:val="0"/>
              <w:spacing w:before="0" w:beforeAutospacing="0" w:after="0" w:afterAutospacing="0"/>
              <w:ind w:leftChars="0" w:right="0" w:rightChars="0"/>
              <w:rPr>
                <w:rFonts w:hint="eastAsia"/>
                <w:color w:val="auto"/>
              </w:rPr>
            </w:pPr>
            <w:r>
              <w:rPr>
                <w:rFonts w:hint="eastAsia"/>
                <w:color w:val="auto"/>
                <w:lang w:val="en-US" w:eastAsia="zh-CN"/>
              </w:rPr>
              <w:t>6、</w:t>
            </w:r>
            <w:r>
              <w:rPr>
                <w:rFonts w:hint="eastAsia"/>
                <w:color w:val="auto"/>
              </w:rPr>
              <w:t>地下水</w:t>
            </w:r>
            <w:r>
              <w:rPr>
                <w:rFonts w:hint="eastAsia"/>
                <w:color w:val="auto"/>
                <w:lang w:eastAsia="zh-CN"/>
              </w:rPr>
              <w:t>、土壤环境影响分析</w:t>
            </w:r>
          </w:p>
          <w:p>
            <w:pPr>
              <w:pStyle w:val="74"/>
              <w:bidi w:val="0"/>
              <w:rPr>
                <w:rFonts w:hint="eastAsia"/>
                <w:color w:val="auto"/>
                <w:lang w:val="en-US" w:eastAsia="zh-CN"/>
              </w:rPr>
            </w:pPr>
            <w:r>
              <w:rPr>
                <w:rFonts w:hint="eastAsia"/>
                <w:color w:val="auto"/>
                <w:lang w:val="en-US" w:eastAsia="zh-CN"/>
              </w:rPr>
              <w:t>本项目正常工况下无污染途径。</w:t>
            </w:r>
          </w:p>
          <w:p>
            <w:pPr>
              <w:pStyle w:val="74"/>
              <w:bidi w:val="0"/>
              <w:rPr>
                <w:rFonts w:hint="default"/>
                <w:color w:val="auto"/>
                <w:lang w:val="en-US"/>
              </w:rPr>
            </w:pPr>
            <w:r>
              <w:rPr>
                <w:rFonts w:hint="default"/>
                <w:color w:val="auto"/>
                <w:lang w:val="en-US" w:eastAsia="zh-CN"/>
              </w:rPr>
              <w:t>项目运营期地下水的污染源主要</w:t>
            </w:r>
            <w:r>
              <w:rPr>
                <w:rFonts w:hint="eastAsia"/>
                <w:color w:val="auto"/>
                <w:lang w:val="en-US" w:eastAsia="zh-CN"/>
              </w:rPr>
              <w:t>包括：①生活污水防渗化粪池、</w:t>
            </w:r>
            <w:r>
              <w:rPr>
                <w:rFonts w:hint="default"/>
                <w:color w:val="auto"/>
                <w:lang w:val="en-US" w:eastAsia="zh-CN"/>
              </w:rPr>
              <w:t>危险废物暂存过程，盛装容器发生破裂</w:t>
            </w:r>
            <w:r>
              <w:rPr>
                <w:rFonts w:hint="eastAsia"/>
                <w:color w:val="auto"/>
                <w:lang w:val="en-US" w:eastAsia="zh-CN"/>
              </w:rPr>
              <w:t>，防渗层发生破裂的极端情况下，危废</w:t>
            </w:r>
            <w:r>
              <w:rPr>
                <w:rFonts w:hint="default"/>
                <w:color w:val="auto"/>
                <w:lang w:val="en-US" w:eastAsia="zh-CN"/>
              </w:rPr>
              <w:t>下渗</w:t>
            </w:r>
            <w:r>
              <w:rPr>
                <w:rFonts w:hint="eastAsia"/>
                <w:color w:val="auto"/>
                <w:lang w:val="en-US" w:eastAsia="zh-CN"/>
              </w:rPr>
              <w:t>，造成</w:t>
            </w:r>
            <w:r>
              <w:rPr>
                <w:rFonts w:hint="default"/>
                <w:color w:val="auto"/>
                <w:lang w:val="en-US" w:eastAsia="zh-CN"/>
              </w:rPr>
              <w:t>污染地下水</w:t>
            </w:r>
            <w:r>
              <w:rPr>
                <w:rFonts w:hint="eastAsia"/>
                <w:color w:val="auto"/>
                <w:lang w:val="en-US" w:eastAsia="zh-CN"/>
              </w:rPr>
              <w:t>和土壤污染；②生活污水、循环水池溢出或防渗层破裂造成地下水、土壤环境的污染</w:t>
            </w:r>
            <w:r>
              <w:rPr>
                <w:rFonts w:hint="default"/>
                <w:color w:val="auto"/>
                <w:lang w:val="en-US" w:eastAsia="zh-CN"/>
              </w:rPr>
              <w:t>。</w:t>
            </w:r>
            <w:r>
              <w:rPr>
                <w:rFonts w:hint="eastAsia"/>
                <w:color w:val="auto"/>
                <w:lang w:val="en-US" w:eastAsia="zh-CN"/>
              </w:rPr>
              <w:t>③库房中的柴油桶泄漏，未及时发现造成地下水、土壤环境的污染。</w:t>
            </w:r>
          </w:p>
          <w:p>
            <w:pPr>
              <w:pStyle w:val="5"/>
              <w:widowControl/>
              <w:adjustRightInd w:val="0"/>
              <w:snapToGrid w:val="0"/>
              <w:spacing w:before="0" w:after="0" w:line="360" w:lineRule="auto"/>
              <w:rPr>
                <w:color w:val="auto"/>
              </w:rPr>
            </w:pPr>
            <w:r>
              <w:rPr>
                <w:rFonts w:hint="eastAsia"/>
                <w:color w:val="auto"/>
                <w:lang w:val="en-US" w:eastAsia="zh-CN"/>
              </w:rPr>
              <w:t>7、</w:t>
            </w:r>
            <w:r>
              <w:rPr>
                <w:color w:val="auto"/>
              </w:rPr>
              <w:t>环境风险</w:t>
            </w:r>
            <w:r>
              <w:rPr>
                <w:rFonts w:hint="eastAsia"/>
                <w:color w:val="auto"/>
                <w:lang w:eastAsia="zh-CN"/>
              </w:rPr>
              <w:t>分析</w:t>
            </w:r>
          </w:p>
          <w:p>
            <w:pPr>
              <w:adjustRightInd w:val="0"/>
              <w:snapToGrid w:val="0"/>
              <w:spacing w:line="360" w:lineRule="auto"/>
              <w:ind w:firstLine="480" w:firstLineChars="200"/>
              <w:rPr>
                <w:color w:val="auto"/>
              </w:rPr>
            </w:pPr>
            <w:r>
              <w:rPr>
                <w:color w:val="auto"/>
              </w:rPr>
              <w:t>本项目为</w:t>
            </w:r>
            <w:r>
              <w:rPr>
                <w:rFonts w:hint="eastAsia"/>
                <w:color w:val="auto"/>
                <w:lang w:eastAsia="zh-CN"/>
              </w:rPr>
              <w:t>花岗岩</w:t>
            </w:r>
            <w:r>
              <w:rPr>
                <w:rFonts w:hint="eastAsia"/>
                <w:color w:val="auto"/>
              </w:rPr>
              <w:t>开采</w:t>
            </w:r>
            <w:r>
              <w:rPr>
                <w:color w:val="auto"/>
              </w:rPr>
              <w:t>，生产过程中所使用的主要物料不涉及有毒有害危险物质，</w:t>
            </w:r>
            <w:r>
              <w:rPr>
                <w:rFonts w:hint="eastAsia"/>
                <w:color w:val="auto"/>
                <w:lang w:eastAsia="zh-CN"/>
              </w:rPr>
              <w:t>柴油、危险废物贮存库中的废润滑油可能发生泄漏、火灾</w:t>
            </w:r>
            <w:r>
              <w:rPr>
                <w:color w:val="auto"/>
              </w:rPr>
              <w:t>，若未及时发现并合理解决，则可能出现火灾事故</w:t>
            </w:r>
            <w:r>
              <w:rPr>
                <w:rFonts w:hint="eastAsia"/>
                <w:color w:val="auto"/>
                <w:lang w:eastAsia="zh-CN"/>
              </w:rPr>
              <w:t>，</w:t>
            </w:r>
            <w:r>
              <w:rPr>
                <w:rFonts w:hint="eastAsia"/>
                <w:color w:val="auto"/>
                <w:lang w:val="en-US" w:eastAsia="zh-CN"/>
              </w:rPr>
              <w:t>造成矿区环境污染</w:t>
            </w:r>
            <w:r>
              <w:rPr>
                <w:color w:val="auto"/>
              </w:rPr>
              <w:t>。</w:t>
            </w:r>
          </w:p>
          <w:p>
            <w:pPr>
              <w:spacing w:line="360" w:lineRule="auto"/>
              <w:ind w:firstLine="480" w:firstLineChars="200"/>
              <w:textAlignment w:val="center"/>
              <w:rPr>
                <w:color w:val="auto"/>
              </w:rPr>
            </w:pPr>
            <w:r>
              <w:rPr>
                <w:color w:val="auto"/>
              </w:rPr>
              <w:t>根据《建设项目环境风险评价技术导则》（HJ169-2018）附表B突发环境事件风险物质及临界量表，本项目原辅材料无附表B中物质，涉及的风险物质为</w:t>
            </w:r>
            <w:r>
              <w:rPr>
                <w:rFonts w:hint="eastAsia"/>
                <w:color w:val="auto"/>
                <w:lang w:eastAsia="zh-CN"/>
              </w:rPr>
              <w:t>柴油、废</w:t>
            </w:r>
            <w:r>
              <w:rPr>
                <w:rFonts w:hint="eastAsia"/>
                <w:color w:val="auto"/>
                <w:lang w:val="en-US" w:eastAsia="zh-CN"/>
              </w:rPr>
              <w:t>润滑油</w:t>
            </w:r>
            <w:r>
              <w:rPr>
                <w:rFonts w:hint="eastAsia"/>
                <w:color w:val="auto"/>
                <w:lang w:eastAsia="zh-CN"/>
              </w:rPr>
              <w:t>，</w:t>
            </w:r>
            <w:r>
              <w:rPr>
                <w:rFonts w:hint="eastAsia"/>
                <w:color w:val="auto"/>
              </w:rPr>
              <w:t>具体储存量见下表</w:t>
            </w:r>
            <w:r>
              <w:rPr>
                <w:rFonts w:hint="eastAsia"/>
                <w:color w:val="auto"/>
                <w:lang w:val="en-US" w:eastAsia="zh-CN"/>
              </w:rPr>
              <w:t>4-10</w:t>
            </w:r>
            <w:r>
              <w:rPr>
                <w:rFonts w:hint="eastAsia"/>
                <w:color w:val="auto"/>
              </w:rPr>
              <w:t>。</w:t>
            </w:r>
          </w:p>
          <w:p>
            <w:pPr>
              <w:pStyle w:val="7"/>
              <w:bidi w:val="0"/>
              <w:rPr>
                <w:color w:val="auto"/>
                <w:lang w:val="en-US" w:eastAsia="zh-CN"/>
              </w:rPr>
            </w:pPr>
            <w:r>
              <w:rPr>
                <w:rFonts w:hint="eastAsia"/>
                <w:color w:val="auto"/>
                <w:lang w:val="en-US" w:eastAsia="zh-CN"/>
              </w:rPr>
              <w:t>表4-10             本项目危险化学品储存量</w:t>
            </w:r>
          </w:p>
          <w:tbl>
            <w:tblPr>
              <w:tblStyle w:val="31"/>
              <w:tblW w:w="751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545"/>
              <w:gridCol w:w="1713"/>
              <w:gridCol w:w="1503"/>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物质名称</w:t>
                  </w: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CAS号</w:t>
                  </w:r>
                </w:p>
              </w:tc>
              <w:tc>
                <w:tcPr>
                  <w:tcW w:w="1713"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临界量（</w:t>
                  </w:r>
                  <w:r>
                    <w:rPr>
                      <w:color w:val="auto"/>
                      <w:sz w:val="21"/>
                      <w:szCs w:val="21"/>
                      <w:lang w:val="en-US" w:eastAsia="zh-CN"/>
                    </w:rPr>
                    <w:t>Qn</w:t>
                  </w:r>
                  <w:r>
                    <w:rPr>
                      <w:rFonts w:hint="eastAsia"/>
                      <w:color w:val="auto"/>
                      <w:sz w:val="21"/>
                      <w:szCs w:val="21"/>
                      <w:lang w:val="en-US" w:eastAsia="zh-CN"/>
                    </w:rPr>
                    <w:t>）</w:t>
                  </w:r>
                  <w:r>
                    <w:rPr>
                      <w:color w:val="auto"/>
                      <w:sz w:val="21"/>
                      <w:szCs w:val="21"/>
                      <w:lang w:val="en-US" w:eastAsia="zh-CN"/>
                    </w:rPr>
                    <w:t>t</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实际量（</w:t>
                  </w:r>
                  <w:r>
                    <w:rPr>
                      <w:color w:val="auto"/>
                      <w:sz w:val="21"/>
                      <w:szCs w:val="21"/>
                      <w:lang w:val="en-US" w:eastAsia="zh-CN"/>
                    </w:rPr>
                    <w:t>qn</w:t>
                  </w:r>
                  <w:r>
                    <w:rPr>
                      <w:rFonts w:hint="eastAsia"/>
                      <w:color w:val="auto"/>
                      <w:sz w:val="21"/>
                      <w:szCs w:val="21"/>
                      <w:lang w:val="en-US" w:eastAsia="zh-CN"/>
                    </w:rPr>
                    <w:t>）</w:t>
                  </w:r>
                  <w:r>
                    <w:rPr>
                      <w:color w:val="auto"/>
                      <w:sz w:val="21"/>
                      <w:szCs w:val="21"/>
                      <w:lang w:val="en-US" w:eastAsia="zh-CN"/>
                    </w:rPr>
                    <w:t>t</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废润滑油</w:t>
                  </w: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74869-22-0</w:t>
                  </w:r>
                </w:p>
              </w:tc>
              <w:tc>
                <w:tcPr>
                  <w:tcW w:w="171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2500</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0.1</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eastAsia"/>
                      <w:color w:val="auto"/>
                      <w:sz w:val="21"/>
                      <w:szCs w:val="21"/>
                      <w:lang w:val="en-US" w:eastAsia="zh-CN"/>
                    </w:rPr>
                  </w:pPr>
                  <w:r>
                    <w:rPr>
                      <w:rFonts w:hint="eastAsia"/>
                      <w:color w:val="auto"/>
                      <w:sz w:val="21"/>
                      <w:szCs w:val="21"/>
                      <w:lang w:val="en-US" w:eastAsia="zh-CN"/>
                    </w:rPr>
                    <w:t>柴油</w:t>
                  </w: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68334-30-5</w:t>
                  </w:r>
                </w:p>
              </w:tc>
              <w:tc>
                <w:tcPr>
                  <w:tcW w:w="171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2500</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5</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eastAsia"/>
                      <w:color w:val="auto"/>
                      <w:sz w:val="21"/>
                      <w:szCs w:val="21"/>
                      <w:lang w:val="en-US" w:eastAsia="zh-CN"/>
                    </w:rPr>
                  </w:pP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eastAsia"/>
                      <w:color w:val="auto"/>
                      <w:sz w:val="21"/>
                      <w:szCs w:val="21"/>
                      <w:lang w:val="en-US" w:eastAsia="zh-CN"/>
                    </w:rPr>
                  </w:pPr>
                </w:p>
              </w:tc>
              <w:tc>
                <w:tcPr>
                  <w:tcW w:w="1713" w:type="dxa"/>
                  <w:tcBorders>
                    <w:tl2br w:val="nil"/>
                    <w:tr2bl w:val="nil"/>
                  </w:tcBorders>
                  <w:noWrap w:val="0"/>
                  <w:vAlign w:val="center"/>
                </w:tcPr>
                <w:p>
                  <w:pPr>
                    <w:widowControl w:val="0"/>
                    <w:spacing w:line="240" w:lineRule="auto"/>
                    <w:ind w:left="0" w:leftChars="0" w:firstLine="0" w:firstLineChars="0"/>
                    <w:contextualSpacing/>
                    <w:jc w:val="center"/>
                    <w:textAlignment w:val="center"/>
                    <w:rPr>
                      <w:rFonts w:hint="eastAsia"/>
                      <w:color w:val="auto"/>
                      <w:sz w:val="21"/>
                      <w:szCs w:val="21"/>
                      <w:lang w:val="en-US" w:eastAsia="zh-CN"/>
                    </w:rPr>
                  </w:pPr>
                </w:p>
              </w:tc>
              <w:tc>
                <w:tcPr>
                  <w:tcW w:w="1503" w:type="dxa"/>
                  <w:tcBorders>
                    <w:tl2br w:val="nil"/>
                    <w:tr2bl w:val="nil"/>
                  </w:tcBorders>
                  <w:noWrap w:val="0"/>
                  <w:vAlign w:val="center"/>
                </w:tcPr>
                <w:p>
                  <w:pPr>
                    <w:widowControl w:val="0"/>
                    <w:spacing w:line="240" w:lineRule="auto"/>
                    <w:ind w:left="0" w:leftChars="0" w:firstLine="0" w:firstLineChars="0"/>
                    <w:contextualSpacing/>
                    <w:jc w:val="center"/>
                    <w:textAlignment w:val="center"/>
                    <w:rPr>
                      <w:rFonts w:hint="eastAsia"/>
                      <w:color w:val="auto"/>
                      <w:sz w:val="21"/>
                      <w:szCs w:val="21"/>
                      <w:lang w:val="en-US" w:eastAsia="zh-CN"/>
                    </w:rPr>
                  </w:pPr>
                  <w:r>
                    <w:rPr>
                      <w:rFonts w:hint="eastAsia"/>
                      <w:color w:val="auto"/>
                      <w:sz w:val="21"/>
                      <w:szCs w:val="21"/>
                      <w:lang w:val="en-US" w:eastAsia="zh-CN"/>
                    </w:rPr>
                    <w:t>合计</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0.00204</w:t>
                  </w:r>
                </w:p>
              </w:tc>
            </w:tr>
          </w:tbl>
          <w:p>
            <w:pPr>
              <w:spacing w:line="360" w:lineRule="auto"/>
              <w:ind w:firstLine="482"/>
              <w:rPr>
                <w:rFonts w:ascii="Times New Roman" w:hAnsi="Times New Roman" w:eastAsia="宋体" w:cs="Times New Roman"/>
                <w:b/>
                <w:bCs/>
                <w:color w:val="000000"/>
                <w:sz w:val="24"/>
              </w:rPr>
            </w:pPr>
            <w:r>
              <w:rPr>
                <w:rFonts w:ascii="Times New Roman" w:hAnsi="Times New Roman" w:eastAsia="宋体" w:cs="Times New Roman"/>
                <w:color w:val="000000"/>
                <w:sz w:val="24"/>
              </w:rPr>
              <w:t>根据《建设项目环境风险评价技术导则》（HJ169-2018）中环境风险评价工作等级划分基本原则。本项目Q＜1环境风险潜势为I级，结合下表可知，本项目的风险评价等级为简单分析</w:t>
            </w:r>
            <w:r>
              <w:rPr>
                <w:rFonts w:ascii="Times New Roman" w:hAnsi="Times New Roman" w:eastAsia="宋体" w:cs="Times New Roman"/>
                <w:b/>
                <w:bCs/>
                <w:color w:val="000000"/>
                <w:sz w:val="24"/>
              </w:rPr>
              <w:t>。</w:t>
            </w:r>
          </w:p>
          <w:p>
            <w:pPr>
              <w:pStyle w:val="6"/>
              <w:bidi w:val="0"/>
            </w:pPr>
            <w:r>
              <w:t>表</w:t>
            </w:r>
            <w:r>
              <w:rPr>
                <w:rFonts w:hint="eastAsia"/>
                <w:lang w:val="en-US" w:eastAsia="zh-CN"/>
              </w:rPr>
              <w:t>4-11</w:t>
            </w:r>
            <w:r>
              <w:rPr>
                <w:rFonts w:hint="eastAsia"/>
              </w:rPr>
              <w:t xml:space="preserve">                </w:t>
            </w:r>
            <w:r>
              <w:t>评价工作等级划分</w:t>
            </w:r>
          </w:p>
          <w:tbl>
            <w:tblPr>
              <w:tblStyle w:val="30"/>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32"/>
              <w:gridCol w:w="1776"/>
              <w:gridCol w:w="528"/>
              <w:gridCol w:w="527"/>
              <w:gridCol w:w="18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123" w:type="dxa"/>
                  <w:noWrap w:val="0"/>
                  <w:vAlign w:val="center"/>
                </w:tcPr>
                <w:p>
                  <w:pPr>
                    <w:pStyle w:val="2"/>
                    <w:bidi w:val="0"/>
                  </w:pPr>
                  <w:r>
                    <w:t>环境风险潜势</w:t>
                  </w:r>
                </w:p>
              </w:tc>
              <w:tc>
                <w:tcPr>
                  <w:tcW w:w="2030" w:type="dxa"/>
                  <w:noWrap w:val="0"/>
                  <w:vAlign w:val="center"/>
                </w:tcPr>
                <w:p>
                  <w:pPr>
                    <w:pStyle w:val="2"/>
                    <w:bidi w:val="0"/>
                  </w:pPr>
                  <w:r>
                    <w:rPr>
                      <w:rFonts w:hint="eastAsia"/>
                      <w:lang w:eastAsia="zh-CN"/>
                    </w:rPr>
                    <w:t xml:space="preserve">Ⅳ, </w:t>
                  </w:r>
                  <w:r>
                    <w:t>IV+</w:t>
                  </w:r>
                </w:p>
              </w:tc>
              <w:tc>
                <w:tcPr>
                  <w:tcW w:w="603" w:type="dxa"/>
                  <w:noWrap w:val="0"/>
                  <w:vAlign w:val="center"/>
                </w:tcPr>
                <w:p>
                  <w:pPr>
                    <w:pStyle w:val="2"/>
                    <w:bidi w:val="0"/>
                  </w:pPr>
                  <w:r>
                    <w:rPr>
                      <w:rFonts w:hint="eastAsia"/>
                      <w:lang w:eastAsia="zh-CN"/>
                    </w:rPr>
                    <w:t>Ⅲ</w:t>
                  </w:r>
                </w:p>
              </w:tc>
              <w:tc>
                <w:tcPr>
                  <w:tcW w:w="602" w:type="dxa"/>
                  <w:noWrap w:val="0"/>
                  <w:vAlign w:val="center"/>
                </w:tcPr>
                <w:p>
                  <w:pPr>
                    <w:pStyle w:val="2"/>
                    <w:bidi w:val="0"/>
                  </w:pPr>
                  <w:r>
                    <w:t>II</w:t>
                  </w:r>
                </w:p>
              </w:tc>
              <w:tc>
                <w:tcPr>
                  <w:tcW w:w="2109" w:type="dxa"/>
                  <w:noWrap w:val="0"/>
                  <w:vAlign w:val="center"/>
                </w:tcPr>
                <w:p>
                  <w:pPr>
                    <w:pStyle w:val="2"/>
                    <w:bidi w:val="0"/>
                  </w:pPr>
                  <w:r>
                    <w:t>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123" w:type="dxa"/>
                  <w:noWrap w:val="0"/>
                  <w:vAlign w:val="center"/>
                </w:tcPr>
                <w:p>
                  <w:pPr>
                    <w:pStyle w:val="2"/>
                    <w:bidi w:val="0"/>
                  </w:pPr>
                  <w:r>
                    <w:t>评价工作等级</w:t>
                  </w:r>
                </w:p>
              </w:tc>
              <w:tc>
                <w:tcPr>
                  <w:tcW w:w="2030" w:type="dxa"/>
                  <w:noWrap w:val="0"/>
                  <w:vAlign w:val="center"/>
                </w:tcPr>
                <w:p>
                  <w:pPr>
                    <w:pStyle w:val="2"/>
                    <w:bidi w:val="0"/>
                  </w:pPr>
                  <w:r>
                    <w:t>一</w:t>
                  </w:r>
                </w:p>
              </w:tc>
              <w:tc>
                <w:tcPr>
                  <w:tcW w:w="603" w:type="dxa"/>
                  <w:noWrap w:val="0"/>
                  <w:vAlign w:val="center"/>
                </w:tcPr>
                <w:p>
                  <w:pPr>
                    <w:pStyle w:val="2"/>
                    <w:bidi w:val="0"/>
                  </w:pPr>
                  <w:r>
                    <w:t>二</w:t>
                  </w:r>
                </w:p>
              </w:tc>
              <w:tc>
                <w:tcPr>
                  <w:tcW w:w="602" w:type="dxa"/>
                  <w:noWrap w:val="0"/>
                  <w:vAlign w:val="center"/>
                </w:tcPr>
                <w:p>
                  <w:pPr>
                    <w:pStyle w:val="2"/>
                    <w:bidi w:val="0"/>
                  </w:pPr>
                  <w:r>
                    <w:t>三</w:t>
                  </w:r>
                </w:p>
              </w:tc>
              <w:tc>
                <w:tcPr>
                  <w:tcW w:w="2109" w:type="dxa"/>
                  <w:noWrap w:val="0"/>
                  <w:vAlign w:val="center"/>
                </w:tcPr>
                <w:p>
                  <w:pPr>
                    <w:pStyle w:val="2"/>
                    <w:bidi w:val="0"/>
                  </w:pPr>
                  <w:r>
                    <w:t>简单分析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8467" w:type="dxa"/>
                  <w:gridSpan w:val="5"/>
                  <w:noWrap w:val="0"/>
                  <w:vAlign w:val="center"/>
                </w:tcPr>
                <w:p>
                  <w:pPr>
                    <w:pStyle w:val="2"/>
                    <w:bidi w:val="0"/>
                  </w:pPr>
                  <w:r>
                    <w:t>注：a是相对于详细评价工作内容而言，在描述危险物质、环境影响途径、环境危害后果，风险防范措施等方面给出定性的说明。</w:t>
                  </w:r>
                </w:p>
              </w:tc>
            </w:tr>
          </w:tbl>
          <w:p>
            <w:pPr>
              <w:pStyle w:val="5"/>
              <w:bidi w:val="0"/>
            </w:pPr>
            <w:r>
              <w:rPr>
                <w:rFonts w:hint="eastAsia"/>
                <w:lang w:val="en-US" w:eastAsia="zh-CN"/>
              </w:rPr>
              <w:t>7</w:t>
            </w:r>
            <w:r>
              <w:rPr>
                <w:rFonts w:hint="eastAsia"/>
              </w:rPr>
              <w:t>.</w:t>
            </w:r>
            <w:r>
              <w:t>2环境风险分布情况</w:t>
            </w:r>
          </w:p>
          <w:p>
            <w:pPr>
              <w:bidi w:val="0"/>
              <w:rPr>
                <w:lang w:val="en-US" w:eastAsia="zh-CN"/>
              </w:rPr>
            </w:pPr>
            <w:r>
              <w:rPr>
                <w:lang w:val="en-US" w:eastAsia="zh-CN"/>
              </w:rPr>
              <w:t>根据《建设项目环境风险评价技术导则》（HJ169-2018）对本项目运营过程中涉及的物质进行风险识别，本项目环境风险识别见下表。</w:t>
            </w:r>
          </w:p>
          <w:p>
            <w:pPr>
              <w:pStyle w:val="6"/>
              <w:bidi w:val="0"/>
            </w:pPr>
            <w:r>
              <w:t>表</w:t>
            </w:r>
            <w:r>
              <w:rPr>
                <w:rFonts w:hint="eastAsia"/>
                <w:lang w:val="en-US" w:eastAsia="zh-CN"/>
              </w:rPr>
              <w:t xml:space="preserve">4-12            </w:t>
            </w:r>
            <w:r>
              <w:rPr>
                <w:rFonts w:hint="eastAsia"/>
              </w:rPr>
              <w:t xml:space="preserve">       </w:t>
            </w:r>
            <w:r>
              <w:t>建设项目环境风险识别表</w:t>
            </w:r>
          </w:p>
          <w:tbl>
            <w:tblPr>
              <w:tblStyle w:val="30"/>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406"/>
              <w:gridCol w:w="1036"/>
              <w:gridCol w:w="1607"/>
              <w:gridCol w:w="1200"/>
              <w:gridCol w:w="17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8" w:type="pct"/>
                  <w:noWrap w:val="0"/>
                  <w:vAlign w:val="center"/>
                </w:tcPr>
                <w:p>
                  <w:pPr>
                    <w:pStyle w:val="2"/>
                    <w:bidi w:val="0"/>
                  </w:pPr>
                  <w:r>
                    <w:t>序号</w:t>
                  </w:r>
                </w:p>
              </w:tc>
              <w:tc>
                <w:tcPr>
                  <w:tcW w:w="949" w:type="pct"/>
                  <w:noWrap w:val="0"/>
                  <w:vAlign w:val="center"/>
                </w:tcPr>
                <w:p>
                  <w:pPr>
                    <w:pStyle w:val="2"/>
                    <w:bidi w:val="0"/>
                  </w:pPr>
                  <w:r>
                    <w:t>危险单元</w:t>
                  </w:r>
                </w:p>
              </w:tc>
              <w:tc>
                <w:tcPr>
                  <w:tcW w:w="699" w:type="pct"/>
                  <w:noWrap w:val="0"/>
                  <w:vAlign w:val="center"/>
                </w:tcPr>
                <w:p>
                  <w:pPr>
                    <w:pStyle w:val="2"/>
                    <w:bidi w:val="0"/>
                  </w:pPr>
                  <w:r>
                    <w:t>风险源</w:t>
                  </w:r>
                </w:p>
              </w:tc>
              <w:tc>
                <w:tcPr>
                  <w:tcW w:w="1084" w:type="pct"/>
                  <w:noWrap w:val="0"/>
                  <w:vAlign w:val="center"/>
                </w:tcPr>
                <w:p>
                  <w:pPr>
                    <w:pStyle w:val="2"/>
                    <w:bidi w:val="0"/>
                  </w:pPr>
                  <w:r>
                    <w:t>主要危险物质</w:t>
                  </w:r>
                </w:p>
              </w:tc>
              <w:tc>
                <w:tcPr>
                  <w:tcW w:w="810" w:type="pct"/>
                  <w:noWrap w:val="0"/>
                  <w:vAlign w:val="center"/>
                </w:tcPr>
                <w:p>
                  <w:pPr>
                    <w:pStyle w:val="2"/>
                    <w:bidi w:val="0"/>
                  </w:pPr>
                  <w:r>
                    <w:t>环境风险类型</w:t>
                  </w:r>
                </w:p>
              </w:tc>
              <w:tc>
                <w:tcPr>
                  <w:tcW w:w="1186" w:type="pct"/>
                  <w:noWrap w:val="0"/>
                  <w:vAlign w:val="center"/>
                </w:tcPr>
                <w:p>
                  <w:pPr>
                    <w:pStyle w:val="2"/>
                    <w:bidi w:val="0"/>
                  </w:pPr>
                  <w:r>
                    <w:t>环境影响途径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8" w:type="pct"/>
                  <w:noWrap w:val="0"/>
                  <w:vAlign w:val="center"/>
                </w:tcPr>
                <w:p>
                  <w:pPr>
                    <w:pStyle w:val="2"/>
                    <w:bidi w:val="0"/>
                    <w:rPr>
                      <w:rFonts w:hint="eastAsia"/>
                    </w:rPr>
                  </w:pPr>
                  <w:r>
                    <w:rPr>
                      <w:rFonts w:hint="eastAsia"/>
                    </w:rPr>
                    <w:t>1</w:t>
                  </w:r>
                </w:p>
              </w:tc>
              <w:tc>
                <w:tcPr>
                  <w:tcW w:w="949" w:type="pct"/>
                  <w:noWrap w:val="0"/>
                  <w:vAlign w:val="center"/>
                </w:tcPr>
                <w:p>
                  <w:pPr>
                    <w:pStyle w:val="2"/>
                    <w:bidi w:val="0"/>
                    <w:rPr>
                      <w:rFonts w:hint="default"/>
                      <w:lang w:val="en-US" w:eastAsia="zh-CN"/>
                    </w:rPr>
                  </w:pPr>
                  <w:r>
                    <w:rPr>
                      <w:rFonts w:hint="eastAsia"/>
                      <w:lang w:val="en-US" w:eastAsia="zh-CN"/>
                    </w:rPr>
                    <w:t>库房</w:t>
                  </w:r>
                </w:p>
              </w:tc>
              <w:tc>
                <w:tcPr>
                  <w:tcW w:w="699" w:type="pct"/>
                  <w:noWrap w:val="0"/>
                  <w:vAlign w:val="center"/>
                </w:tcPr>
                <w:p>
                  <w:pPr>
                    <w:pStyle w:val="2"/>
                    <w:bidi w:val="0"/>
                    <w:rPr>
                      <w:rFonts w:hint="default"/>
                      <w:lang w:val="en-US" w:eastAsia="zh-CN"/>
                    </w:rPr>
                  </w:pPr>
                  <w:r>
                    <w:rPr>
                      <w:rFonts w:hint="eastAsia"/>
                      <w:lang w:val="en-US" w:eastAsia="zh-CN"/>
                    </w:rPr>
                    <w:t>柴油</w:t>
                  </w:r>
                </w:p>
              </w:tc>
              <w:tc>
                <w:tcPr>
                  <w:tcW w:w="1084" w:type="pct"/>
                  <w:noWrap w:val="0"/>
                  <w:vAlign w:val="center"/>
                </w:tcPr>
                <w:p>
                  <w:pPr>
                    <w:pStyle w:val="2"/>
                    <w:bidi w:val="0"/>
                    <w:rPr>
                      <w:rFonts w:hint="default"/>
                      <w:lang w:val="en-US" w:eastAsia="zh-CN"/>
                    </w:rPr>
                  </w:pPr>
                  <w:r>
                    <w:rPr>
                      <w:rFonts w:hint="eastAsia"/>
                      <w:lang w:val="en-US" w:eastAsia="zh-CN"/>
                    </w:rPr>
                    <w:t>柴油</w:t>
                  </w:r>
                </w:p>
              </w:tc>
              <w:tc>
                <w:tcPr>
                  <w:tcW w:w="810" w:type="pct"/>
                  <w:shd w:val="clear" w:color="auto" w:fill="auto"/>
                  <w:noWrap w:val="0"/>
                  <w:vAlign w:val="center"/>
                </w:tcPr>
                <w:p>
                  <w:pPr>
                    <w:pStyle w:val="2"/>
                    <w:bidi w:val="0"/>
                    <w:rPr>
                      <w:rFonts w:hint="eastAsia"/>
                      <w:lang w:val="en-US" w:eastAsia="zh-CN"/>
                    </w:rPr>
                  </w:pPr>
                  <w:r>
                    <w:rPr>
                      <w:rFonts w:hint="eastAsia"/>
                      <w:lang w:val="en-US" w:eastAsia="zh-CN"/>
                    </w:rPr>
                    <w:t>泄漏</w:t>
                  </w:r>
                  <w:r>
                    <w:rPr>
                      <w:lang w:val="en-US" w:eastAsia="zh-CN"/>
                    </w:rPr>
                    <w:t>、火灾</w:t>
                  </w:r>
                </w:p>
              </w:tc>
              <w:tc>
                <w:tcPr>
                  <w:tcW w:w="1186" w:type="pct"/>
                  <w:shd w:val="clear" w:color="auto" w:fill="auto"/>
                  <w:noWrap w:val="0"/>
                  <w:vAlign w:val="center"/>
                </w:tcPr>
                <w:p>
                  <w:pPr>
                    <w:pStyle w:val="2"/>
                    <w:bidi w:val="0"/>
                    <w:rPr>
                      <w:lang w:val="en-US" w:eastAsia="zh-CN"/>
                    </w:rPr>
                  </w:pPr>
                  <w:r>
                    <w:rPr>
                      <w:lang w:val="en-US" w:eastAsia="zh-CN"/>
                    </w:rPr>
                    <w:t>大气、地表水、土壤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8" w:type="pct"/>
                  <w:noWrap w:val="0"/>
                  <w:vAlign w:val="center"/>
                </w:tcPr>
                <w:p>
                  <w:pPr>
                    <w:pStyle w:val="2"/>
                    <w:bidi w:val="0"/>
                    <w:rPr>
                      <w:rFonts w:hint="eastAsia"/>
                    </w:rPr>
                  </w:pPr>
                  <w:r>
                    <w:rPr>
                      <w:rFonts w:hint="eastAsia"/>
                      <w:lang w:val="en-US" w:eastAsia="zh-CN"/>
                    </w:rPr>
                    <w:t>2</w:t>
                  </w:r>
                </w:p>
              </w:tc>
              <w:tc>
                <w:tcPr>
                  <w:tcW w:w="949" w:type="pct"/>
                  <w:shd w:val="clear" w:color="auto" w:fill="auto"/>
                  <w:noWrap w:val="0"/>
                  <w:vAlign w:val="center"/>
                </w:tcPr>
                <w:p>
                  <w:pPr>
                    <w:pStyle w:val="2"/>
                    <w:bidi w:val="0"/>
                    <w:rPr>
                      <w:rFonts w:hint="default"/>
                      <w:lang w:val="en-US" w:eastAsia="zh-CN"/>
                    </w:rPr>
                  </w:pPr>
                  <w:r>
                    <w:rPr>
                      <w:rFonts w:hint="eastAsia"/>
                      <w:lang w:val="en-US" w:eastAsia="zh-CN"/>
                    </w:rPr>
                    <w:t>危险废物贮存库</w:t>
                  </w:r>
                </w:p>
              </w:tc>
              <w:tc>
                <w:tcPr>
                  <w:tcW w:w="699" w:type="pct"/>
                  <w:shd w:val="clear" w:color="auto" w:fill="auto"/>
                  <w:noWrap w:val="0"/>
                  <w:vAlign w:val="center"/>
                </w:tcPr>
                <w:p>
                  <w:pPr>
                    <w:pStyle w:val="2"/>
                    <w:bidi w:val="0"/>
                    <w:rPr>
                      <w:rFonts w:hint="default"/>
                      <w:lang w:val="en-US" w:eastAsia="zh-CN"/>
                    </w:rPr>
                  </w:pPr>
                  <w:r>
                    <w:rPr>
                      <w:rFonts w:hint="eastAsia"/>
                      <w:lang w:val="en-US" w:eastAsia="zh-CN"/>
                    </w:rPr>
                    <w:t>危险废物</w:t>
                  </w:r>
                </w:p>
              </w:tc>
              <w:tc>
                <w:tcPr>
                  <w:tcW w:w="1084" w:type="pct"/>
                  <w:shd w:val="clear" w:color="auto" w:fill="auto"/>
                  <w:noWrap w:val="0"/>
                  <w:vAlign w:val="center"/>
                </w:tcPr>
                <w:p>
                  <w:pPr>
                    <w:pStyle w:val="2"/>
                    <w:bidi w:val="0"/>
                    <w:rPr>
                      <w:rFonts w:hint="default"/>
                      <w:lang w:val="en-US" w:eastAsia="zh-CN"/>
                    </w:rPr>
                  </w:pPr>
                  <w:r>
                    <w:rPr>
                      <w:rFonts w:hint="eastAsia"/>
                      <w:lang w:val="en-US" w:eastAsia="zh-CN"/>
                    </w:rPr>
                    <w:t>废润滑油</w:t>
                  </w:r>
                </w:p>
              </w:tc>
              <w:tc>
                <w:tcPr>
                  <w:tcW w:w="810" w:type="pct"/>
                  <w:shd w:val="clear" w:color="auto" w:fill="auto"/>
                  <w:noWrap w:val="0"/>
                  <w:vAlign w:val="center"/>
                </w:tcPr>
                <w:p>
                  <w:pPr>
                    <w:pStyle w:val="2"/>
                    <w:bidi w:val="0"/>
                    <w:rPr>
                      <w:rFonts w:hint="eastAsia"/>
                      <w:lang w:val="en-US" w:eastAsia="zh-CN"/>
                    </w:rPr>
                  </w:pPr>
                  <w:r>
                    <w:rPr>
                      <w:rFonts w:hint="eastAsia"/>
                      <w:lang w:val="en-US" w:eastAsia="zh-CN"/>
                    </w:rPr>
                    <w:t>泄漏</w:t>
                  </w:r>
                  <w:r>
                    <w:rPr>
                      <w:lang w:val="en-US" w:eastAsia="zh-CN"/>
                    </w:rPr>
                    <w:t>、火灾</w:t>
                  </w:r>
                </w:p>
              </w:tc>
              <w:tc>
                <w:tcPr>
                  <w:tcW w:w="1186" w:type="pct"/>
                  <w:shd w:val="clear" w:color="auto" w:fill="auto"/>
                  <w:noWrap w:val="0"/>
                  <w:vAlign w:val="center"/>
                </w:tcPr>
                <w:p>
                  <w:pPr>
                    <w:pStyle w:val="2"/>
                    <w:bidi w:val="0"/>
                    <w:rPr>
                      <w:lang w:val="en-US" w:eastAsia="zh-CN"/>
                    </w:rPr>
                  </w:pPr>
                  <w:r>
                    <w:rPr>
                      <w:lang w:val="en-US" w:eastAsia="zh-CN"/>
                    </w:rPr>
                    <w:t>大气、地表水、土壤</w:t>
                  </w:r>
                </w:p>
              </w:tc>
            </w:tr>
          </w:tbl>
          <w:p>
            <w:pPr>
              <w:pStyle w:val="5"/>
              <w:suppressLineNumbers w:val="0"/>
              <w:bidi w:val="0"/>
              <w:spacing w:before="0" w:beforeAutospacing="0" w:after="0" w:afterAutospacing="0"/>
              <w:ind w:left="0" w:right="0"/>
              <w:rPr>
                <w:rFonts w:hint="eastAsia"/>
                <w:lang w:val="en-US" w:eastAsia="zh-CN"/>
              </w:rPr>
            </w:pPr>
            <w:r>
              <w:rPr>
                <w:rFonts w:hint="eastAsia"/>
                <w:lang w:val="en-US" w:eastAsia="zh-CN"/>
              </w:rPr>
              <w:t>7.3环境风险分析</w:t>
            </w:r>
          </w:p>
          <w:p>
            <w:pPr>
              <w:bidi w:val="0"/>
              <w:rPr>
                <w:rFonts w:hint="eastAsia"/>
                <w:color w:val="auto"/>
                <w:lang w:eastAsia="zh-CN"/>
              </w:rPr>
            </w:pPr>
            <w:r>
              <w:rPr>
                <w:rFonts w:hint="eastAsia"/>
                <w:color w:val="auto"/>
                <w:lang w:eastAsia="zh-CN"/>
              </w:rPr>
              <w:t>本项目主要环境风险为柴油、</w:t>
            </w:r>
            <w:r>
              <w:rPr>
                <w:rFonts w:hint="eastAsia"/>
                <w:color w:val="auto"/>
                <w:lang w:val="en-US" w:eastAsia="zh-CN"/>
              </w:rPr>
              <w:t>危险废物泄漏</w:t>
            </w:r>
            <w:r>
              <w:rPr>
                <w:rFonts w:hint="eastAsia"/>
                <w:color w:val="auto"/>
                <w:lang w:eastAsia="zh-CN"/>
              </w:rPr>
              <w:t>、火灾爆炸。</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）泄漏事故</w:t>
            </w:r>
          </w:p>
          <w:p>
            <w:pPr>
              <w:bidi w:val="0"/>
              <w:rPr>
                <w:rFonts w:hint="eastAsia"/>
                <w:color w:val="auto"/>
                <w:lang w:eastAsia="zh-CN"/>
              </w:rPr>
            </w:pPr>
            <w:r>
              <w:rPr>
                <w:rFonts w:hint="eastAsia"/>
                <w:color w:val="auto"/>
                <w:lang w:eastAsia="zh-CN"/>
              </w:rPr>
              <w:t>项目生产过程中涉及的危险品为油类物质。当柴油</w:t>
            </w:r>
            <w:r>
              <w:rPr>
                <w:rFonts w:hint="eastAsia"/>
                <w:color w:val="auto"/>
                <w:lang w:val="en-US" w:eastAsia="zh-CN"/>
              </w:rPr>
              <w:t>桶</w:t>
            </w:r>
            <w:r>
              <w:rPr>
                <w:rFonts w:hint="eastAsia"/>
                <w:color w:val="auto"/>
                <w:lang w:eastAsia="zh-CN"/>
              </w:rPr>
              <w:t>破损或废润滑油发生泄漏，进入外环境，首先会对土壤造成污染。对水环境的影响主要是柴油、</w:t>
            </w:r>
            <w:r>
              <w:rPr>
                <w:rFonts w:hint="eastAsia"/>
                <w:color w:val="auto"/>
                <w:lang w:val="en-US" w:eastAsia="zh-CN"/>
              </w:rPr>
              <w:t>危险废物</w:t>
            </w:r>
            <w:r>
              <w:rPr>
                <w:rFonts w:hint="eastAsia"/>
                <w:color w:val="auto"/>
                <w:lang w:eastAsia="zh-CN"/>
              </w:rPr>
              <w:t>泄漏通过地面或裸露的土壤渗入地下，进而污染地下水。受污染的土壤不仅会造成植物的死亡。综上所述，一旦发生油类物质</w:t>
            </w:r>
            <w:r>
              <w:rPr>
                <w:rFonts w:hint="eastAsia"/>
                <w:color w:val="auto"/>
                <w:lang w:val="en-US" w:eastAsia="zh-CN"/>
              </w:rPr>
              <w:t>泄漏，</w:t>
            </w:r>
            <w:r>
              <w:rPr>
                <w:rFonts w:hint="eastAsia"/>
                <w:color w:val="auto"/>
                <w:lang w:eastAsia="zh-CN"/>
              </w:rPr>
              <w:t>尽管污染源得到及时控制，但进入土壤以及含水层的自净降解将是一个长期的过程，尤其达到地下水的完全恢复需要几十年甚至上百年的时间。</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）火灾爆炸事故</w:t>
            </w:r>
          </w:p>
          <w:p>
            <w:pPr>
              <w:bidi w:val="0"/>
              <w:rPr>
                <w:color w:val="auto"/>
              </w:rPr>
            </w:pPr>
            <w:r>
              <w:rPr>
                <w:rFonts w:hint="eastAsia"/>
                <w:color w:val="auto"/>
                <w:lang w:eastAsia="zh-CN"/>
              </w:rPr>
              <w:t>由于柴油、</w:t>
            </w:r>
            <w:r>
              <w:rPr>
                <w:rFonts w:hint="eastAsia"/>
                <w:color w:val="auto"/>
                <w:lang w:val="en-US" w:eastAsia="zh-CN"/>
              </w:rPr>
              <w:t>危险废物</w:t>
            </w:r>
            <w:r>
              <w:rPr>
                <w:rFonts w:hint="eastAsia"/>
                <w:color w:val="auto"/>
                <w:lang w:eastAsia="zh-CN"/>
              </w:rPr>
              <w:t>具有易燃易爆的危险特性，决定了本项目的柴油</w:t>
            </w:r>
            <w:r>
              <w:rPr>
                <w:rFonts w:hint="eastAsia"/>
                <w:color w:val="auto"/>
                <w:lang w:val="en-US" w:eastAsia="zh-CN"/>
              </w:rPr>
              <w:t>和</w:t>
            </w:r>
            <w:r>
              <w:rPr>
                <w:rFonts w:hint="eastAsia"/>
                <w:color w:val="auto"/>
                <w:lang w:eastAsia="zh-CN"/>
              </w:rPr>
              <w:t>危险废物贮存库</w:t>
            </w:r>
            <w:r>
              <w:rPr>
                <w:rFonts w:hint="eastAsia"/>
                <w:color w:val="auto"/>
                <w:lang w:val="en-US" w:eastAsia="zh-CN"/>
              </w:rPr>
              <w:t>废润滑油</w:t>
            </w:r>
            <w:r>
              <w:rPr>
                <w:rFonts w:hint="eastAsia"/>
                <w:color w:val="auto"/>
                <w:lang w:eastAsia="zh-CN"/>
              </w:rPr>
              <w:t>是火灾爆炸事故的危险源。如果在其储存场所有火源存在，就可能造成火灾爆炸事故的发生，因此在生产管理中应重视火源的诱发因素。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25"/>
              <w:spacing w:before="0" w:beforeAutospacing="0" w:after="0" w:afterAutospacing="0"/>
              <w:ind w:firstLine="0" w:firstLineChars="0"/>
              <w:jc w:val="center"/>
              <w:rPr>
                <w:rFonts w:cs="宋体"/>
                <w:bCs/>
                <w:color w:val="auto"/>
                <w:kern w:val="2"/>
              </w:rPr>
            </w:pPr>
            <w:r>
              <w:rPr>
                <w:rFonts w:hint="eastAsia" w:cs="宋体"/>
                <w:bCs/>
                <w:color w:val="auto"/>
                <w:kern w:val="2"/>
              </w:rPr>
              <w:t>选址选线环境合理性分析</w:t>
            </w:r>
          </w:p>
        </w:tc>
        <w:tc>
          <w:tcPr>
            <w:tcW w:w="7626" w:type="dxa"/>
          </w:tcPr>
          <w:p>
            <w:pPr>
              <w:pStyle w:val="5"/>
              <w:rPr>
                <w:color w:val="auto"/>
              </w:rPr>
            </w:pPr>
            <w:r>
              <w:rPr>
                <w:rFonts w:hint="eastAsia"/>
                <w:color w:val="auto"/>
              </w:rPr>
              <w:t>1、</w:t>
            </w:r>
            <w:r>
              <w:rPr>
                <w:color w:val="auto"/>
              </w:rPr>
              <w:t>采矿场选址</w:t>
            </w:r>
            <w:r>
              <w:rPr>
                <w:rFonts w:hint="eastAsia"/>
                <w:color w:val="auto"/>
              </w:rPr>
              <w:t>符合性</w:t>
            </w:r>
            <w:r>
              <w:rPr>
                <w:color w:val="auto"/>
              </w:rPr>
              <w:t>分析</w:t>
            </w:r>
          </w:p>
          <w:p>
            <w:pPr>
              <w:ind w:firstLine="480"/>
              <w:rPr>
                <w:color w:val="auto"/>
              </w:rPr>
            </w:pPr>
            <w:r>
              <w:rPr>
                <w:color w:val="auto"/>
              </w:rPr>
              <w:t>矿区不在《新疆维吾尔自治区环境保护条例》和《新疆生态环境功能区划》中划定的冰川带、终年积雪带、亚高山草甸带及森林带内，不涉及水源涵养区、地表水及地下水水源保护区、水土流失控制区等禁止</w:t>
            </w:r>
            <w:r>
              <w:rPr>
                <w:rFonts w:hint="eastAsia"/>
                <w:color w:val="auto"/>
              </w:rPr>
              <w:t>矿区</w:t>
            </w:r>
            <w:r>
              <w:rPr>
                <w:color w:val="auto"/>
              </w:rPr>
              <w:t>开采的限制区内，也不涉及国家及自治区级的风景名胜区、世界文化和自然遗产地、森林公园、地质公园、重要湿地、天然林、</w:t>
            </w:r>
            <w:r>
              <w:rPr>
                <w:rFonts w:hint="eastAsia"/>
                <w:color w:val="auto"/>
                <w:lang w:eastAsia="zh-CN"/>
              </w:rPr>
              <w:t>珍稀</w:t>
            </w:r>
            <w:r>
              <w:rPr>
                <w:color w:val="auto"/>
              </w:rPr>
              <w:t>濒危野生动植物集中分布区等。</w:t>
            </w:r>
            <w:r>
              <w:rPr>
                <w:rFonts w:hint="eastAsia"/>
                <w:color w:val="auto"/>
                <w:lang w:eastAsia="zh-CN"/>
              </w:rPr>
              <w:t>本项目</w:t>
            </w:r>
            <w:r>
              <w:rPr>
                <w:rFonts w:hint="eastAsia"/>
                <w:color w:val="auto"/>
                <w:lang w:val="en-US" w:eastAsia="zh-CN"/>
              </w:rPr>
              <w:t>已取得采矿权，</w:t>
            </w:r>
            <w:r>
              <w:rPr>
                <w:rFonts w:hint="eastAsia"/>
                <w:color w:val="auto"/>
              </w:rPr>
              <w:t>矿区</w:t>
            </w:r>
            <w:r>
              <w:rPr>
                <w:color w:val="auto"/>
              </w:rPr>
              <w:t>采矿场</w:t>
            </w:r>
            <w:r>
              <w:rPr>
                <w:rFonts w:hint="eastAsia"/>
                <w:color w:val="auto"/>
                <w:lang w:val="en-US" w:eastAsia="zh-CN"/>
              </w:rPr>
              <w:t>周边</w:t>
            </w:r>
            <w:r>
              <w:rPr>
                <w:color w:val="auto"/>
              </w:rPr>
              <w:t>对外交通、供水、供电等设施</w:t>
            </w:r>
            <w:r>
              <w:rPr>
                <w:rFonts w:hint="eastAsia"/>
                <w:color w:val="auto"/>
                <w:lang w:eastAsia="zh-CN"/>
              </w:rPr>
              <w:t>较为</w:t>
            </w:r>
            <w:r>
              <w:rPr>
                <w:color w:val="auto"/>
              </w:rPr>
              <w:t>完善，从以上综合分析认为</w:t>
            </w:r>
            <w:r>
              <w:rPr>
                <w:rFonts w:hint="eastAsia"/>
                <w:color w:val="auto"/>
              </w:rPr>
              <w:t>矿区</w:t>
            </w:r>
            <w:r>
              <w:rPr>
                <w:color w:val="auto"/>
              </w:rPr>
              <w:t>采矿场选址基本合理。</w:t>
            </w:r>
          </w:p>
          <w:p>
            <w:pPr>
              <w:pStyle w:val="5"/>
              <w:rPr>
                <w:color w:val="auto"/>
              </w:rPr>
            </w:pPr>
            <w:r>
              <w:rPr>
                <w:rFonts w:hint="eastAsia"/>
                <w:color w:val="auto"/>
              </w:rPr>
              <w:t>2、</w:t>
            </w:r>
            <w:r>
              <w:rPr>
                <w:color w:val="auto"/>
              </w:rPr>
              <w:t>废石场选址</w:t>
            </w:r>
            <w:r>
              <w:rPr>
                <w:rFonts w:hint="eastAsia"/>
                <w:color w:val="auto"/>
              </w:rPr>
              <w:t>合理性</w:t>
            </w:r>
            <w:r>
              <w:rPr>
                <w:color w:val="auto"/>
              </w:rPr>
              <w:t>分析</w:t>
            </w:r>
          </w:p>
          <w:p>
            <w:pPr>
              <w:ind w:firstLine="480"/>
              <w:rPr>
                <w:color w:val="auto"/>
              </w:rPr>
            </w:pPr>
            <w:r>
              <w:rPr>
                <w:color w:val="auto"/>
              </w:rPr>
              <w:t>矿</w:t>
            </w:r>
            <w:r>
              <w:rPr>
                <w:rFonts w:hint="eastAsia"/>
                <w:color w:val="auto"/>
              </w:rPr>
              <w:t>区</w:t>
            </w:r>
            <w:r>
              <w:rPr>
                <w:color w:val="auto"/>
              </w:rPr>
              <w:t>产生的废石属Ⅰ类一般工业固体废物，根据</w:t>
            </w:r>
            <w:r>
              <w:rPr>
                <w:rFonts w:hint="eastAsia"/>
                <w:color w:val="auto"/>
              </w:rPr>
              <w:t>《</w:t>
            </w:r>
            <w:r>
              <w:rPr>
                <w:color w:val="auto"/>
              </w:rPr>
              <w:t>一般工业固体废物贮存</w:t>
            </w:r>
            <w:r>
              <w:rPr>
                <w:rFonts w:hint="eastAsia"/>
                <w:color w:val="auto"/>
              </w:rPr>
              <w:t>和填埋</w:t>
            </w:r>
            <w:r>
              <w:rPr>
                <w:color w:val="auto"/>
              </w:rPr>
              <w:t>污染控制标准</w:t>
            </w:r>
            <w:r>
              <w:rPr>
                <w:rFonts w:hint="eastAsia"/>
                <w:color w:val="auto"/>
              </w:rPr>
              <w:t>》</w:t>
            </w:r>
            <w:r>
              <w:rPr>
                <w:color w:val="auto"/>
              </w:rPr>
              <w:t>（GB18599-</w:t>
            </w:r>
            <w:r>
              <w:rPr>
                <w:rFonts w:hint="eastAsia"/>
                <w:color w:val="auto"/>
              </w:rPr>
              <w:t>2020</w:t>
            </w:r>
            <w:r>
              <w:rPr>
                <w:color w:val="auto"/>
              </w:rPr>
              <w:t>），评价对废石场选址可行性进行分析，选址分析结果见表</w:t>
            </w:r>
            <w:r>
              <w:rPr>
                <w:rFonts w:hint="eastAsia"/>
                <w:color w:val="auto"/>
                <w:lang w:val="en-US" w:eastAsia="zh-CN"/>
              </w:rPr>
              <w:t>4-13</w:t>
            </w:r>
            <w:r>
              <w:rPr>
                <w:color w:val="auto"/>
              </w:rPr>
              <w:t>。</w:t>
            </w:r>
          </w:p>
          <w:p>
            <w:pPr>
              <w:pStyle w:val="7"/>
              <w:bidi w:val="0"/>
              <w:rPr>
                <w:color w:val="auto"/>
                <w:lang w:val="en-GB"/>
              </w:rPr>
            </w:pPr>
            <w:r>
              <w:rPr>
                <w:rFonts w:hint="eastAsia"/>
                <w:color w:val="auto"/>
              </w:rPr>
              <w:t>表</w:t>
            </w:r>
            <w:r>
              <w:rPr>
                <w:rFonts w:hint="eastAsia"/>
                <w:color w:val="auto"/>
                <w:lang w:val="en-US" w:eastAsia="zh-CN"/>
              </w:rPr>
              <w:t>4-13</w:t>
            </w:r>
            <w:r>
              <w:rPr>
                <w:rFonts w:hint="eastAsia"/>
                <w:color w:val="auto"/>
              </w:rPr>
              <w:t xml:space="preserve">                      废石场选址分析</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944"/>
              <w:gridCol w:w="3082"/>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7" w:type="pct"/>
                  <w:tcBorders>
                    <w:tl2br w:val="nil"/>
                    <w:tr2bl w:val="nil"/>
                  </w:tcBorders>
                  <w:vAlign w:val="center"/>
                </w:tcPr>
                <w:p>
                  <w:pPr>
                    <w:pStyle w:val="2"/>
                    <w:bidi w:val="0"/>
                    <w:rPr>
                      <w:color w:val="auto"/>
                      <w:lang w:val="zh-CN"/>
                    </w:rPr>
                  </w:pPr>
                  <w:r>
                    <w:rPr>
                      <w:rFonts w:hint="eastAsia"/>
                      <w:color w:val="auto"/>
                      <w:lang w:val="zh-CN"/>
                    </w:rPr>
                    <w:t>标准号</w:t>
                  </w:r>
                </w:p>
              </w:tc>
              <w:tc>
                <w:tcPr>
                  <w:tcW w:w="1987" w:type="pct"/>
                  <w:tcBorders>
                    <w:tl2br w:val="nil"/>
                    <w:tr2bl w:val="nil"/>
                  </w:tcBorders>
                  <w:vAlign w:val="center"/>
                </w:tcPr>
                <w:p>
                  <w:pPr>
                    <w:pStyle w:val="2"/>
                    <w:bidi w:val="0"/>
                    <w:rPr>
                      <w:color w:val="auto"/>
                      <w:lang w:val="zh-CN"/>
                    </w:rPr>
                  </w:pPr>
                  <w:r>
                    <w:rPr>
                      <w:rFonts w:hint="eastAsia"/>
                      <w:color w:val="auto"/>
                      <w:lang w:val="zh-CN"/>
                    </w:rPr>
                    <w:t>选址原则与要求</w:t>
                  </w:r>
                </w:p>
              </w:tc>
              <w:tc>
                <w:tcPr>
                  <w:tcW w:w="2080" w:type="pct"/>
                  <w:tcBorders>
                    <w:tl2br w:val="nil"/>
                    <w:tr2bl w:val="nil"/>
                  </w:tcBorders>
                  <w:vAlign w:val="center"/>
                </w:tcPr>
                <w:p>
                  <w:pPr>
                    <w:pStyle w:val="2"/>
                    <w:bidi w:val="0"/>
                    <w:rPr>
                      <w:color w:val="auto"/>
                      <w:lang w:val="zh-CN"/>
                    </w:rPr>
                  </w:pPr>
                  <w:r>
                    <w:rPr>
                      <w:rFonts w:hint="eastAsia"/>
                      <w:color w:val="auto"/>
                      <w:lang w:val="zh-CN"/>
                    </w:rPr>
                    <w:t>选址分析</w:t>
                  </w:r>
                </w:p>
              </w:tc>
              <w:tc>
                <w:tcPr>
                  <w:tcW w:w="464" w:type="pct"/>
                  <w:tcBorders>
                    <w:tl2br w:val="nil"/>
                    <w:tr2bl w:val="nil"/>
                  </w:tcBorders>
                  <w:vAlign w:val="center"/>
                </w:tcPr>
                <w:p>
                  <w:pPr>
                    <w:pStyle w:val="2"/>
                    <w:bidi w:val="0"/>
                    <w:rPr>
                      <w:color w:val="auto"/>
                      <w:lang w:val="zh-CN"/>
                    </w:rPr>
                  </w:pPr>
                  <w:r>
                    <w:rPr>
                      <w:rFonts w:hint="eastAsia"/>
                      <w:color w:val="auto"/>
                      <w:lang w:val="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7" w:type="pct"/>
                  <w:vMerge w:val="restart"/>
                  <w:tcBorders>
                    <w:tl2br w:val="nil"/>
                    <w:tr2bl w:val="nil"/>
                  </w:tcBorders>
                  <w:vAlign w:val="center"/>
                </w:tcPr>
                <w:p>
                  <w:pPr>
                    <w:pStyle w:val="2"/>
                    <w:bidi w:val="0"/>
                    <w:rPr>
                      <w:color w:val="auto"/>
                      <w:lang w:val="zh-CN"/>
                    </w:rPr>
                  </w:pPr>
                  <w:r>
                    <w:rPr>
                      <w:rFonts w:hint="eastAsia"/>
                      <w:color w:val="auto"/>
                      <w:lang w:val="zh-CN"/>
                    </w:rPr>
                    <w:t>一般工业固体废物贮存和填埋污染控制标准</w:t>
                  </w:r>
                </w:p>
                <w:p>
                  <w:pPr>
                    <w:pStyle w:val="2"/>
                    <w:bidi w:val="0"/>
                    <w:rPr>
                      <w:color w:val="auto"/>
                      <w:lang w:val="zh-CN"/>
                    </w:rPr>
                  </w:pPr>
                  <w:r>
                    <w:rPr>
                      <w:rFonts w:hint="eastAsia"/>
                      <w:color w:val="auto"/>
                      <w:lang w:val="zh-CN"/>
                    </w:rPr>
                    <w:t>（</w:t>
                  </w:r>
                  <w:r>
                    <w:rPr>
                      <w:color w:val="auto"/>
                      <w:lang w:val="zh-CN"/>
                    </w:rPr>
                    <w:t>GB18599-20</w:t>
                  </w:r>
                  <w:r>
                    <w:rPr>
                      <w:rFonts w:hint="eastAsia"/>
                      <w:color w:val="auto"/>
                    </w:rPr>
                    <w:t>20</w:t>
                  </w:r>
                  <w:r>
                    <w:rPr>
                      <w:rFonts w:hint="eastAsia"/>
                      <w:color w:val="auto"/>
                      <w:lang w:val="zh-CN"/>
                    </w:rPr>
                    <w:t>）</w:t>
                  </w:r>
                </w:p>
              </w:tc>
              <w:tc>
                <w:tcPr>
                  <w:tcW w:w="1987" w:type="pct"/>
                  <w:tcBorders>
                    <w:tl2br w:val="nil"/>
                    <w:tr2bl w:val="nil"/>
                  </w:tcBorders>
                  <w:vAlign w:val="center"/>
                </w:tcPr>
                <w:p>
                  <w:pPr>
                    <w:pStyle w:val="2"/>
                    <w:bidi w:val="0"/>
                    <w:rPr>
                      <w:color w:val="auto"/>
                      <w:lang w:val="zh-CN"/>
                    </w:rPr>
                  </w:pPr>
                  <w:r>
                    <w:rPr>
                      <w:rFonts w:hint="eastAsia"/>
                      <w:color w:val="auto"/>
                      <w:lang w:val="zh-CN"/>
                    </w:rPr>
                    <w:t>所选场址应符合当</w:t>
                  </w:r>
                </w:p>
                <w:p>
                  <w:pPr>
                    <w:pStyle w:val="2"/>
                    <w:bidi w:val="0"/>
                    <w:rPr>
                      <w:color w:val="auto"/>
                      <w:lang w:val="zh-CN"/>
                    </w:rPr>
                  </w:pPr>
                  <w:r>
                    <w:rPr>
                      <w:rFonts w:hint="eastAsia"/>
                      <w:color w:val="auto"/>
                      <w:lang w:val="zh-CN"/>
                    </w:rPr>
                    <w:t>地城乡建设总体规划要求</w:t>
                  </w:r>
                </w:p>
              </w:tc>
              <w:tc>
                <w:tcPr>
                  <w:tcW w:w="2080" w:type="pct"/>
                  <w:tcBorders>
                    <w:tl2br w:val="nil"/>
                    <w:tr2bl w:val="nil"/>
                  </w:tcBorders>
                  <w:vAlign w:val="center"/>
                </w:tcPr>
                <w:p>
                  <w:pPr>
                    <w:pStyle w:val="2"/>
                    <w:bidi w:val="0"/>
                    <w:rPr>
                      <w:color w:val="auto"/>
                      <w:lang w:val="zh-CN"/>
                    </w:rPr>
                  </w:pPr>
                  <w:r>
                    <w:rPr>
                      <w:rFonts w:hint="eastAsia"/>
                      <w:color w:val="auto"/>
                      <w:lang w:val="zh-CN"/>
                    </w:rPr>
                    <w:t>本项目</w:t>
                  </w:r>
                  <w:r>
                    <w:rPr>
                      <w:rFonts w:hint="eastAsia"/>
                      <w:color w:val="auto"/>
                      <w:lang w:val="en-US" w:eastAsia="zh-CN"/>
                    </w:rPr>
                    <w:t>符合《新疆维吾尔自治区焉耆县矿产资源总体规划（2021—2025年）》</w:t>
                  </w:r>
                  <w:r>
                    <w:rPr>
                      <w:rFonts w:hint="eastAsia"/>
                      <w:color w:val="auto"/>
                      <w:lang w:val="zh-CN"/>
                    </w:rPr>
                    <w:t>，</w:t>
                  </w:r>
                  <w:r>
                    <w:rPr>
                      <w:rFonts w:hint="eastAsia"/>
                      <w:color w:val="auto"/>
                      <w:lang w:val="en-US" w:eastAsia="zh-CN"/>
                    </w:rPr>
                    <w:t>已取得</w:t>
                  </w:r>
                  <w:r>
                    <w:rPr>
                      <w:rFonts w:hint="eastAsia"/>
                      <w:color w:val="auto"/>
                      <w:lang w:val="zh-CN"/>
                    </w:rPr>
                    <w:t>采矿证</w:t>
                  </w:r>
                </w:p>
              </w:tc>
              <w:tc>
                <w:tcPr>
                  <w:tcW w:w="464" w:type="pct"/>
                  <w:tcBorders>
                    <w:tl2br w:val="nil"/>
                    <w:tr2bl w:val="nil"/>
                  </w:tcBorders>
                  <w:vAlign w:val="center"/>
                </w:tcPr>
                <w:p>
                  <w:pPr>
                    <w:pStyle w:val="2"/>
                    <w:bidi w:val="0"/>
                    <w:rPr>
                      <w:color w:val="auto"/>
                      <w:lang w:val="zh-CN"/>
                    </w:rPr>
                  </w:pPr>
                  <w:r>
                    <w:rPr>
                      <w:rFonts w:hint="eastAsia"/>
                      <w:color w:val="auto"/>
                      <w:lang w:val="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7" w:type="pct"/>
                  <w:vMerge w:val="continue"/>
                  <w:tcBorders>
                    <w:tl2br w:val="nil"/>
                    <w:tr2bl w:val="nil"/>
                  </w:tcBorders>
                  <w:vAlign w:val="center"/>
                </w:tcPr>
                <w:p>
                  <w:pPr>
                    <w:pStyle w:val="2"/>
                    <w:bidi w:val="0"/>
                    <w:rPr>
                      <w:color w:val="auto"/>
                      <w:lang w:val="zh-CN"/>
                    </w:rPr>
                  </w:pPr>
                </w:p>
              </w:tc>
              <w:tc>
                <w:tcPr>
                  <w:tcW w:w="1987" w:type="pct"/>
                  <w:tcBorders>
                    <w:tl2br w:val="nil"/>
                    <w:tr2bl w:val="nil"/>
                  </w:tcBorders>
                  <w:vAlign w:val="center"/>
                </w:tcPr>
                <w:p>
                  <w:pPr>
                    <w:pStyle w:val="2"/>
                    <w:bidi w:val="0"/>
                    <w:rPr>
                      <w:color w:val="auto"/>
                      <w:lang w:val="zh-CN"/>
                    </w:rPr>
                  </w:pPr>
                  <w:r>
                    <w:rPr>
                      <w:rFonts w:hint="eastAsia"/>
                      <w:color w:val="auto"/>
                      <w:lang w:val="zh-CN"/>
                    </w:rPr>
                    <w:t>不得选在生态保护红线区域、永久基本农田集中区域和其他需要特别保护的区域内</w:t>
                  </w:r>
                </w:p>
              </w:tc>
              <w:tc>
                <w:tcPr>
                  <w:tcW w:w="2080" w:type="pct"/>
                  <w:tcBorders>
                    <w:tl2br w:val="nil"/>
                    <w:tr2bl w:val="nil"/>
                  </w:tcBorders>
                  <w:vAlign w:val="center"/>
                </w:tcPr>
                <w:p>
                  <w:pPr>
                    <w:pStyle w:val="2"/>
                    <w:bidi w:val="0"/>
                    <w:rPr>
                      <w:color w:val="auto"/>
                      <w:lang w:val="zh-CN"/>
                    </w:rPr>
                  </w:pPr>
                  <w:r>
                    <w:rPr>
                      <w:rFonts w:hint="eastAsia"/>
                      <w:color w:val="auto"/>
                      <w:lang w:val="zh-CN"/>
                    </w:rPr>
                    <w:t>项目选址不在生态保护红线区域，</w:t>
                  </w:r>
                  <w:r>
                    <w:rPr>
                      <w:rFonts w:hint="eastAsia"/>
                      <w:color w:val="auto"/>
                    </w:rPr>
                    <w:t>不在</w:t>
                  </w:r>
                  <w:r>
                    <w:rPr>
                      <w:rFonts w:hint="eastAsia"/>
                      <w:color w:val="auto"/>
                      <w:lang w:val="zh-CN"/>
                    </w:rPr>
                    <w:t>永久基本农田集中区域和其他特别保护的区域内。</w:t>
                  </w:r>
                </w:p>
              </w:tc>
              <w:tc>
                <w:tcPr>
                  <w:tcW w:w="464" w:type="pct"/>
                  <w:tcBorders>
                    <w:tl2br w:val="nil"/>
                    <w:tr2bl w:val="nil"/>
                  </w:tcBorders>
                  <w:vAlign w:val="center"/>
                </w:tcPr>
                <w:p>
                  <w:pPr>
                    <w:pStyle w:val="2"/>
                    <w:bidi w:val="0"/>
                    <w:rPr>
                      <w:color w:val="auto"/>
                      <w:lang w:val="zh-CN"/>
                    </w:rPr>
                  </w:pPr>
                  <w:r>
                    <w:rPr>
                      <w:rFonts w:hint="eastAsia"/>
                      <w:color w:val="auto"/>
                      <w:lang w:val="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7" w:type="pct"/>
                  <w:vMerge w:val="continue"/>
                  <w:tcBorders>
                    <w:tl2br w:val="nil"/>
                    <w:tr2bl w:val="nil"/>
                  </w:tcBorders>
                  <w:vAlign w:val="center"/>
                </w:tcPr>
                <w:p>
                  <w:pPr>
                    <w:pStyle w:val="2"/>
                    <w:bidi w:val="0"/>
                    <w:rPr>
                      <w:color w:val="auto"/>
                      <w:lang w:val="zh-CN"/>
                    </w:rPr>
                  </w:pPr>
                </w:p>
              </w:tc>
              <w:tc>
                <w:tcPr>
                  <w:tcW w:w="1987" w:type="pct"/>
                  <w:tcBorders>
                    <w:tl2br w:val="nil"/>
                    <w:tr2bl w:val="nil"/>
                  </w:tcBorders>
                  <w:vAlign w:val="center"/>
                </w:tcPr>
                <w:p>
                  <w:pPr>
                    <w:pStyle w:val="2"/>
                    <w:bidi w:val="0"/>
                    <w:rPr>
                      <w:color w:val="auto"/>
                      <w:lang w:val="zh-CN"/>
                    </w:rPr>
                  </w:pPr>
                  <w:r>
                    <w:rPr>
                      <w:rFonts w:hint="eastAsia"/>
                      <w:color w:val="auto"/>
                      <w:lang w:val="zh-CN"/>
                    </w:rPr>
                    <w:t>应避开活动断层、溶洞区、天然滑坡或泥石流影响区以及湿地等区域。</w:t>
                  </w:r>
                </w:p>
              </w:tc>
              <w:tc>
                <w:tcPr>
                  <w:tcW w:w="2080" w:type="pct"/>
                  <w:tcBorders>
                    <w:tl2br w:val="nil"/>
                    <w:tr2bl w:val="nil"/>
                  </w:tcBorders>
                  <w:vAlign w:val="center"/>
                </w:tcPr>
                <w:p>
                  <w:pPr>
                    <w:pStyle w:val="2"/>
                    <w:bidi w:val="0"/>
                    <w:rPr>
                      <w:color w:val="auto"/>
                      <w:lang w:val="zh-CN"/>
                    </w:rPr>
                  </w:pPr>
                  <w:r>
                    <w:rPr>
                      <w:rFonts w:hint="eastAsia"/>
                      <w:color w:val="auto"/>
                      <w:lang w:val="zh-CN"/>
                    </w:rPr>
                    <w:t>矿区位于霍拉沟以北，总体地势西北高，南东低，地形较平坦，自然排水条件良好。矿区范围内无居民，矿区内未见崩塌、滑坡、泥石流等地质灾害现象。</w:t>
                  </w:r>
                </w:p>
              </w:tc>
              <w:tc>
                <w:tcPr>
                  <w:tcW w:w="464" w:type="pct"/>
                  <w:tcBorders>
                    <w:tl2br w:val="nil"/>
                    <w:tr2bl w:val="nil"/>
                  </w:tcBorders>
                  <w:vAlign w:val="center"/>
                </w:tcPr>
                <w:p>
                  <w:pPr>
                    <w:pStyle w:val="2"/>
                    <w:bidi w:val="0"/>
                    <w:rPr>
                      <w:color w:val="auto"/>
                      <w:lang w:val="zh-CN"/>
                    </w:rPr>
                  </w:pPr>
                  <w:r>
                    <w:rPr>
                      <w:rFonts w:hint="eastAsia"/>
                      <w:color w:val="auto"/>
                      <w:lang w:val="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7" w:type="pct"/>
                  <w:vMerge w:val="continue"/>
                  <w:tcBorders>
                    <w:tl2br w:val="nil"/>
                    <w:tr2bl w:val="nil"/>
                  </w:tcBorders>
                  <w:vAlign w:val="center"/>
                </w:tcPr>
                <w:p>
                  <w:pPr>
                    <w:pStyle w:val="2"/>
                    <w:bidi w:val="0"/>
                    <w:rPr>
                      <w:color w:val="auto"/>
                      <w:lang w:val="zh-CN"/>
                    </w:rPr>
                  </w:pPr>
                </w:p>
              </w:tc>
              <w:tc>
                <w:tcPr>
                  <w:tcW w:w="1987" w:type="pct"/>
                  <w:tcBorders>
                    <w:tl2br w:val="nil"/>
                    <w:tr2bl w:val="nil"/>
                  </w:tcBorders>
                  <w:vAlign w:val="center"/>
                </w:tcPr>
                <w:p>
                  <w:pPr>
                    <w:pStyle w:val="2"/>
                    <w:bidi w:val="0"/>
                    <w:rPr>
                      <w:color w:val="auto"/>
                      <w:lang w:val="zh-CN"/>
                    </w:rPr>
                  </w:pPr>
                  <w:r>
                    <w:rPr>
                      <w:rFonts w:hint="eastAsia"/>
                      <w:color w:val="auto"/>
                      <w:lang w:val="zh-CN"/>
                    </w:rPr>
                    <w:t>不得选在江河、湖泊、运河、渠道、水库最高水位线以下的滩地和岸坡，以及国家和地方长远规划中的水库等人工蓄水设施的淹没区和保护区之内。</w:t>
                  </w:r>
                </w:p>
              </w:tc>
              <w:tc>
                <w:tcPr>
                  <w:tcW w:w="2080" w:type="pct"/>
                  <w:tcBorders>
                    <w:tl2br w:val="nil"/>
                    <w:tr2bl w:val="nil"/>
                  </w:tcBorders>
                  <w:vAlign w:val="center"/>
                </w:tcPr>
                <w:p>
                  <w:pPr>
                    <w:pStyle w:val="2"/>
                    <w:bidi w:val="0"/>
                    <w:rPr>
                      <w:color w:val="auto"/>
                      <w:lang w:val="zh-CN"/>
                    </w:rPr>
                  </w:pPr>
                  <w:r>
                    <w:rPr>
                      <w:rFonts w:hint="eastAsia"/>
                      <w:color w:val="auto"/>
                      <w:lang w:val="zh-CN"/>
                    </w:rPr>
                    <w:t>场址不在江河、湖泊、水库最高水位线以下的滩地和岸坡区域，不在国家和地方长远规划中的水库等人工蓄水设施的淹没区和保护区范围内。</w:t>
                  </w:r>
                </w:p>
              </w:tc>
              <w:tc>
                <w:tcPr>
                  <w:tcW w:w="464" w:type="pct"/>
                  <w:tcBorders>
                    <w:tl2br w:val="nil"/>
                    <w:tr2bl w:val="nil"/>
                  </w:tcBorders>
                  <w:vAlign w:val="center"/>
                </w:tcPr>
                <w:p>
                  <w:pPr>
                    <w:pStyle w:val="2"/>
                    <w:bidi w:val="0"/>
                    <w:rPr>
                      <w:color w:val="auto"/>
                      <w:lang w:val="zh-CN"/>
                    </w:rPr>
                  </w:pPr>
                  <w:r>
                    <w:rPr>
                      <w:rFonts w:hint="eastAsia"/>
                      <w:color w:val="auto"/>
                      <w:lang w:val="zh-CN"/>
                    </w:rPr>
                    <w:t>符合</w:t>
                  </w:r>
                </w:p>
              </w:tc>
            </w:tr>
          </w:tbl>
          <w:p>
            <w:pPr>
              <w:bidi w:val="0"/>
              <w:rPr>
                <w:rFonts w:hint="eastAsia"/>
                <w:color w:val="auto"/>
              </w:rPr>
            </w:pPr>
            <w:r>
              <w:rPr>
                <w:color w:val="auto"/>
              </w:rPr>
              <w:t>根据表</w:t>
            </w:r>
            <w:r>
              <w:rPr>
                <w:rFonts w:hint="eastAsia"/>
                <w:color w:val="auto"/>
                <w:lang w:val="en-US" w:eastAsia="zh-CN"/>
              </w:rPr>
              <w:t>4-12</w:t>
            </w:r>
            <w:r>
              <w:rPr>
                <w:color w:val="auto"/>
              </w:rPr>
              <w:t>分析结果可以看出，废石场选址基本符合《一般工业固体废物贮存</w:t>
            </w:r>
            <w:r>
              <w:rPr>
                <w:rFonts w:hint="eastAsia"/>
                <w:color w:val="auto"/>
              </w:rPr>
              <w:t>和填埋</w:t>
            </w:r>
            <w:r>
              <w:rPr>
                <w:color w:val="auto"/>
              </w:rPr>
              <w:t>污染控制标准》（GB18599</w:t>
            </w:r>
            <w:r>
              <w:rPr>
                <w:rFonts w:hint="eastAsia"/>
                <w:color w:val="auto"/>
              </w:rPr>
              <w:t>-2020</w:t>
            </w:r>
            <w:r>
              <w:rPr>
                <w:color w:val="auto"/>
              </w:rPr>
              <w:t>）选址原则与要求。综上所述，评价认为，在采取安全、环保、水保措施的前提下废石场选址可行</w:t>
            </w:r>
            <w:r>
              <w:rPr>
                <w:rFonts w:hint="eastAsia"/>
                <w:color w:val="auto"/>
              </w:rPr>
              <w:t>。</w:t>
            </w:r>
          </w:p>
          <w:p>
            <w:pPr>
              <w:pStyle w:val="2"/>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p>
            <w:pPr>
              <w:pStyle w:val="3"/>
              <w:widowControl w:val="0"/>
              <w:numPr>
                <w:ilvl w:val="0"/>
                <w:numId w:val="0"/>
              </w:numPr>
              <w:adjustRightInd w:val="0"/>
              <w:snapToGrid w:val="0"/>
              <w:spacing w:line="360" w:lineRule="auto"/>
              <w:jc w:val="both"/>
              <w:rPr>
                <w:rFonts w:hint="eastAsia"/>
                <w:color w:val="auto"/>
              </w:rPr>
            </w:pPr>
          </w:p>
        </w:tc>
      </w:tr>
    </w:tbl>
    <w:p>
      <w:pPr>
        <w:pStyle w:val="25"/>
        <w:ind w:firstLine="720"/>
        <w:jc w:val="center"/>
        <w:rPr>
          <w:rFonts w:ascii="黑体" w:hAnsi="黑体" w:eastAsia="黑体"/>
          <w:snapToGrid w:val="0"/>
          <w:color w:val="auto"/>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五、主要生态环境保护措施</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752" w:type="dxa"/>
            <w:tcMar>
              <w:left w:w="28" w:type="dxa"/>
              <w:right w:w="28" w:type="dxa"/>
            </w:tcMar>
            <w:vAlign w:val="center"/>
          </w:tcPr>
          <w:p>
            <w:pPr>
              <w:ind w:firstLine="0" w:firstLineChars="0"/>
              <w:jc w:val="center"/>
              <w:rPr>
                <w:rFonts w:ascii="宋体" w:hAnsi="宋体"/>
                <w:bCs/>
                <w:color w:val="auto"/>
              </w:rPr>
            </w:pPr>
            <w:r>
              <w:rPr>
                <w:rFonts w:hint="eastAsia" w:ascii="宋体" w:hAnsi="宋体" w:cs="宋体"/>
                <w:bCs/>
                <w:color w:val="auto"/>
                <w:spacing w:val="10"/>
              </w:rPr>
              <w:t>施工期生态环境保护措施</w:t>
            </w:r>
          </w:p>
        </w:tc>
        <w:tc>
          <w:tcPr>
            <w:tcW w:w="7697" w:type="dxa"/>
            <w:vAlign w:val="center"/>
          </w:tcPr>
          <w:p>
            <w:pPr>
              <w:pStyle w:val="5"/>
              <w:bidi w:val="0"/>
              <w:rPr>
                <w:rFonts w:hint="eastAsia"/>
                <w:color w:val="auto"/>
                <w:lang w:val="en-US" w:eastAsia="zh-CN"/>
              </w:rPr>
            </w:pPr>
            <w:bookmarkStart w:id="11" w:name="_Toc167859200"/>
            <w:bookmarkStart w:id="12" w:name="_Toc168121571"/>
            <w:bookmarkStart w:id="13" w:name="_Toc168312904"/>
            <w:bookmarkStart w:id="14" w:name="_Toc168121379"/>
            <w:bookmarkStart w:id="15" w:name="_Toc156819103"/>
            <w:r>
              <w:rPr>
                <w:rFonts w:hint="eastAsia"/>
                <w:color w:val="auto"/>
                <w:lang w:val="en-US" w:eastAsia="zh-CN"/>
              </w:rPr>
              <w:t>1、施工期生态保护措施</w:t>
            </w:r>
          </w:p>
          <w:p>
            <w:pPr>
              <w:pStyle w:val="5"/>
              <w:bidi w:val="0"/>
              <w:rPr>
                <w:rFonts w:hint="default"/>
                <w:color w:val="auto"/>
                <w:lang w:val="en-US" w:eastAsia="zh-CN"/>
              </w:rPr>
            </w:pPr>
            <w:r>
              <w:rPr>
                <w:rFonts w:hint="eastAsia"/>
                <w:color w:val="auto"/>
                <w:lang w:val="en-US" w:eastAsia="zh-CN"/>
              </w:rPr>
              <w:t>1.1地表的保护措施</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对项目区内的占地（</w:t>
            </w:r>
            <w:r>
              <w:rPr>
                <w:rFonts w:hint="eastAsia"/>
                <w:color w:val="auto"/>
                <w:lang w:val="en-US" w:eastAsia="zh-CN"/>
              </w:rPr>
              <w:t>荒料堆放场、废石堆场、矿区道路</w:t>
            </w:r>
            <w:r>
              <w:rPr>
                <w:rFonts w:hint="default"/>
                <w:color w:val="auto"/>
                <w:lang w:val="en-US" w:eastAsia="zh-CN"/>
              </w:rPr>
              <w:t>）等合理规划，严格控制占地面积，根据地形条件，尽量按地形走向、起伏施工，减少挖填作业量</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（2）表土剥离时</w:t>
            </w:r>
            <w:r>
              <w:rPr>
                <w:rFonts w:hint="default" w:ascii="Times New Roman" w:hAnsi="Times New Roman" w:eastAsia="宋体" w:cs="Times New Roman"/>
                <w:color w:val="auto"/>
                <w:sz w:val="24"/>
                <w:szCs w:val="24"/>
                <w:lang w:val="en-US" w:eastAsia="zh-CN"/>
              </w:rPr>
              <w:t>分层堆放</w:t>
            </w:r>
            <w:r>
              <w:rPr>
                <w:rFonts w:hint="eastAsia" w:ascii="Times New Roman" w:hAnsi="Times New Roman" w:eastAsia="宋体" w:cs="Times New Roman"/>
                <w:color w:val="auto"/>
                <w:sz w:val="24"/>
                <w:szCs w:val="24"/>
                <w:lang w:val="en-US" w:eastAsia="zh-CN"/>
              </w:rPr>
              <w:t>至</w:t>
            </w:r>
            <w:r>
              <w:rPr>
                <w:color w:val="auto"/>
                <w:spacing w:val="-1"/>
              </w:rPr>
              <w:t>表土堆放场</w:t>
            </w:r>
            <w:r>
              <w:rPr>
                <w:rFonts w:hint="default" w:ascii="Times New Roman" w:hAnsi="Times New Roman" w:eastAsia="宋体" w:cs="Times New Roman"/>
                <w:color w:val="auto"/>
                <w:sz w:val="24"/>
                <w:szCs w:val="24"/>
                <w:lang w:val="en-US" w:eastAsia="zh-CN"/>
              </w:rPr>
              <w:t>，</w:t>
            </w:r>
            <w:r>
              <w:rPr>
                <w:rFonts w:ascii="Segoe UI" w:hAnsi="Segoe UI" w:eastAsia="Segoe UI" w:cs="Segoe UI"/>
                <w:i w:val="0"/>
                <w:iCs w:val="0"/>
                <w:caps w:val="0"/>
                <w:spacing w:val="0"/>
                <w:sz w:val="24"/>
                <w:szCs w:val="24"/>
                <w:shd w:val="clear" w:fill="FFFFFF"/>
              </w:rPr>
              <w:t>堆高≤5m，覆盖防雨布和防尘网</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避免雨水冲刷流失</w:t>
            </w:r>
            <w:r>
              <w:rPr>
                <w:rFonts w:hint="eastAsia" w:ascii="Segoe UI" w:hAnsi="Segoe UI" w:eastAsia="宋体" w:cs="Segoe UI"/>
                <w:i w:val="0"/>
                <w:iCs w:val="0"/>
                <w:caps w:val="0"/>
                <w:spacing w:val="0"/>
                <w:sz w:val="24"/>
                <w:szCs w:val="24"/>
                <w:shd w:val="clear" w:fill="FFFFFF"/>
                <w:lang w:eastAsia="zh-CN"/>
              </w:rPr>
              <w:t>，</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bidi w:val="0"/>
              <w:rPr>
                <w:rFonts w:hint="default"/>
                <w:color w:val="auto"/>
                <w:lang w:val="en-US" w:eastAsia="zh-CN"/>
              </w:rPr>
            </w:pPr>
            <w:r>
              <w:rPr>
                <w:rFonts w:hint="eastAsia"/>
                <w:color w:val="auto"/>
                <w:lang w:val="en-US" w:eastAsia="zh-CN"/>
              </w:rPr>
              <w:t>（3）表土堆放场周边设置截排水沟，截排水沟连接沉淀循环池，减少水土流失。</w:t>
            </w:r>
          </w:p>
          <w:p>
            <w:pPr>
              <w:bidi w:val="0"/>
              <w:rPr>
                <w:rFonts w:hint="default"/>
                <w:color w:val="auto"/>
                <w:lang w:val="en-US" w:eastAsia="zh-CN"/>
              </w:rPr>
            </w:pPr>
            <w:r>
              <w:rPr>
                <w:rFonts w:hint="eastAsia"/>
                <w:color w:val="auto"/>
                <w:lang w:val="en-US" w:eastAsia="zh-CN"/>
              </w:rPr>
              <w:t>（4）</w:t>
            </w:r>
            <w:r>
              <w:rPr>
                <w:rFonts w:hint="default"/>
                <w:color w:val="auto"/>
                <w:lang w:val="en-US" w:eastAsia="zh-CN"/>
              </w:rPr>
              <w:t>施工结束后，</w:t>
            </w:r>
            <w:r>
              <w:rPr>
                <w:rFonts w:hint="eastAsia"/>
                <w:color w:val="auto"/>
                <w:lang w:val="en-US" w:eastAsia="zh-CN"/>
              </w:rPr>
              <w:t>临时占地</w:t>
            </w:r>
            <w:r>
              <w:rPr>
                <w:rFonts w:hint="default"/>
                <w:color w:val="auto"/>
                <w:lang w:val="en-US" w:eastAsia="zh-CN"/>
              </w:rPr>
              <w:t>恢复地表原状，做的工完料净场地清，以利于植被</w:t>
            </w:r>
            <w:r>
              <w:rPr>
                <w:rFonts w:hint="eastAsia"/>
                <w:color w:val="auto"/>
                <w:lang w:val="en-US" w:eastAsia="zh-CN"/>
              </w:rPr>
              <w:t>和土壤</w:t>
            </w:r>
            <w:r>
              <w:rPr>
                <w:rFonts w:hint="default"/>
                <w:color w:val="auto"/>
                <w:lang w:val="en-US" w:eastAsia="zh-CN"/>
              </w:rPr>
              <w:t>的恢复。</w:t>
            </w:r>
          </w:p>
          <w:p>
            <w:pPr>
              <w:pStyle w:val="5"/>
              <w:bidi w:val="0"/>
              <w:rPr>
                <w:rFonts w:hint="default"/>
                <w:color w:val="auto"/>
                <w:lang w:val="en-US" w:eastAsia="zh-CN"/>
              </w:rPr>
            </w:pPr>
            <w:r>
              <w:rPr>
                <w:rFonts w:hint="eastAsia"/>
                <w:color w:val="auto"/>
                <w:lang w:val="en-US" w:eastAsia="zh-CN"/>
              </w:rPr>
              <w:t>1.2植被的保护措施</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eastAsia"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对项目区内的占地合理规划，严格控制占地面积，</w:t>
            </w:r>
            <w:r>
              <w:rPr>
                <w:rFonts w:hint="eastAsia" w:eastAsia="宋体" w:cs="Times New Roman"/>
                <w:color w:val="auto"/>
                <w:sz w:val="24"/>
                <w:szCs w:val="24"/>
                <w:lang w:val="en-US" w:eastAsia="zh-CN"/>
              </w:rPr>
              <w:t>减少植被破坏。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color w:val="auto"/>
                <w:lang w:val="en-US" w:eastAsia="zh-CN"/>
              </w:rPr>
              <w:t>（2）</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（3）施工区进行围挡，临时堆土进行遮盖，表面夯实，定期洒水降尘，减少粉尘对地表植被的影响。</w:t>
            </w:r>
          </w:p>
          <w:p>
            <w:pPr>
              <w:bidi w:val="0"/>
              <w:rPr>
                <w:rFonts w:hint="eastAsia"/>
                <w:color w:val="auto"/>
                <w:lang w:val="en-US" w:eastAsia="zh-CN"/>
              </w:rPr>
            </w:pPr>
            <w:r>
              <w:rPr>
                <w:rFonts w:hint="eastAsia" w:eastAsia="宋体" w:cs="Times New Roman"/>
                <w:color w:val="auto"/>
                <w:sz w:val="24"/>
                <w:szCs w:val="24"/>
                <w:lang w:val="en-US" w:eastAsia="zh-CN"/>
              </w:rPr>
              <w:t>（4）</w:t>
            </w:r>
            <w:r>
              <w:rPr>
                <w:color w:val="auto"/>
              </w:rPr>
              <w:t>加强对工作人员的教育宣传，</w:t>
            </w:r>
            <w:r>
              <w:rPr>
                <w:rFonts w:hint="eastAsia"/>
                <w:color w:val="auto"/>
                <w:lang w:val="en-US" w:eastAsia="zh-CN"/>
              </w:rPr>
              <w:t>避免对植被的破坏，对保护植被进行移植，严禁采伐。</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施工结束后，</w:t>
            </w:r>
            <w:r>
              <w:rPr>
                <w:rFonts w:hint="eastAsia" w:ascii="Times New Roman" w:hAnsi="Times New Roman" w:eastAsia="宋体" w:cs="Times New Roman"/>
                <w:color w:val="auto"/>
                <w:sz w:val="24"/>
                <w:szCs w:val="24"/>
                <w:lang w:val="en-US" w:eastAsia="zh-CN"/>
              </w:rPr>
              <w:t>临时占地</w:t>
            </w:r>
            <w:r>
              <w:rPr>
                <w:rFonts w:hint="default" w:ascii="Times New Roman" w:hAnsi="Times New Roman" w:eastAsia="宋体" w:cs="Times New Roman"/>
                <w:color w:val="auto"/>
                <w:sz w:val="24"/>
                <w:szCs w:val="24"/>
                <w:lang w:val="en-US" w:eastAsia="zh-CN"/>
              </w:rPr>
              <w:t>恢复地表原状，做的工完料净场地清，以利于植被的恢复。</w:t>
            </w:r>
          </w:p>
          <w:p>
            <w:pPr>
              <w:pStyle w:val="5"/>
              <w:bidi w:val="0"/>
              <w:rPr>
                <w:rFonts w:hint="eastAsia" w:cs="Times New Roman"/>
                <w:color w:val="auto"/>
                <w:sz w:val="24"/>
                <w:szCs w:val="24"/>
                <w:lang w:val="en-US" w:eastAsia="zh-CN"/>
              </w:rPr>
            </w:pPr>
            <w:r>
              <w:rPr>
                <w:rFonts w:hint="eastAsia" w:cs="Times New Roman"/>
                <w:color w:val="auto"/>
                <w:sz w:val="24"/>
                <w:szCs w:val="24"/>
                <w:lang w:val="en-US" w:eastAsia="zh-CN"/>
              </w:rPr>
              <w:t>1.3土壤的保护措施</w:t>
            </w:r>
          </w:p>
          <w:p>
            <w:pPr>
              <w:numPr>
                <w:ilvl w:val="0"/>
                <w:numId w:val="5"/>
              </w:numPr>
              <w:bidi w:val="0"/>
              <w:rPr>
                <w:rFonts w:hint="default" w:ascii="Times New Roman" w:hAnsi="Times New Roman" w:eastAsia="宋体" w:cs="Times New Roman"/>
                <w:color w:val="auto"/>
                <w:sz w:val="24"/>
                <w:szCs w:val="24"/>
                <w:lang w:val="en-US" w:eastAsia="zh-CN"/>
              </w:rPr>
            </w:pPr>
            <w:r>
              <w:rPr>
                <w:rFonts w:hint="default"/>
                <w:color w:val="auto"/>
                <w:lang w:val="en-US" w:eastAsia="zh-CN"/>
              </w:rPr>
              <w:t>对项目区内的占地等合理规划，严格控制占地面积</w:t>
            </w:r>
            <w:r>
              <w:rPr>
                <w:rFonts w:hint="eastAsia"/>
                <w:color w:val="auto"/>
                <w:lang w:val="en-US" w:eastAsia="zh-CN"/>
              </w:rPr>
              <w:t>，</w:t>
            </w:r>
            <w:r>
              <w:rPr>
                <w:rFonts w:hint="default"/>
                <w:color w:val="auto"/>
                <w:lang w:val="en-US" w:eastAsia="zh-CN"/>
              </w:rPr>
              <w:t>根据地形条件，尽量按地形走向、起伏施工，减少挖填作业量</w:t>
            </w:r>
            <w:r>
              <w:rPr>
                <w:rFonts w:hint="eastAsia"/>
                <w:color w:val="auto"/>
                <w:lang w:val="en-US" w:eastAsia="zh-CN"/>
              </w:rPr>
              <w:t>，减少土壤破坏。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color w:val="auto"/>
                <w:lang w:val="en-US" w:eastAsia="zh-CN"/>
              </w:rPr>
              <w:t>（2）</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eastAsia" w:eastAsia="宋体" w:cs="Times New Roman"/>
                <w:color w:val="auto"/>
                <w:sz w:val="24"/>
                <w:szCs w:val="24"/>
                <w:lang w:val="en-US" w:eastAsia="zh-CN"/>
              </w:rPr>
              <w:t>利于</w:t>
            </w:r>
            <w:r>
              <w:rPr>
                <w:rFonts w:hint="default" w:ascii="Times New Roman" w:hAnsi="Times New Roman" w:eastAsia="宋体" w:cs="Times New Roman"/>
                <w:color w:val="auto"/>
                <w:sz w:val="24"/>
                <w:szCs w:val="24"/>
                <w:lang w:val="en-US" w:eastAsia="zh-CN"/>
              </w:rPr>
              <w:t>植被的恢复和生长，防止风蚀</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现象发生。</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lang w:val="en-US" w:eastAsia="zh-CN"/>
              </w:rPr>
              <w:t>（3）</w:t>
            </w:r>
            <w:r>
              <w:rPr>
                <w:rFonts w:hint="default" w:ascii="Times New Roman" w:hAnsi="Times New Roman" w:eastAsia="宋体" w:cs="Times New Roman"/>
                <w:color w:val="auto"/>
                <w:sz w:val="24"/>
                <w:szCs w:val="24"/>
                <w:lang w:val="en-US" w:eastAsia="zh-CN"/>
              </w:rPr>
              <w:t>道路施工时，划定施工活动范围，所有车辆采用</w:t>
            </w:r>
            <w:r>
              <w:rPr>
                <w:rFonts w:hint="eastAsia"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字型作业法，不得并行开辟新路，</w:t>
            </w:r>
            <w:r>
              <w:rPr>
                <w:rFonts w:hint="eastAsia" w:eastAsia="宋体" w:cs="Times New Roman"/>
                <w:color w:val="auto"/>
                <w:sz w:val="24"/>
                <w:szCs w:val="24"/>
                <w:lang w:val="en-US" w:eastAsia="zh-CN"/>
              </w:rPr>
              <w:t>减少临时堆土的占地面积，</w:t>
            </w:r>
            <w:r>
              <w:rPr>
                <w:rFonts w:hint="default" w:ascii="Times New Roman" w:hAnsi="Times New Roman" w:eastAsia="宋体" w:cs="Times New Roman"/>
                <w:color w:val="auto"/>
                <w:sz w:val="24"/>
                <w:szCs w:val="24"/>
                <w:lang w:val="en-US" w:eastAsia="zh-CN"/>
              </w:rPr>
              <w:t>以减少</w:t>
            </w:r>
            <w:r>
              <w:rPr>
                <w:rFonts w:hint="eastAsia" w:eastAsia="宋体" w:cs="Times New Roman"/>
                <w:color w:val="auto"/>
                <w:sz w:val="24"/>
                <w:szCs w:val="24"/>
                <w:lang w:val="en-US" w:eastAsia="zh-CN"/>
              </w:rPr>
              <w:t>对土壤的破坏</w:t>
            </w:r>
            <w:r>
              <w:rPr>
                <w:rFonts w:hint="default" w:ascii="Times New Roman" w:hAnsi="Times New Roman" w:eastAsia="宋体" w:cs="Times New Roman"/>
                <w:color w:val="auto"/>
                <w:sz w:val="24"/>
                <w:szCs w:val="24"/>
                <w:lang w:val="en-US" w:eastAsia="zh-CN"/>
              </w:rPr>
              <w:t>范围。</w:t>
            </w:r>
          </w:p>
          <w:p>
            <w:pPr>
              <w:bidi w:val="0"/>
              <w:rPr>
                <w:rFonts w:hint="default"/>
                <w:color w:val="auto"/>
                <w:lang w:val="en-US" w:eastAsia="zh-CN"/>
              </w:rPr>
            </w:pPr>
            <w:r>
              <w:rPr>
                <w:rFonts w:hint="eastAsia"/>
                <w:color w:val="auto"/>
                <w:lang w:val="en-US" w:eastAsia="zh-CN"/>
              </w:rPr>
              <w:t>（4）</w:t>
            </w:r>
            <w:r>
              <w:rPr>
                <w:rFonts w:hint="default" w:ascii="Times New Roman" w:hAnsi="Times New Roman" w:eastAsia="宋体" w:cs="Times New Roman"/>
                <w:color w:val="auto"/>
                <w:sz w:val="24"/>
                <w:szCs w:val="24"/>
                <w:lang w:val="en-US" w:eastAsia="zh-CN"/>
              </w:rPr>
              <w:t>施工过程中严格规定各类工作人员的活动范围，使之限于在各工区和生活区范围内活动，最大限度减少对</w:t>
            </w:r>
            <w:r>
              <w:rPr>
                <w:rFonts w:hint="eastAsia" w:cs="Times New Roman"/>
                <w:color w:val="auto"/>
                <w:sz w:val="24"/>
                <w:szCs w:val="24"/>
                <w:lang w:val="en-US" w:eastAsia="zh-CN"/>
              </w:rPr>
              <w:t>动</w:t>
            </w:r>
            <w:r>
              <w:rPr>
                <w:rFonts w:hint="default" w:ascii="Times New Roman" w:hAnsi="Times New Roman" w:eastAsia="宋体" w:cs="Times New Roman"/>
                <w:color w:val="auto"/>
                <w:sz w:val="24"/>
                <w:szCs w:val="24"/>
                <w:lang w:val="en-US" w:eastAsia="zh-CN"/>
              </w:rPr>
              <w:t>植物生存环境的践踏破坏。</w:t>
            </w:r>
          </w:p>
          <w:p>
            <w:pPr>
              <w:pStyle w:val="5"/>
              <w:bidi w:val="0"/>
              <w:rPr>
                <w:rFonts w:hint="eastAsia"/>
                <w:color w:val="auto"/>
                <w:lang w:val="en-US" w:eastAsia="zh-CN"/>
              </w:rPr>
            </w:pPr>
            <w:r>
              <w:rPr>
                <w:rFonts w:hint="eastAsia"/>
                <w:color w:val="auto"/>
                <w:lang w:val="en-US" w:eastAsia="zh-CN"/>
              </w:rPr>
              <w:t>1.4动物的保护措施</w:t>
            </w:r>
          </w:p>
          <w:p>
            <w:pPr>
              <w:numPr>
                <w:ilvl w:val="0"/>
                <w:numId w:val="6"/>
              </w:num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施工过程中严格规定各类工作人员的活动范围，使之限于在各工区和生活区范围内活动，最大限度减少对</w:t>
            </w:r>
            <w:r>
              <w:rPr>
                <w:rFonts w:hint="eastAsia" w:cs="Times New Roman"/>
                <w:color w:val="auto"/>
                <w:sz w:val="24"/>
                <w:szCs w:val="24"/>
                <w:lang w:val="en-US" w:eastAsia="zh-CN"/>
              </w:rPr>
              <w:t>动</w:t>
            </w:r>
            <w:r>
              <w:rPr>
                <w:rFonts w:hint="default" w:ascii="Times New Roman" w:hAnsi="Times New Roman" w:eastAsia="宋体" w:cs="Times New Roman"/>
                <w:color w:val="auto"/>
                <w:sz w:val="24"/>
                <w:szCs w:val="24"/>
                <w:lang w:val="en-US" w:eastAsia="zh-CN"/>
              </w:rPr>
              <w:t>植物生存环境的践踏破坏。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抓紧施工进度，尽量缩短施工作业时间，减少对野生动物的惊扰。</w:t>
            </w:r>
          </w:p>
          <w:p>
            <w:pPr>
              <w:bidi w:val="0"/>
              <w:rPr>
                <w:rFonts w:hint="default" w:ascii="Times New Roman" w:hAnsi="Times New Roman" w:eastAsia="宋体" w:cs="Times New Roman"/>
                <w:color w:val="auto"/>
                <w:sz w:val="24"/>
                <w:szCs w:val="24"/>
                <w:lang w:val="en-US" w:eastAsia="zh-CN"/>
              </w:rPr>
            </w:pPr>
            <w:r>
              <w:rPr>
                <w:rFonts w:hint="eastAsia"/>
                <w:color w:val="auto"/>
                <w:lang w:val="en-US" w:eastAsia="zh-CN"/>
              </w:rPr>
              <w:t>（3）</w:t>
            </w:r>
            <w:r>
              <w:rPr>
                <w:rFonts w:hint="default" w:ascii="Times New Roman" w:hAnsi="Times New Roman" w:eastAsia="宋体" w:cs="Times New Roman"/>
                <w:color w:val="auto"/>
                <w:sz w:val="24"/>
                <w:szCs w:val="24"/>
                <w:lang w:val="en-US" w:eastAsia="zh-CN"/>
              </w:rPr>
              <w:t>优选施工时间，避开野生动物活动的高峰时段。禁止在早晨、黄昏和晚上</w:t>
            </w:r>
            <w:r>
              <w:rPr>
                <w:rFonts w:hint="eastAsia" w:eastAsia="宋体" w:cs="Times New Roman"/>
                <w:color w:val="auto"/>
                <w:sz w:val="24"/>
                <w:szCs w:val="24"/>
                <w:lang w:val="en-US" w:eastAsia="zh-CN"/>
              </w:rPr>
              <w:t>进行</w:t>
            </w:r>
            <w:r>
              <w:rPr>
                <w:rFonts w:hint="default" w:ascii="Times New Roman" w:hAnsi="Times New Roman" w:eastAsia="宋体" w:cs="Times New Roman"/>
                <w:color w:val="auto"/>
                <w:sz w:val="24"/>
                <w:szCs w:val="24"/>
                <w:lang w:val="en-US" w:eastAsia="zh-CN"/>
              </w:rPr>
              <w:t>高噪声作业，风速比较大的天气，减少扬尘污染较大的施工项目。</w:t>
            </w:r>
          </w:p>
          <w:p>
            <w:pPr>
              <w:adjustRightInd w:val="0"/>
              <w:snapToGrid w:val="0"/>
              <w:spacing w:line="360" w:lineRule="auto"/>
              <w:ind w:firstLine="480" w:firstLineChars="200"/>
              <w:rPr>
                <w:rFonts w:hint="eastAsia" w:eastAsia="宋体"/>
                <w:color w:val="auto"/>
                <w:lang w:eastAsia="zh-CN"/>
              </w:rPr>
            </w:pPr>
            <w:r>
              <w:rPr>
                <w:rFonts w:hint="eastAsia"/>
                <w:color w:val="auto"/>
                <w:lang w:val="en-US" w:eastAsia="zh-CN"/>
              </w:rPr>
              <w:t>（4）</w:t>
            </w:r>
            <w:r>
              <w:rPr>
                <w:color w:val="auto"/>
              </w:rPr>
              <w:t>加强对施工人员及工作人员的教育宣传，保护野生动物，禁止猎杀野生动物</w:t>
            </w:r>
            <w:r>
              <w:rPr>
                <w:rFonts w:hint="eastAsia"/>
                <w:color w:val="auto"/>
                <w:lang w:eastAsia="zh-CN"/>
              </w:rPr>
              <w:t>。</w:t>
            </w:r>
          </w:p>
          <w:p>
            <w:pPr>
              <w:pStyle w:val="5"/>
              <w:bidi w:val="0"/>
              <w:rPr>
                <w:rFonts w:hint="eastAsia"/>
                <w:color w:val="auto"/>
                <w:lang w:val="en-US" w:eastAsia="zh-CN"/>
              </w:rPr>
            </w:pPr>
            <w:r>
              <w:rPr>
                <w:rFonts w:hint="eastAsia"/>
                <w:color w:val="auto"/>
                <w:lang w:val="en-US" w:eastAsia="zh-CN"/>
              </w:rPr>
              <w:t>1.5景观的保护措施</w:t>
            </w:r>
          </w:p>
          <w:p>
            <w:pPr>
              <w:rPr>
                <w:rFonts w:hint="eastAsia"/>
                <w:color w:val="auto"/>
                <w:lang w:val="en-US" w:eastAsia="zh-CN"/>
              </w:rPr>
            </w:pPr>
            <w:r>
              <w:rPr>
                <w:rFonts w:hint="eastAsia"/>
                <w:color w:val="auto"/>
                <w:lang w:val="en-US" w:eastAsia="zh-CN"/>
              </w:rPr>
              <w:t>（1）</w:t>
            </w:r>
            <w:r>
              <w:rPr>
                <w:rFonts w:hint="default"/>
                <w:color w:val="auto"/>
                <w:lang w:val="en-US" w:eastAsia="zh-CN"/>
              </w:rPr>
              <w:t>对项目区内的</w:t>
            </w:r>
            <w:r>
              <w:rPr>
                <w:rFonts w:hint="eastAsia"/>
                <w:color w:val="auto"/>
                <w:lang w:val="en-US" w:eastAsia="zh-CN"/>
              </w:rPr>
              <w:t>占地</w:t>
            </w:r>
            <w:r>
              <w:rPr>
                <w:rFonts w:hint="default"/>
                <w:color w:val="auto"/>
                <w:lang w:val="en-US" w:eastAsia="zh-CN"/>
              </w:rPr>
              <w:t>合理规划，严格控制占地面积</w:t>
            </w:r>
            <w:r>
              <w:rPr>
                <w:rFonts w:hint="eastAsia"/>
                <w:color w:val="auto"/>
                <w:lang w:val="en-US" w:eastAsia="zh-CN"/>
              </w:rPr>
              <w:t>，降低对景观的影响；</w:t>
            </w:r>
          </w:p>
          <w:p>
            <w:pPr>
              <w:bidi w:val="0"/>
              <w:rPr>
                <w:rFonts w:hint="eastAsia"/>
                <w:color w:val="auto"/>
                <w:lang w:val="en-US" w:eastAsia="zh-CN"/>
              </w:rPr>
            </w:pPr>
            <w:r>
              <w:rPr>
                <w:rFonts w:hint="eastAsia"/>
                <w:color w:val="auto"/>
                <w:lang w:val="en-US" w:eastAsia="zh-CN"/>
              </w:rPr>
              <w:t>（2）</w:t>
            </w:r>
            <w:r>
              <w:rPr>
                <w:rFonts w:hint="eastAsia" w:ascii="Times New Roman" w:hAnsi="Times New Roman" w:eastAsia="宋体" w:cs="Times New Roman"/>
                <w:color w:val="auto"/>
                <w:sz w:val="24"/>
                <w:szCs w:val="24"/>
                <w:lang w:val="en-US" w:eastAsia="zh-CN"/>
              </w:rPr>
              <w:t>道路平整时，若有</w:t>
            </w:r>
            <w:r>
              <w:rPr>
                <w:rFonts w:hint="default" w:ascii="Times New Roman" w:hAnsi="Times New Roman" w:eastAsia="宋体" w:cs="Times New Roman"/>
                <w:color w:val="auto"/>
                <w:sz w:val="24"/>
                <w:szCs w:val="24"/>
                <w:lang w:val="en-US" w:eastAsia="zh-CN"/>
              </w:rPr>
              <w:t>弃土集中专门堆放，做好排水引流，施工结束后，应对临时占地内的土地进行平整，恢复原有地貌。</w:t>
            </w:r>
          </w:p>
          <w:p>
            <w:pPr>
              <w:bidi w:val="0"/>
              <w:rPr>
                <w:rFonts w:hint="default"/>
                <w:color w:val="auto"/>
                <w:lang w:val="en-US" w:eastAsia="zh-CN"/>
              </w:rPr>
            </w:pPr>
            <w:r>
              <w:rPr>
                <w:rFonts w:hint="eastAsia"/>
                <w:color w:val="auto"/>
                <w:lang w:val="en-US" w:eastAsia="zh-CN"/>
              </w:rPr>
              <w:t>（3）生活区、工业区</w:t>
            </w:r>
            <w:r>
              <w:rPr>
                <w:rFonts w:hint="default"/>
                <w:color w:val="auto"/>
                <w:lang w:val="en-US" w:eastAsia="zh-CN"/>
              </w:rPr>
              <w:t>在较平坦的地段，</w:t>
            </w:r>
            <w:r>
              <w:rPr>
                <w:rFonts w:hint="eastAsia"/>
                <w:color w:val="auto"/>
                <w:lang w:val="en-US" w:eastAsia="zh-CN"/>
              </w:rPr>
              <w:t>如有凹凸不平应进行平整防止积水，</w:t>
            </w:r>
            <w:r>
              <w:rPr>
                <w:rFonts w:hint="default"/>
                <w:color w:val="auto"/>
                <w:lang w:val="en-US" w:eastAsia="zh-CN"/>
              </w:rPr>
              <w:t>应在地貌恢复后使项目区域与附近地表自然过渡，回填土与周围地表坡向保持一致。</w:t>
            </w:r>
          </w:p>
          <w:p>
            <w:pPr>
              <w:bidi w:val="0"/>
              <w:rPr>
                <w:rFonts w:hint="eastAsia"/>
                <w:color w:val="auto"/>
                <w:lang w:val="en-US" w:eastAsia="zh-CN"/>
              </w:rPr>
            </w:pPr>
            <w:r>
              <w:rPr>
                <w:rFonts w:hint="eastAsia"/>
                <w:color w:val="auto"/>
                <w:lang w:val="en-US" w:eastAsia="zh-CN"/>
              </w:rPr>
              <w:t>（4）</w:t>
            </w:r>
            <w:r>
              <w:rPr>
                <w:rFonts w:hint="default" w:ascii="Times New Roman" w:hAnsi="Times New Roman" w:eastAsia="宋体" w:cs="Times New Roman"/>
                <w:color w:val="auto"/>
                <w:sz w:val="24"/>
                <w:szCs w:val="24"/>
                <w:lang w:val="en-US" w:eastAsia="zh-CN"/>
              </w:rPr>
              <w:t>工程完工后尽快做好生态环境的恢复工作，尤其是临时占地处，以尽量减少生境破坏对动物的不利影响。</w:t>
            </w:r>
          </w:p>
          <w:p>
            <w:pPr>
              <w:pStyle w:val="5"/>
              <w:bidi w:val="0"/>
              <w:rPr>
                <w:rFonts w:hint="eastAsia"/>
                <w:color w:val="auto"/>
                <w:lang w:val="en-US" w:eastAsia="zh-CN"/>
              </w:rPr>
            </w:pPr>
            <w:r>
              <w:rPr>
                <w:rFonts w:hint="eastAsia"/>
                <w:color w:val="auto"/>
                <w:lang w:val="en-US" w:eastAsia="zh-CN"/>
              </w:rPr>
              <w:t>1.6水土流失保护措施</w:t>
            </w:r>
          </w:p>
          <w:p>
            <w:pPr>
              <w:bidi w:val="0"/>
              <w:rPr>
                <w:rFonts w:hint="default"/>
                <w:color w:val="auto"/>
                <w:lang w:val="en-US" w:eastAsia="zh-CN"/>
              </w:rPr>
            </w:pPr>
            <w:r>
              <w:rPr>
                <w:rFonts w:hint="default"/>
                <w:color w:val="auto"/>
                <w:lang w:val="en-US" w:eastAsia="zh-CN"/>
              </w:rPr>
              <w:t>（1）对项目区内的占地等合理规划，严格控制占地面积，根据地形条件，尽量按地形走向、起伏施工，减少挖填作业量</w:t>
            </w:r>
            <w:r>
              <w:rPr>
                <w:rFonts w:hint="eastAsia"/>
                <w:color w:val="auto"/>
                <w:lang w:val="en-US" w:eastAsia="zh-CN"/>
              </w:rPr>
              <w:t>，降低水土流失</w:t>
            </w:r>
            <w:r>
              <w:rPr>
                <w:rFonts w:hint="default"/>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color w:val="auto"/>
                <w:lang w:val="en-US" w:eastAsia="zh-CN"/>
              </w:rPr>
              <w:t>（2）</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eastAsia" w:eastAsia="宋体" w:cs="Times New Roman"/>
                <w:color w:val="auto"/>
                <w:sz w:val="24"/>
                <w:szCs w:val="24"/>
                <w:lang w:val="en-US" w:eastAsia="zh-CN"/>
              </w:rPr>
              <w:t>利于</w:t>
            </w:r>
            <w:r>
              <w:rPr>
                <w:rFonts w:hint="default" w:ascii="Times New Roman" w:hAnsi="Times New Roman" w:eastAsia="宋体" w:cs="Times New Roman"/>
                <w:color w:val="auto"/>
                <w:sz w:val="24"/>
                <w:szCs w:val="24"/>
                <w:lang w:val="en-US" w:eastAsia="zh-CN"/>
              </w:rPr>
              <w:t>植被的恢复和生长，防止风蚀</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现象发生。</w:t>
            </w:r>
          </w:p>
          <w:p>
            <w:pPr>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（3）施工区设置围挡，堆土周围设置截排水沟，临时堆土覆盖，降低水土流失。</w:t>
            </w:r>
          </w:p>
          <w:p>
            <w:pP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（4）</w:t>
            </w:r>
            <w:r>
              <w:rPr>
                <w:color w:val="auto"/>
                <w:lang w:val="en-US" w:eastAsia="zh-CN"/>
              </w:rPr>
              <w:t>仔细选定取土、砂砾料的地段，在保证路基稳定的前提下尽量采用低路堤。减少弃土数量，</w:t>
            </w:r>
            <w:r>
              <w:rPr>
                <w:rFonts w:hint="eastAsia"/>
                <w:color w:val="auto"/>
                <w:lang w:val="en-US" w:eastAsia="zh-CN"/>
              </w:rPr>
              <w:t>降低水土流失和土地沙化，影响周边区域环境。</w:t>
            </w:r>
          </w:p>
          <w:p>
            <w:pPr>
              <w:bidi w:val="0"/>
              <w:rPr>
                <w:rFonts w:hint="eastAsia"/>
                <w:color w:val="auto"/>
                <w:lang w:val="en-US" w:eastAsia="zh-CN"/>
              </w:rPr>
            </w:pPr>
            <w:r>
              <w:rPr>
                <w:rFonts w:hint="eastAsia" w:eastAsia="宋体" w:cs="Times New Roman"/>
                <w:color w:val="auto"/>
                <w:sz w:val="24"/>
                <w:szCs w:val="24"/>
                <w:lang w:val="en-US" w:eastAsia="zh-CN"/>
              </w:rPr>
              <w:t>（5）</w:t>
            </w:r>
            <w:r>
              <w:rPr>
                <w:rFonts w:hint="eastAsia"/>
                <w:color w:val="auto"/>
                <w:lang w:val="en-US" w:eastAsia="zh-CN"/>
              </w:rPr>
              <w:t>合理安排施工计划和作业时间，优化施工方案。工程尽量避开雨天施工，尽量减少疏松土壤的裸露时间，有效减轻施工区水土流失。</w:t>
            </w:r>
          </w:p>
          <w:p>
            <w:pPr>
              <w:rPr>
                <w:rFonts w:hint="eastAsia"/>
                <w:color w:val="auto"/>
                <w:lang w:val="en-US" w:eastAsia="zh-CN"/>
              </w:rPr>
            </w:pPr>
            <w:r>
              <w:rPr>
                <w:rFonts w:hint="eastAsia"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施工结束后，</w:t>
            </w:r>
            <w:r>
              <w:rPr>
                <w:rFonts w:hint="eastAsia" w:ascii="Times New Roman" w:hAnsi="Times New Roman" w:eastAsia="宋体" w:cs="Times New Roman"/>
                <w:color w:val="auto"/>
                <w:sz w:val="24"/>
                <w:szCs w:val="24"/>
                <w:lang w:val="en-US" w:eastAsia="zh-CN"/>
              </w:rPr>
              <w:t>临时占地</w:t>
            </w:r>
            <w:r>
              <w:rPr>
                <w:rFonts w:hint="default" w:ascii="Times New Roman" w:hAnsi="Times New Roman" w:eastAsia="宋体" w:cs="Times New Roman"/>
                <w:color w:val="auto"/>
                <w:sz w:val="24"/>
                <w:szCs w:val="24"/>
                <w:lang w:val="en-US" w:eastAsia="zh-CN"/>
              </w:rPr>
              <w:t>恢复地表原状，</w:t>
            </w:r>
            <w:r>
              <w:rPr>
                <w:rFonts w:hint="eastAsia" w:eastAsia="宋体" w:cs="Times New Roman"/>
                <w:color w:val="auto"/>
                <w:sz w:val="24"/>
                <w:szCs w:val="24"/>
                <w:lang w:val="en-US" w:eastAsia="zh-CN"/>
              </w:rPr>
              <w:t>做好</w:t>
            </w:r>
            <w:r>
              <w:rPr>
                <w:rFonts w:hint="default" w:ascii="Times New Roman" w:hAnsi="Times New Roman" w:eastAsia="宋体" w:cs="Times New Roman"/>
                <w:color w:val="auto"/>
                <w:sz w:val="24"/>
                <w:szCs w:val="24"/>
                <w:lang w:val="en-US" w:eastAsia="zh-CN"/>
              </w:rPr>
              <w:t>工完料净场地</w:t>
            </w:r>
            <w:r>
              <w:rPr>
                <w:rFonts w:hint="eastAsia" w:cs="Times New Roman"/>
                <w:color w:val="auto"/>
                <w:sz w:val="24"/>
                <w:szCs w:val="24"/>
                <w:lang w:val="en-US" w:eastAsia="zh-CN"/>
              </w:rPr>
              <w:t>清理</w:t>
            </w:r>
            <w:r>
              <w:rPr>
                <w:rFonts w:hint="default" w:ascii="Times New Roman" w:hAnsi="Times New Roman" w:eastAsia="宋体" w:cs="Times New Roman"/>
                <w:color w:val="auto"/>
                <w:sz w:val="24"/>
                <w:szCs w:val="24"/>
                <w:lang w:val="en-US" w:eastAsia="zh-CN"/>
              </w:rPr>
              <w:t>，</w:t>
            </w:r>
            <w:r>
              <w:rPr>
                <w:rFonts w:hint="eastAsia"/>
                <w:color w:val="auto"/>
                <w:lang w:val="en-US" w:eastAsia="zh-CN"/>
              </w:rPr>
              <w:t>工程弃土临时集中堆放，回填采坑，</w:t>
            </w:r>
            <w:r>
              <w:rPr>
                <w:rFonts w:hint="eastAsia" w:eastAsia="宋体" w:cs="Times New Roman"/>
                <w:color w:val="auto"/>
                <w:sz w:val="24"/>
                <w:szCs w:val="24"/>
                <w:lang w:val="en-US" w:eastAsia="zh-CN"/>
              </w:rPr>
              <w:t>减少水土流失</w:t>
            </w:r>
            <w:r>
              <w:rPr>
                <w:rFonts w:hint="default" w:ascii="Times New Roman" w:hAnsi="Times New Roman" w:eastAsia="宋体" w:cs="Times New Roman"/>
                <w:color w:val="auto"/>
                <w:sz w:val="24"/>
                <w:szCs w:val="24"/>
                <w:lang w:val="en-US" w:eastAsia="zh-CN"/>
              </w:rPr>
              <w:t>。</w:t>
            </w:r>
          </w:p>
          <w:p>
            <w:pPr>
              <w:pStyle w:val="5"/>
              <w:bidi w:val="0"/>
              <w:rPr>
                <w:rFonts w:hint="eastAsia"/>
                <w:color w:val="auto"/>
                <w:lang w:val="en-US" w:eastAsia="zh-CN"/>
              </w:rPr>
            </w:pPr>
            <w:r>
              <w:rPr>
                <w:rFonts w:hint="eastAsia"/>
                <w:color w:val="auto"/>
                <w:lang w:val="en-US" w:eastAsia="zh-CN"/>
              </w:rPr>
              <w:t>1.7土地沙化保护措施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eastAsia" w:eastAsia="宋体" w:cs="Times New Roman"/>
                <w:color w:val="auto"/>
                <w:sz w:val="24"/>
                <w:szCs w:val="24"/>
                <w:lang w:val="en-US" w:eastAsia="zh-CN"/>
              </w:rPr>
              <w:t>利于</w:t>
            </w:r>
            <w:r>
              <w:rPr>
                <w:rFonts w:hint="default" w:ascii="Times New Roman" w:hAnsi="Times New Roman" w:eastAsia="宋体" w:cs="Times New Roman"/>
                <w:color w:val="auto"/>
                <w:sz w:val="24"/>
                <w:szCs w:val="24"/>
                <w:lang w:val="en-US" w:eastAsia="zh-CN"/>
              </w:rPr>
              <w:t>植被的恢复和生长，防止风蚀</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现象发生。</w:t>
            </w:r>
          </w:p>
          <w:p>
            <w:pPr>
              <w:bidi w:val="0"/>
              <w:rPr>
                <w:rFonts w:hint="default"/>
                <w:color w:val="auto"/>
                <w:lang w:val="en-US" w:eastAsia="zh-CN"/>
              </w:rPr>
            </w:pPr>
            <w:r>
              <w:rPr>
                <w:rFonts w:hint="eastAsia"/>
                <w:color w:val="auto"/>
                <w:lang w:val="en-US" w:eastAsia="zh-CN"/>
              </w:rPr>
              <w:t>（2）生活区、工业区</w:t>
            </w:r>
            <w:r>
              <w:rPr>
                <w:rFonts w:hint="default"/>
                <w:color w:val="auto"/>
                <w:lang w:val="en-US" w:eastAsia="zh-CN"/>
              </w:rPr>
              <w:t>在较平坦的地段，</w:t>
            </w:r>
            <w:r>
              <w:rPr>
                <w:rFonts w:hint="eastAsia"/>
                <w:color w:val="auto"/>
                <w:lang w:val="en-US" w:eastAsia="zh-CN"/>
              </w:rPr>
              <w:t>如有凹凸不平应进行平整防止积水，</w:t>
            </w:r>
            <w:r>
              <w:rPr>
                <w:rFonts w:hint="default"/>
                <w:color w:val="auto"/>
                <w:lang w:val="en-US" w:eastAsia="zh-CN"/>
              </w:rPr>
              <w:t>应在地貌恢复后使项目区域与附近地表自然过渡，回填土与周围地表坡向保持一致</w:t>
            </w:r>
            <w:r>
              <w:rPr>
                <w:rFonts w:hint="eastAsia"/>
                <w:color w:val="auto"/>
                <w:lang w:val="en-US" w:eastAsia="zh-CN"/>
              </w:rPr>
              <w:t>，减少风蚀造成的土地沙化</w:t>
            </w:r>
            <w:r>
              <w:rPr>
                <w:rFonts w:hint="default"/>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lang w:val="en-US" w:eastAsia="zh-CN"/>
              </w:rPr>
              <w:t>（3）</w:t>
            </w:r>
            <w:r>
              <w:rPr>
                <w:rFonts w:hint="default" w:ascii="Times New Roman" w:hAnsi="Times New Roman" w:eastAsia="宋体" w:cs="Times New Roman"/>
                <w:color w:val="auto"/>
                <w:sz w:val="24"/>
                <w:szCs w:val="24"/>
                <w:lang w:val="en-US" w:eastAsia="zh-CN"/>
              </w:rPr>
              <w:t>道路施工时，划定施工活动范围，严格控制和管理车辆及重型机械的运行范围，所有车辆采用</w:t>
            </w:r>
            <w:r>
              <w:rPr>
                <w:rFonts w:hint="eastAsia"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字型作业法，不得并行开辟新路，以减少风蚀</w:t>
            </w:r>
            <w:r>
              <w:rPr>
                <w:rFonts w:hint="eastAsia" w:cs="Times New Roman"/>
                <w:color w:val="auto"/>
                <w:sz w:val="24"/>
                <w:szCs w:val="24"/>
                <w:lang w:val="en-US" w:eastAsia="zh-CN"/>
              </w:rPr>
              <w:t>沙化</w:t>
            </w:r>
            <w:r>
              <w:rPr>
                <w:rFonts w:hint="default" w:ascii="Times New Roman" w:hAnsi="Times New Roman" w:eastAsia="宋体" w:cs="Times New Roman"/>
                <w:color w:val="auto"/>
                <w:sz w:val="24"/>
                <w:szCs w:val="24"/>
                <w:lang w:val="en-US" w:eastAsia="zh-CN"/>
              </w:rPr>
              <w:t>活动的范围。严禁在道路两侧取弃土。</w:t>
            </w:r>
          </w:p>
          <w:p>
            <w:pPr>
              <w:pStyle w:val="5"/>
              <w:rPr>
                <w:color w:val="auto"/>
              </w:rPr>
            </w:pPr>
            <w:r>
              <w:rPr>
                <w:rFonts w:hint="eastAsia"/>
                <w:color w:val="auto"/>
                <w:lang w:val="en-US" w:eastAsia="zh-CN"/>
              </w:rPr>
              <w:t>2、</w:t>
            </w:r>
            <w:r>
              <w:rPr>
                <w:color w:val="auto"/>
              </w:rPr>
              <w:t>施工期大气</w:t>
            </w:r>
            <w:bookmarkEnd w:id="11"/>
            <w:bookmarkEnd w:id="12"/>
            <w:bookmarkEnd w:id="13"/>
            <w:bookmarkEnd w:id="14"/>
            <w:bookmarkEnd w:id="15"/>
            <w:r>
              <w:rPr>
                <w:rFonts w:hint="eastAsia"/>
                <w:color w:val="auto"/>
              </w:rPr>
              <w:t>环境保护措施</w:t>
            </w:r>
          </w:p>
          <w:p>
            <w:pPr>
              <w:pStyle w:val="5"/>
              <w:rPr>
                <w:color w:val="auto"/>
              </w:rPr>
            </w:pPr>
            <w:r>
              <w:rPr>
                <w:rFonts w:hint="eastAsia"/>
                <w:color w:val="auto"/>
                <w:lang w:val="en-US" w:eastAsia="zh-CN"/>
              </w:rPr>
              <w:t>2.</w:t>
            </w:r>
            <w:r>
              <w:rPr>
                <w:rFonts w:hint="eastAsia"/>
                <w:color w:val="auto"/>
              </w:rPr>
              <w:t>1</w:t>
            </w:r>
            <w:r>
              <w:rPr>
                <w:color w:val="auto"/>
              </w:rPr>
              <w:t>施工期扬尘对大气环境影响</w:t>
            </w:r>
          </w:p>
          <w:p>
            <w:pPr>
              <w:autoSpaceDE w:val="0"/>
              <w:autoSpaceDN w:val="0"/>
              <w:ind w:firstLine="480"/>
              <w:rPr>
                <w:color w:val="auto"/>
              </w:rPr>
            </w:pPr>
            <w:r>
              <w:rPr>
                <w:color w:val="auto"/>
              </w:rPr>
              <w:t>本项目施工期扬尘主要来自于土方的挖掘、堆放、回填和清运施工现场及直接影响区的尘土。施工扬尘的产生及影响程度跟施工季节、施工管理和风力等气候因素有一定关系，如遇干旱大风扬尘影响则较为严重。根据类比资料，在一般气象条件下，平均风速2.6m/s的施工扬尘污染有如下特点：建筑工地内TSP浓度为上风向对照点的1.5-2.3倍；在建筑工地扬尘点下风向150m处，TSP平均浓度可达0.49mg/Nm</w:t>
            </w:r>
            <w:r>
              <w:rPr>
                <w:color w:val="auto"/>
                <w:vertAlign w:val="superscript"/>
              </w:rPr>
              <w:t>3</w:t>
            </w:r>
            <w:r>
              <w:rPr>
                <w:color w:val="auto"/>
              </w:rPr>
              <w:t>左右，相当大气质量标准1.6倍。据有关研究，车辆行驶产生的扬尘占总扬尘的60%以上。扬尘的产生量及扬尘污染程度与车辆运输方式、路面状况、天气条件等因素关系密切，影响可达150-300m。如果在施工期间对车辆行驶的路面实施洒水抑尘，每天洒水4-5次，可使扬尘量减少70%左右，扬尘造成的TSP污染距离可缩小到20-50m范围。</w:t>
            </w:r>
          </w:p>
          <w:p>
            <w:pPr>
              <w:autoSpaceDE w:val="0"/>
              <w:autoSpaceDN w:val="0"/>
              <w:ind w:firstLine="480"/>
              <w:rPr>
                <w:color w:val="auto"/>
              </w:rPr>
            </w:pPr>
            <w:r>
              <w:rPr>
                <w:color w:val="auto"/>
              </w:rPr>
              <w:t>施工扬尘的另一种情况是开挖土方的露天堆放，这类扬尘的主要特点是受作业时风速的影响，因此，避免在大风天气进行土地开挖和回填作业，减少开挖土方的露天堆放时间尽量随挖随填是抑制这类扬尘的有效手段。</w:t>
            </w:r>
          </w:p>
          <w:p>
            <w:pPr>
              <w:autoSpaceDE w:val="0"/>
              <w:autoSpaceDN w:val="0"/>
              <w:ind w:firstLine="480"/>
              <w:rPr>
                <w:color w:val="auto"/>
              </w:rPr>
            </w:pPr>
            <w:r>
              <w:rPr>
                <w:color w:val="auto"/>
              </w:rPr>
              <w:t>另外，由于道路的扬尘量与车辆行驶对路面扰动有关与车辆的速度有关，速度愈快对路面的扰动越大，其扬尘量势必愈大</w:t>
            </w:r>
            <w:r>
              <w:rPr>
                <w:rFonts w:hint="eastAsia"/>
                <w:color w:val="auto"/>
              </w:rPr>
              <w:t>。</w:t>
            </w:r>
          </w:p>
          <w:p>
            <w:pPr>
              <w:autoSpaceDE w:val="0"/>
              <w:autoSpaceDN w:val="0"/>
              <w:ind w:firstLine="480"/>
              <w:rPr>
                <w:color w:val="auto"/>
              </w:rPr>
            </w:pPr>
            <w:r>
              <w:rPr>
                <w:color w:val="auto"/>
              </w:rPr>
              <w:t>防治措施：</w:t>
            </w:r>
          </w:p>
          <w:p>
            <w:pPr>
              <w:widowControl/>
              <w:ind w:firstLine="480"/>
              <w:rPr>
                <w:color w:val="auto"/>
              </w:rPr>
            </w:pPr>
            <w:r>
              <w:rPr>
                <w:rFonts w:hint="eastAsia"/>
                <w:color w:val="auto"/>
              </w:rPr>
              <w:t>（1）</w:t>
            </w:r>
            <w:r>
              <w:rPr>
                <w:color w:val="auto"/>
              </w:rPr>
              <w:t>施工场地每天适时洒水，防止浮尘产生，在大风日禁止作业。</w:t>
            </w:r>
          </w:p>
          <w:p>
            <w:pPr>
              <w:widowControl/>
              <w:ind w:firstLine="480"/>
              <w:rPr>
                <w:color w:val="auto"/>
              </w:rPr>
            </w:pPr>
            <w:r>
              <w:rPr>
                <w:rFonts w:hint="eastAsia"/>
                <w:color w:val="auto"/>
              </w:rPr>
              <w:t>（2）</w:t>
            </w:r>
            <w:r>
              <w:rPr>
                <w:color w:val="auto"/>
              </w:rPr>
              <w:t>施工场地内运输通道及时清扫、以减少汽车</w:t>
            </w:r>
            <w:r>
              <w:rPr>
                <w:rFonts w:hint="eastAsia"/>
                <w:color w:val="auto"/>
                <w:lang w:eastAsia="zh-CN"/>
              </w:rPr>
              <w:t>行驶</w:t>
            </w:r>
            <w:r>
              <w:rPr>
                <w:color w:val="auto"/>
              </w:rPr>
              <w:t>扬尘。</w:t>
            </w:r>
          </w:p>
          <w:p>
            <w:pPr>
              <w:ind w:firstLine="480"/>
              <w:rPr>
                <w:color w:val="auto"/>
              </w:rPr>
            </w:pPr>
            <w:r>
              <w:rPr>
                <w:rFonts w:hint="eastAsia"/>
                <w:color w:val="auto"/>
              </w:rPr>
              <w:t>（3）</w:t>
            </w:r>
            <w:r>
              <w:rPr>
                <w:color w:val="auto"/>
              </w:rPr>
              <w:t>运输车辆进入施工场地应低速行驶，减少产尘量。</w:t>
            </w:r>
          </w:p>
          <w:p>
            <w:pPr>
              <w:ind w:firstLine="480"/>
              <w:rPr>
                <w:color w:val="auto"/>
              </w:rPr>
            </w:pPr>
            <w:r>
              <w:rPr>
                <w:rFonts w:hint="eastAsia"/>
                <w:color w:val="auto"/>
              </w:rPr>
              <w:t>（4）</w:t>
            </w:r>
            <w:r>
              <w:rPr>
                <w:color w:val="auto"/>
              </w:rPr>
              <w:t>所有来往施工场地的扬尘物料均应帆布覆盖。</w:t>
            </w:r>
          </w:p>
          <w:p>
            <w:pPr>
              <w:ind w:firstLine="480"/>
              <w:rPr>
                <w:color w:val="auto"/>
              </w:rPr>
            </w:pPr>
            <w:r>
              <w:rPr>
                <w:color w:val="auto"/>
              </w:rPr>
              <w:t>只要采取以上防治措施，可以有效</w:t>
            </w:r>
            <w:r>
              <w:rPr>
                <w:rFonts w:hint="eastAsia"/>
                <w:color w:val="auto"/>
                <w:lang w:eastAsia="zh-CN"/>
              </w:rPr>
              <w:t>地</w:t>
            </w:r>
            <w:r>
              <w:rPr>
                <w:color w:val="auto"/>
              </w:rPr>
              <w:t>减轻扬尘对环境的影响。</w:t>
            </w:r>
          </w:p>
          <w:p>
            <w:pPr>
              <w:pStyle w:val="5"/>
              <w:rPr>
                <w:color w:val="auto"/>
              </w:rPr>
            </w:pPr>
            <w:r>
              <w:rPr>
                <w:rFonts w:hint="eastAsia"/>
                <w:color w:val="auto"/>
                <w:lang w:val="en-US" w:eastAsia="zh-CN"/>
              </w:rPr>
              <w:t>2</w:t>
            </w:r>
            <w:r>
              <w:rPr>
                <w:rFonts w:hint="eastAsia"/>
                <w:color w:val="auto"/>
              </w:rPr>
              <w:t>.2</w:t>
            </w:r>
            <w:r>
              <w:rPr>
                <w:color w:val="auto"/>
              </w:rPr>
              <w:t>车辆尾气影响</w:t>
            </w:r>
          </w:p>
          <w:p>
            <w:pPr>
              <w:ind w:firstLine="480"/>
              <w:rPr>
                <w:color w:val="auto"/>
              </w:rPr>
            </w:pPr>
            <w:r>
              <w:rPr>
                <w:color w:val="auto"/>
              </w:rPr>
              <w:t>施工机械废气包括：各种燃油机械的废气排放，运输车辆产生的尾气等。燃油机械和汽车尾气中的污染物主要有CO、NOx及HC等。施工机械所排放的废气在空间上和时间上具有较集中的特点，在局部的范围内污染物的浓度较高。在施工现场，会有如挖掘机、载重卡车等施工机械大量进入。</w:t>
            </w:r>
          </w:p>
          <w:p>
            <w:pPr>
              <w:ind w:firstLine="480"/>
              <w:rPr>
                <w:color w:val="auto"/>
              </w:rPr>
            </w:pPr>
            <w:r>
              <w:rPr>
                <w:color w:val="auto"/>
              </w:rPr>
              <w:t>据</w:t>
            </w:r>
            <w:r>
              <w:rPr>
                <w:rFonts w:hint="eastAsia"/>
                <w:color w:val="auto"/>
                <w:lang w:eastAsia="zh-CN"/>
              </w:rPr>
              <w:t>交通运输部</w:t>
            </w:r>
            <w:r>
              <w:rPr>
                <w:color w:val="auto"/>
              </w:rPr>
              <w:t>公路研究所的测算，以载重卡车为例</w:t>
            </w:r>
            <w:r>
              <w:rPr>
                <w:rFonts w:hint="eastAsia"/>
                <w:color w:val="auto"/>
              </w:rPr>
              <w:t>，</w:t>
            </w:r>
            <w:r>
              <w:rPr>
                <w:color w:val="auto"/>
              </w:rPr>
              <w:t>测得每辆卡车的尾气中含CO37.23g/km·辆，CnHm15.98g/km·辆，NO</w:t>
            </w:r>
            <w:r>
              <w:rPr>
                <w:color w:val="auto"/>
                <w:vertAlign w:val="subscript"/>
              </w:rPr>
              <w:t>X</w:t>
            </w:r>
            <w:r>
              <w:rPr>
                <w:color w:val="auto"/>
              </w:rPr>
              <w:t>16.83g/km·辆。这些施工机械所排放的废气以无组织面源的形式排放，会对施工区大气环境造成不利影响。据有关单位在市政施工现场的测试结果表明：氮氧化物（NOx）的浓度可达150μg/m</w:t>
            </w:r>
            <w:r>
              <w:rPr>
                <w:rFonts w:hint="eastAsia"/>
                <w:color w:val="auto"/>
                <w:vertAlign w:val="superscript"/>
              </w:rPr>
              <w:t>3</w:t>
            </w:r>
            <w:r>
              <w:rPr>
                <w:color w:val="auto"/>
              </w:rPr>
              <w:t>，其影响范围在下风向200m以内的范围。但施工结束后，废气影响也随之消失，不会造成长期的影响。</w:t>
            </w:r>
          </w:p>
          <w:p>
            <w:pPr>
              <w:ind w:firstLine="480"/>
              <w:outlineLvl w:val="1"/>
              <w:rPr>
                <w:color w:val="auto"/>
              </w:rPr>
            </w:pPr>
            <w:r>
              <w:rPr>
                <w:color w:val="auto"/>
              </w:rPr>
              <w:t>本项目周边施工期产生的扬尘、燃油机械的废气排放以及运输车辆产生的尾气排放量较小，时间短，对周边环境影响很小。</w:t>
            </w:r>
            <w:bookmarkStart w:id="16" w:name="_Toc168121381"/>
            <w:bookmarkStart w:id="17" w:name="_Toc168312906"/>
            <w:bookmarkStart w:id="18" w:name="_Toc167859202"/>
            <w:bookmarkStart w:id="19" w:name="_Toc168121573"/>
            <w:bookmarkStart w:id="20" w:name="_Toc156819106"/>
          </w:p>
          <w:p>
            <w:pPr>
              <w:pStyle w:val="5"/>
              <w:rPr>
                <w:color w:val="auto"/>
              </w:rPr>
            </w:pPr>
            <w:r>
              <w:rPr>
                <w:rFonts w:hint="eastAsia"/>
                <w:color w:val="auto"/>
                <w:lang w:val="en-US" w:eastAsia="zh-CN"/>
              </w:rPr>
              <w:t>3</w:t>
            </w:r>
            <w:r>
              <w:rPr>
                <w:color w:val="auto"/>
              </w:rPr>
              <w:t>、施工期水</w:t>
            </w:r>
            <w:bookmarkEnd w:id="16"/>
            <w:bookmarkEnd w:id="17"/>
            <w:bookmarkEnd w:id="18"/>
            <w:bookmarkEnd w:id="19"/>
            <w:bookmarkEnd w:id="20"/>
            <w:r>
              <w:rPr>
                <w:rFonts w:hint="eastAsia"/>
                <w:color w:val="auto"/>
              </w:rPr>
              <w:t>环境保护措施</w:t>
            </w:r>
          </w:p>
          <w:p>
            <w:pPr>
              <w:ind w:firstLine="480"/>
              <w:rPr>
                <w:color w:val="auto"/>
              </w:rPr>
            </w:pPr>
            <w:r>
              <w:rPr>
                <w:color w:val="auto"/>
              </w:rPr>
              <w:t>施工期废水主要来自于建筑工人的生活污水、混凝土养护废水。</w:t>
            </w:r>
          </w:p>
          <w:p>
            <w:pPr>
              <w:adjustRightInd w:val="0"/>
              <w:snapToGrid w:val="0"/>
              <w:spacing w:line="360" w:lineRule="auto"/>
              <w:ind w:firstLine="480" w:firstLineChars="200"/>
              <w:rPr>
                <w:color w:val="auto"/>
              </w:rPr>
            </w:pPr>
            <w:r>
              <w:rPr>
                <w:color w:val="auto"/>
              </w:rPr>
              <w:t>根据施工期安排，预计施工人员最多时每天可达</w:t>
            </w:r>
            <w:r>
              <w:rPr>
                <w:rFonts w:hint="eastAsia"/>
                <w:color w:val="auto"/>
                <w:lang w:val="en-US" w:eastAsia="zh-CN"/>
              </w:rPr>
              <w:t>30</w:t>
            </w:r>
            <w:r>
              <w:rPr>
                <w:color w:val="auto"/>
              </w:rPr>
              <w:t>人，</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color w:val="auto"/>
              </w:rPr>
              <w:t>。</w:t>
            </w:r>
          </w:p>
          <w:p>
            <w:pPr>
              <w:ind w:firstLine="480"/>
              <w:rPr>
                <w:color w:val="auto"/>
              </w:rPr>
            </w:pPr>
            <w:r>
              <w:rPr>
                <w:rFonts w:hint="eastAsia"/>
                <w:color w:val="auto"/>
              </w:rPr>
              <w:t>施工废水产生量较少，</w:t>
            </w:r>
            <w:r>
              <w:rPr>
                <w:color w:val="auto"/>
              </w:rPr>
              <w:t>生产废水中的主要成分是SS</w:t>
            </w:r>
            <w:r>
              <w:rPr>
                <w:rFonts w:hint="eastAsia"/>
                <w:color w:val="auto"/>
              </w:rPr>
              <w:t>，在项目区内设置临时沉</w:t>
            </w:r>
            <w:r>
              <w:rPr>
                <w:rFonts w:hint="eastAsia"/>
                <w:color w:val="auto"/>
                <w:lang w:eastAsia="zh-CN"/>
              </w:rPr>
              <w:t>沙</w:t>
            </w:r>
            <w:r>
              <w:rPr>
                <w:rFonts w:hint="eastAsia"/>
                <w:color w:val="auto"/>
              </w:rPr>
              <w:t>池，集中收集沉淀后用于项目区洒水降尘。</w:t>
            </w:r>
          </w:p>
          <w:p>
            <w:pPr>
              <w:pStyle w:val="5"/>
              <w:rPr>
                <w:color w:val="auto"/>
              </w:rPr>
            </w:pPr>
            <w:r>
              <w:rPr>
                <w:rFonts w:hint="eastAsia"/>
                <w:color w:val="auto"/>
                <w:lang w:val="en-US" w:eastAsia="zh-CN"/>
              </w:rPr>
              <w:t>4</w:t>
            </w:r>
            <w:r>
              <w:rPr>
                <w:color w:val="auto"/>
              </w:rPr>
              <w:t>、施工期噪声环境</w:t>
            </w:r>
            <w:r>
              <w:rPr>
                <w:rFonts w:hint="eastAsia"/>
                <w:color w:val="auto"/>
              </w:rPr>
              <w:t>保护措施</w:t>
            </w:r>
          </w:p>
          <w:p>
            <w:pPr>
              <w:ind w:firstLine="480"/>
              <w:rPr>
                <w:color w:val="auto"/>
              </w:rPr>
            </w:pPr>
            <w:r>
              <w:rPr>
                <w:color w:val="auto"/>
              </w:rPr>
              <w:t>由工程污染源分析可知，施工噪声源主要是各类高噪声的施工机械设备和物料运输的交通噪声。</w:t>
            </w:r>
          </w:p>
          <w:p>
            <w:pPr>
              <w:ind w:firstLine="480"/>
              <w:rPr>
                <w:color w:val="auto"/>
              </w:rPr>
            </w:pPr>
            <w:r>
              <w:rPr>
                <w:color w:val="auto"/>
              </w:rPr>
              <w:t>由于施工现场内设备的位置会不断变化，而且同一施工阶段不同时间设备运行的数量也有变化，因此很难准确地预测施工现场的场界噪声值。根据我们对不同施工期施工场界建筑噪声的监测结果，对照《建筑施工场界环境噪声排放标准》（GB12523</w:t>
            </w:r>
            <w:r>
              <w:rPr>
                <w:rFonts w:hint="eastAsia"/>
                <w:color w:val="auto"/>
              </w:rPr>
              <w:t>-</w:t>
            </w:r>
            <w:r>
              <w:rPr>
                <w:color w:val="auto"/>
              </w:rPr>
              <w:t>2011），平均声级都超过国家规定的建筑施工场界噪声限值</w:t>
            </w:r>
            <w:r>
              <w:rPr>
                <w:rFonts w:hint="eastAsia"/>
                <w:color w:val="auto"/>
              </w:rPr>
              <w:t>10－3</w:t>
            </w:r>
            <w:r>
              <w:rPr>
                <w:color w:val="auto"/>
              </w:rPr>
              <w:t>5dB（A）。应严格按照施工规范加以控制。该项目周围无居民区等敏感点，所以该项目在施工期采取以下有效的降噪措施，对周围环境影响</w:t>
            </w:r>
            <w:r>
              <w:rPr>
                <w:rFonts w:hint="eastAsia"/>
                <w:color w:val="auto"/>
              </w:rPr>
              <w:t>较小</w:t>
            </w:r>
            <w:r>
              <w:rPr>
                <w:color w:val="auto"/>
              </w:rPr>
              <w:t>。</w:t>
            </w:r>
          </w:p>
          <w:p>
            <w:pPr>
              <w:ind w:firstLine="480"/>
              <w:rPr>
                <w:color w:val="auto"/>
                <w:highlight w:val="none"/>
              </w:rPr>
            </w:pPr>
            <w:r>
              <w:rPr>
                <w:color w:val="auto"/>
              </w:rPr>
              <w:t>（1）合</w:t>
            </w:r>
            <w:r>
              <w:rPr>
                <w:color w:val="auto"/>
                <w:highlight w:val="none"/>
              </w:rPr>
              <w:t>理安排施工时间，应尽可能避免高噪声设备同时施工，</w:t>
            </w:r>
            <w:r>
              <w:rPr>
                <w:rFonts w:hint="eastAsia"/>
                <w:color w:val="auto"/>
                <w:highlight w:val="none"/>
                <w:lang w:val="en-US" w:eastAsia="zh-CN"/>
              </w:rPr>
              <w:t>夜间禁止施工</w:t>
            </w:r>
            <w:r>
              <w:rPr>
                <w:color w:val="auto"/>
                <w:highlight w:val="none"/>
              </w:rPr>
              <w:t>；</w:t>
            </w:r>
          </w:p>
          <w:p>
            <w:pPr>
              <w:ind w:firstLine="480"/>
              <w:rPr>
                <w:color w:val="auto"/>
                <w:highlight w:val="none"/>
              </w:rPr>
            </w:pPr>
            <w:r>
              <w:rPr>
                <w:color w:val="auto"/>
                <w:highlight w:val="none"/>
              </w:rPr>
              <w:t>（2）合理布置施工现场，</w:t>
            </w:r>
            <w:r>
              <w:rPr>
                <w:rFonts w:hint="eastAsia"/>
                <w:color w:val="auto"/>
                <w:highlight w:val="none"/>
                <w:lang w:eastAsia="zh-CN"/>
              </w:rPr>
              <w:t>应</w:t>
            </w:r>
            <w:r>
              <w:rPr>
                <w:color w:val="auto"/>
                <w:highlight w:val="none"/>
              </w:rPr>
              <w:t>避免在施工现场的同一地点安排大量的高噪声设备，造成局部声级过高。</w:t>
            </w:r>
          </w:p>
          <w:p>
            <w:pPr>
              <w:ind w:firstLine="480"/>
              <w:rPr>
                <w:color w:val="auto"/>
              </w:rPr>
            </w:pPr>
            <w:r>
              <w:rPr>
                <w:color w:val="auto"/>
              </w:rPr>
              <w:t>（3）施工设备选型时尽量采用低噪声设备，对动力机械设备定期进行维修和养护，避免因松动部件振动或消声器损坏而加大设备工作时的声级；</w:t>
            </w:r>
          </w:p>
          <w:p>
            <w:pPr>
              <w:ind w:firstLine="480"/>
              <w:rPr>
                <w:color w:val="auto"/>
              </w:rPr>
            </w:pPr>
            <w:r>
              <w:rPr>
                <w:color w:val="auto"/>
              </w:rPr>
              <w:t>（</w:t>
            </w:r>
            <w:r>
              <w:rPr>
                <w:rFonts w:hint="eastAsia"/>
                <w:color w:val="auto"/>
                <w:lang w:val="en-US" w:eastAsia="zh-CN"/>
              </w:rPr>
              <w:t>4</w:t>
            </w:r>
            <w:r>
              <w:rPr>
                <w:color w:val="auto"/>
              </w:rPr>
              <w:t>）遵守作业规定，减少碰撞</w:t>
            </w:r>
            <w:r>
              <w:rPr>
                <w:rFonts w:hint="eastAsia"/>
                <w:color w:val="auto"/>
                <w:lang w:eastAsia="zh-CN"/>
              </w:rPr>
              <w:t>噪声</w:t>
            </w:r>
            <w:r>
              <w:rPr>
                <w:color w:val="auto"/>
              </w:rPr>
              <w:t>；尽量少用哨子、喇叭、笛等指挥作业，减少人为噪声；</w:t>
            </w:r>
          </w:p>
          <w:p>
            <w:pPr>
              <w:pStyle w:val="5"/>
              <w:rPr>
                <w:color w:val="auto"/>
              </w:rPr>
            </w:pPr>
            <w:bookmarkStart w:id="21" w:name="_Toc527339557"/>
            <w:bookmarkStart w:id="22" w:name="_Toc520705159"/>
            <w:bookmarkStart w:id="23" w:name="_Toc13105922"/>
            <w:bookmarkStart w:id="24" w:name="_Toc519840850"/>
            <w:bookmarkStart w:id="25" w:name="_Toc508028298"/>
            <w:bookmarkStart w:id="26" w:name="_Toc41270224"/>
            <w:bookmarkStart w:id="27" w:name="_Toc527339390"/>
            <w:r>
              <w:rPr>
                <w:rFonts w:hint="eastAsia"/>
                <w:color w:val="auto"/>
                <w:lang w:val="en-US" w:eastAsia="zh-CN"/>
              </w:rPr>
              <w:t>5</w:t>
            </w:r>
            <w:r>
              <w:rPr>
                <w:color w:val="auto"/>
              </w:rPr>
              <w:t>、施工期固废</w:t>
            </w:r>
            <w:bookmarkEnd w:id="21"/>
            <w:bookmarkEnd w:id="22"/>
            <w:bookmarkEnd w:id="23"/>
            <w:bookmarkEnd w:id="24"/>
            <w:bookmarkEnd w:id="25"/>
            <w:bookmarkEnd w:id="26"/>
            <w:bookmarkEnd w:id="27"/>
            <w:r>
              <w:rPr>
                <w:rFonts w:hint="eastAsia"/>
                <w:color w:val="auto"/>
              </w:rPr>
              <w:t>环境保护措施</w:t>
            </w:r>
          </w:p>
          <w:p>
            <w:pPr>
              <w:ind w:firstLine="480"/>
              <w:rPr>
                <w:color w:val="auto"/>
              </w:rPr>
            </w:pPr>
            <w:r>
              <w:rPr>
                <w:color w:val="auto"/>
              </w:rPr>
              <w:t>固体废物主要来源于施工过程中产生的建筑垃圾、弃土方以及施工人员产生的生活垃圾。建筑垃圾主要为残砖、废弃</w:t>
            </w:r>
            <w:r>
              <w:rPr>
                <w:rFonts w:hint="eastAsia"/>
                <w:color w:val="auto"/>
                <w:lang w:val="en-US" w:eastAsia="zh-CN"/>
              </w:rPr>
              <w:t>土方</w:t>
            </w:r>
            <w:r>
              <w:rPr>
                <w:color w:val="auto"/>
              </w:rPr>
              <w:t>等。</w:t>
            </w:r>
          </w:p>
          <w:p>
            <w:pPr>
              <w:ind w:firstLine="480"/>
              <w:rPr>
                <w:color w:val="auto"/>
              </w:rPr>
            </w:pPr>
            <w:r>
              <w:rPr>
                <w:color w:val="auto"/>
              </w:rPr>
              <w:t>施工期间需要挖土，</w:t>
            </w:r>
            <w:r>
              <w:rPr>
                <w:rFonts w:hint="eastAsia"/>
                <w:color w:val="auto"/>
              </w:rPr>
              <w:t>开挖土应</w:t>
            </w:r>
            <w:r>
              <w:rPr>
                <w:color w:val="auto"/>
              </w:rPr>
              <w:t>堆放于施工场地内指定场所、可供该项目景观建设施工使用。</w:t>
            </w:r>
          </w:p>
          <w:p>
            <w:pPr>
              <w:ind w:firstLine="480"/>
              <w:rPr>
                <w:color w:val="auto"/>
              </w:rPr>
            </w:pPr>
            <w:r>
              <w:rPr>
                <w:color w:val="auto"/>
              </w:rPr>
              <w:t>预计在该项目建设过程中，建筑垃圾、弃土方不能被回填利用，该部分废弃建筑垃圾及土石方应暂时堆放于</w:t>
            </w:r>
            <w:r>
              <w:rPr>
                <w:rFonts w:hint="eastAsia"/>
                <w:color w:val="auto"/>
              </w:rPr>
              <w:t>矿区</w:t>
            </w:r>
            <w:r>
              <w:rPr>
                <w:color w:val="auto"/>
              </w:rPr>
              <w:t>的指定场地暂存、并采用篷布遮盖，定期外运至</w:t>
            </w:r>
            <w:r>
              <w:rPr>
                <w:rFonts w:hint="eastAsia"/>
                <w:color w:val="auto"/>
              </w:rPr>
              <w:t>住建局指定的</w:t>
            </w:r>
            <w:r>
              <w:rPr>
                <w:color w:val="auto"/>
              </w:rPr>
              <w:t>建筑废物填埋场处置。</w:t>
            </w:r>
          </w:p>
          <w:p>
            <w:pPr>
              <w:ind w:firstLine="480"/>
              <w:rPr>
                <w:color w:val="auto"/>
              </w:rPr>
            </w:pPr>
            <w:r>
              <w:rPr>
                <w:color w:val="auto"/>
              </w:rPr>
              <w:t>施工期的生活垃圾量较少，如不及时清理，在气温适宜的条件下会滋生蚊虫、产生恶臭、传播疾病。采取设置临时垃圾堆放点、即产即清</w:t>
            </w:r>
            <w:r>
              <w:rPr>
                <w:rFonts w:hint="eastAsia"/>
                <w:color w:val="auto"/>
              </w:rPr>
              <w:t>，</w:t>
            </w:r>
            <w:r>
              <w:rPr>
                <w:rFonts w:hint="eastAsia"/>
                <w:color w:val="auto"/>
                <w:lang w:eastAsia="zh-CN"/>
              </w:rPr>
              <w:t>定期</w:t>
            </w:r>
            <w:r>
              <w:rPr>
                <w:rFonts w:hint="eastAsia"/>
                <w:color w:val="auto"/>
              </w:rPr>
              <w:t>清运</w:t>
            </w:r>
            <w:r>
              <w:rPr>
                <w:color w:val="auto"/>
              </w:rPr>
              <w:t>至</w:t>
            </w:r>
            <w:r>
              <w:rPr>
                <w:rFonts w:hint="eastAsia"/>
                <w:color w:val="auto"/>
              </w:rPr>
              <w:t>生活垃圾填埋场</w:t>
            </w:r>
            <w:r>
              <w:rPr>
                <w:color w:val="auto"/>
              </w:rPr>
              <w:t>进行填埋。</w:t>
            </w:r>
          </w:p>
          <w:p>
            <w:pPr>
              <w:ind w:firstLine="48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52" w:type="dxa"/>
            <w:tcMar>
              <w:left w:w="28" w:type="dxa"/>
              <w:right w:w="28" w:type="dxa"/>
            </w:tcMar>
            <w:vAlign w:val="center"/>
          </w:tcPr>
          <w:p>
            <w:pPr>
              <w:ind w:firstLine="0" w:firstLineChars="0"/>
              <w:jc w:val="center"/>
              <w:rPr>
                <w:rFonts w:ascii="宋体" w:hAnsi="宋体" w:cs="宋体"/>
                <w:bCs/>
                <w:color w:val="auto"/>
                <w:spacing w:val="10"/>
              </w:rPr>
            </w:pPr>
            <w:r>
              <w:rPr>
                <w:rFonts w:hint="eastAsia" w:ascii="宋体" w:hAnsi="宋体" w:cs="宋体"/>
                <w:bCs/>
                <w:color w:val="auto"/>
                <w:spacing w:val="10"/>
              </w:rPr>
              <w:t>运营期生态环境保护措施</w:t>
            </w:r>
          </w:p>
        </w:tc>
        <w:tc>
          <w:tcPr>
            <w:tcW w:w="7697" w:type="dxa"/>
          </w:tcPr>
          <w:p>
            <w:pPr>
              <w:pStyle w:val="5"/>
              <w:bidi w:val="0"/>
              <w:rPr>
                <w:rFonts w:hint="eastAsia"/>
                <w:color w:val="auto"/>
              </w:rPr>
            </w:pPr>
            <w:r>
              <w:rPr>
                <w:rFonts w:hint="eastAsia"/>
                <w:color w:val="auto"/>
              </w:rPr>
              <w:t>1、</w:t>
            </w:r>
            <w:r>
              <w:rPr>
                <w:color w:val="auto"/>
              </w:rPr>
              <w:t>生态环境</w:t>
            </w:r>
            <w:r>
              <w:rPr>
                <w:rFonts w:hint="eastAsia"/>
                <w:color w:val="auto"/>
              </w:rPr>
              <w:t>保护措施</w:t>
            </w:r>
          </w:p>
          <w:p>
            <w:pPr>
              <w:adjustRightInd w:val="0"/>
              <w:snapToGrid w:val="0"/>
              <w:spacing w:line="360" w:lineRule="auto"/>
              <w:ind w:firstLine="480" w:firstLineChars="200"/>
              <w:rPr>
                <w:color w:val="auto"/>
              </w:rPr>
            </w:pPr>
            <w:r>
              <w:rPr>
                <w:color w:val="auto"/>
              </w:rPr>
              <w:t>按照</w:t>
            </w:r>
            <w:r>
              <w:rPr>
                <w:rFonts w:hint="eastAsia"/>
                <w:color w:val="auto"/>
                <w:lang w:eastAsia="zh-CN"/>
              </w:rPr>
              <w:t>“</w:t>
            </w:r>
            <w:r>
              <w:rPr>
                <w:rFonts w:hint="eastAsia"/>
                <w:color w:val="auto"/>
              </w:rPr>
              <w:t>谁破坏、谁恢复治理</w:t>
            </w:r>
            <w:r>
              <w:rPr>
                <w:rFonts w:hint="eastAsia"/>
                <w:color w:val="auto"/>
                <w:lang w:eastAsia="zh-CN"/>
              </w:rPr>
              <w:t>”“</w:t>
            </w:r>
            <w:r>
              <w:rPr>
                <w:rFonts w:hint="eastAsia"/>
                <w:color w:val="auto"/>
              </w:rPr>
              <w:t>预防为主，防治结合</w:t>
            </w:r>
            <w:r>
              <w:rPr>
                <w:rFonts w:hint="eastAsia"/>
                <w:color w:val="auto"/>
                <w:lang w:eastAsia="zh-CN"/>
              </w:rPr>
              <w:t>”“</w:t>
            </w:r>
            <w:r>
              <w:rPr>
                <w:rFonts w:hint="eastAsia"/>
                <w:color w:val="auto"/>
              </w:rPr>
              <w:t>在保护中开发，在开发中保护</w:t>
            </w:r>
            <w:r>
              <w:rPr>
                <w:rFonts w:hint="eastAsia"/>
                <w:color w:val="auto"/>
                <w:lang w:eastAsia="zh-CN"/>
              </w:rPr>
              <w:t>”“</w:t>
            </w:r>
            <w:r>
              <w:rPr>
                <w:rFonts w:hint="eastAsia"/>
                <w:color w:val="auto"/>
              </w:rPr>
              <w:t>依靠科技进步，发展循环经济，建设绿色矿山</w:t>
            </w:r>
            <w:r>
              <w:rPr>
                <w:rFonts w:hint="eastAsia"/>
                <w:color w:val="auto"/>
                <w:lang w:eastAsia="zh-CN"/>
              </w:rPr>
              <w:t>”</w:t>
            </w:r>
            <w:r>
              <w:rPr>
                <w:rFonts w:hint="eastAsia"/>
                <w:color w:val="auto"/>
              </w:rPr>
              <w:t>的</w:t>
            </w:r>
            <w:r>
              <w:rPr>
                <w:color w:val="auto"/>
              </w:rPr>
              <w:t>原则将项目区周围环境影响至最低。</w:t>
            </w:r>
          </w:p>
          <w:p>
            <w:pPr>
              <w:pStyle w:val="5"/>
              <w:bidi w:val="0"/>
              <w:rPr>
                <w:color w:val="auto"/>
              </w:rPr>
            </w:pPr>
            <w:r>
              <w:rPr>
                <w:rFonts w:hint="eastAsia"/>
                <w:color w:val="auto"/>
                <w:lang w:val="en-US" w:eastAsia="zh-CN"/>
              </w:rPr>
              <w:t>1.1工程占地</w:t>
            </w:r>
            <w:r>
              <w:rPr>
                <w:color w:val="auto"/>
              </w:rPr>
              <w:t>的划定</w:t>
            </w:r>
          </w:p>
          <w:p>
            <w:pPr>
              <w:bidi w:val="0"/>
              <w:rPr>
                <w:color w:val="auto"/>
              </w:rPr>
            </w:pPr>
            <w:r>
              <w:rPr>
                <w:color w:val="auto"/>
              </w:rPr>
              <w:t>本项目为矿山开采，应严格按照批准的开采范围作业，不可越界开采，为防止矿区发生滑坡，确保边坡的稳定性，</w:t>
            </w:r>
            <w:r>
              <w:rPr>
                <w:rFonts w:hint="eastAsia"/>
                <w:color w:val="auto"/>
              </w:rPr>
              <w:t>最终边坡角</w:t>
            </w:r>
            <w:r>
              <w:rPr>
                <w:rFonts w:hint="eastAsia"/>
                <w:color w:val="auto"/>
                <w:lang w:eastAsia="zh-CN"/>
              </w:rPr>
              <w:t>≤</w:t>
            </w:r>
            <w:r>
              <w:rPr>
                <w:rFonts w:hint="eastAsia"/>
                <w:color w:val="auto"/>
                <w:lang w:val="en-US" w:eastAsia="zh-CN"/>
              </w:rPr>
              <w:t>70°</w:t>
            </w:r>
            <w:r>
              <w:rPr>
                <w:color w:val="auto"/>
              </w:rPr>
              <w:t>。</w:t>
            </w:r>
          </w:p>
          <w:p>
            <w:pPr>
              <w:pStyle w:val="5"/>
              <w:bidi w:val="0"/>
              <w:rPr>
                <w:rFonts w:hint="eastAsia"/>
                <w:color w:val="auto"/>
                <w:lang w:val="en-US" w:eastAsia="zh-CN"/>
              </w:rPr>
            </w:pPr>
            <w:r>
              <w:rPr>
                <w:rFonts w:hint="eastAsia"/>
                <w:color w:val="auto"/>
                <w:lang w:val="en-US" w:eastAsia="zh-CN"/>
              </w:rPr>
              <w:t>1.2景观影响措施</w:t>
            </w:r>
          </w:p>
          <w:p>
            <w:pPr>
              <w:numPr>
                <w:ilvl w:val="0"/>
                <w:numId w:val="7"/>
              </w:numPr>
              <w:bidi w:val="0"/>
              <w:rPr>
                <w:rFonts w:hint="eastAsia"/>
                <w:color w:val="auto"/>
                <w:lang w:val="en-US" w:eastAsia="zh-CN"/>
              </w:rPr>
            </w:pPr>
            <w:r>
              <w:rPr>
                <w:rFonts w:hint="eastAsia"/>
                <w:color w:val="auto"/>
                <w:lang w:val="en-US" w:eastAsia="zh-CN"/>
              </w:rPr>
              <w:t>严格按照批准的开采范围作业，不可越界开采，确保边坡的稳定性，</w:t>
            </w:r>
            <w:r>
              <w:rPr>
                <w:rFonts w:hint="eastAsia"/>
                <w:color w:val="auto"/>
              </w:rPr>
              <w:t>最终边坡角</w:t>
            </w:r>
            <w:r>
              <w:rPr>
                <w:rFonts w:hint="eastAsia"/>
                <w:color w:val="auto"/>
                <w:lang w:eastAsia="zh-CN"/>
              </w:rPr>
              <w:t>≤</w:t>
            </w:r>
            <w:r>
              <w:rPr>
                <w:rFonts w:hint="eastAsia"/>
                <w:color w:val="auto"/>
                <w:lang w:val="en-US" w:eastAsia="zh-CN"/>
              </w:rPr>
              <w:t>70°，</w:t>
            </w:r>
            <w:r>
              <w:rPr>
                <w:color w:val="auto"/>
              </w:rPr>
              <w:t>根</w:t>
            </w:r>
            <w:r>
              <w:rPr>
                <w:rFonts w:hint="eastAsia"/>
                <w:color w:val="auto"/>
              </w:rPr>
              <w:t>据</w:t>
            </w:r>
            <w:r>
              <w:rPr>
                <w:rFonts w:hint="eastAsia"/>
                <w:color w:val="auto"/>
                <w:lang w:eastAsia="zh-CN"/>
              </w:rPr>
              <w:t>“</w:t>
            </w:r>
            <w:r>
              <w:rPr>
                <w:rFonts w:hint="eastAsia"/>
                <w:color w:val="auto"/>
              </w:rPr>
              <w:t>谁开发谁保护，谁造成污染谁负责治理</w:t>
            </w:r>
            <w:r>
              <w:rPr>
                <w:rFonts w:hint="eastAsia"/>
                <w:color w:val="auto"/>
                <w:lang w:eastAsia="zh-CN"/>
              </w:rPr>
              <w:t>”</w:t>
            </w:r>
            <w:r>
              <w:rPr>
                <w:rFonts w:hint="eastAsia"/>
                <w:color w:val="auto"/>
              </w:rPr>
              <w:t>的</w:t>
            </w:r>
            <w:r>
              <w:rPr>
                <w:color w:val="auto"/>
              </w:rPr>
              <w:t>原则，建设单位要制定并实施矿山环境治理和生态恢复方案，切实履行矿产资源开发过程中的生态恢复重建等责任</w:t>
            </w:r>
            <w:r>
              <w:rPr>
                <w:rFonts w:hint="eastAsia"/>
                <w:color w:val="auto"/>
                <w:lang w:eastAsia="zh-CN"/>
              </w:rPr>
              <w:t>，</w:t>
            </w:r>
            <w:r>
              <w:rPr>
                <w:color w:val="auto"/>
              </w:rPr>
              <w:t>矿山开采闭矿后必须按照矿山安全、水土保持、地质恢复、环境保护工作的有关规定拆除地面建筑物，对受破坏的地表恢复原貌等工作</w:t>
            </w:r>
            <w:r>
              <w:rPr>
                <w:rFonts w:hint="eastAsia"/>
                <w:color w:val="auto"/>
                <w:lang w:eastAsia="zh-CN"/>
              </w:rPr>
              <w:t>，使之与周围景观相协调</w:t>
            </w:r>
            <w:r>
              <w:rPr>
                <w:rFonts w:hint="eastAsia"/>
                <w:color w:val="auto"/>
                <w:lang w:val="en-US" w:eastAsia="zh-CN"/>
              </w:rPr>
              <w:t>。</w:t>
            </w:r>
          </w:p>
          <w:p>
            <w:pPr>
              <w:numPr>
                <w:ilvl w:val="0"/>
                <w:numId w:val="7"/>
              </w:numPr>
              <w:bidi w:val="0"/>
              <w:rPr>
                <w:rFonts w:hint="eastAsia"/>
                <w:color w:val="auto"/>
                <w:lang w:val="en-US" w:eastAsia="zh-CN"/>
              </w:rPr>
            </w:pPr>
            <w:r>
              <w:rPr>
                <w:rFonts w:hint="eastAsia"/>
                <w:color w:val="auto"/>
              </w:rPr>
              <w:t>开采境界外修建截水沟，将地表水导流至开采境界外，防止地表水流入采场，影响采场生产和边坡稳定</w:t>
            </w:r>
            <w:r>
              <w:rPr>
                <w:rFonts w:hint="eastAsia"/>
                <w:color w:val="auto"/>
                <w:lang w:eastAsia="zh-CN"/>
              </w:rPr>
              <w:t>，减少生态景观的影响。</w:t>
            </w:r>
          </w:p>
          <w:p>
            <w:pPr>
              <w:pStyle w:val="5"/>
              <w:bidi w:val="0"/>
              <w:rPr>
                <w:rFonts w:hint="eastAsia"/>
                <w:color w:val="auto"/>
                <w:lang w:val="en-US" w:eastAsia="zh-CN"/>
              </w:rPr>
            </w:pPr>
            <w:r>
              <w:rPr>
                <w:rFonts w:hint="eastAsia"/>
                <w:color w:val="auto"/>
                <w:lang w:val="en-US" w:eastAsia="zh-CN"/>
              </w:rPr>
              <w:t>1.2土壤环境的保护措施</w:t>
            </w:r>
          </w:p>
          <w:p>
            <w:pPr>
              <w:numPr>
                <w:ilvl w:val="0"/>
                <w:numId w:val="8"/>
              </w:numPr>
              <w:bidi w:val="0"/>
              <w:ind w:left="-120" w:leftChars="0" w:firstLineChars="0"/>
              <w:rPr>
                <w:rFonts w:hint="eastAsia"/>
                <w:color w:val="auto"/>
                <w:lang w:val="en-US" w:eastAsia="zh-CN"/>
              </w:rPr>
            </w:pPr>
            <w:r>
              <w:rPr>
                <w:rFonts w:hint="eastAsia"/>
                <w:color w:val="auto"/>
              </w:rPr>
              <w:t>严格按设计的开采境界采矿，合理控制破坏土地范围，</w:t>
            </w:r>
            <w:r>
              <w:rPr>
                <w:rFonts w:hint="eastAsia"/>
                <w:color w:val="auto"/>
                <w:lang w:eastAsia="zh-CN"/>
              </w:rPr>
              <w:t>严禁超区域活动，造成周围环境土壤的扰动</w:t>
            </w:r>
            <w:r>
              <w:rPr>
                <w:rFonts w:hint="eastAsia"/>
                <w:color w:val="auto"/>
                <w:lang w:val="en-US" w:eastAsia="zh-CN"/>
              </w:rPr>
              <w:t>。</w:t>
            </w:r>
          </w:p>
          <w:p>
            <w:pPr>
              <w:numPr>
                <w:ilvl w:val="0"/>
                <w:numId w:val="8"/>
              </w:numPr>
              <w:bidi w:val="0"/>
              <w:ind w:left="-120" w:leftChars="0" w:firstLineChars="0"/>
              <w:rPr>
                <w:rFonts w:hint="eastAsia"/>
                <w:color w:val="auto"/>
                <w:lang w:eastAsia="zh-CN"/>
              </w:rPr>
            </w:pPr>
            <w:r>
              <w:rPr>
                <w:rFonts w:hint="eastAsia"/>
                <w:color w:val="auto"/>
                <w:lang w:eastAsia="zh-CN"/>
              </w:rPr>
              <w:t>采取分区防渗，危险废物贮存库采取重点防渗及围堰。</w:t>
            </w:r>
          </w:p>
          <w:p>
            <w:pPr>
              <w:numPr>
                <w:ilvl w:val="0"/>
                <w:numId w:val="8"/>
              </w:numPr>
              <w:bidi w:val="0"/>
              <w:ind w:left="-120" w:leftChars="0" w:firstLine="600" w:firstLineChars="0"/>
              <w:rPr>
                <w:rFonts w:hint="eastAsia"/>
                <w:color w:val="auto"/>
                <w:lang w:eastAsia="zh-CN"/>
              </w:rPr>
            </w:pPr>
            <w:r>
              <w:rPr>
                <w:rFonts w:hint="eastAsia"/>
                <w:color w:val="auto"/>
                <w:lang w:eastAsia="zh-CN"/>
              </w:rPr>
              <w:t>生活区、采矿区等产生的固废、废水等污染物按要求处理，防止二次污染，生活污水、</w:t>
            </w:r>
            <w:r>
              <w:rPr>
                <w:rFonts w:hint="eastAsia"/>
                <w:color w:val="auto"/>
                <w:lang w:val="en-US" w:eastAsia="zh-CN"/>
              </w:rPr>
              <w:t>工业</w:t>
            </w:r>
            <w:r>
              <w:rPr>
                <w:rFonts w:hint="eastAsia"/>
                <w:color w:val="auto"/>
                <w:lang w:eastAsia="zh-CN"/>
              </w:rPr>
              <w:t>废水、固废禁止直接排放，造成土壤污染。</w:t>
            </w:r>
          </w:p>
          <w:p>
            <w:pPr>
              <w:pStyle w:val="5"/>
              <w:bidi w:val="0"/>
              <w:rPr>
                <w:rFonts w:hint="eastAsia"/>
                <w:color w:val="auto"/>
                <w:lang w:val="en-US" w:eastAsia="zh-CN"/>
              </w:rPr>
            </w:pPr>
            <w:r>
              <w:rPr>
                <w:rFonts w:hint="eastAsia"/>
                <w:color w:val="auto"/>
                <w:lang w:val="en-US" w:eastAsia="zh-CN"/>
              </w:rPr>
              <w:t>1.3对植被的保护措施</w:t>
            </w:r>
          </w:p>
          <w:p>
            <w:pPr>
              <w:bidi w:val="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严格按设计的开采境界采矿，合理控制破坏土地范围，</w:t>
            </w:r>
            <w:r>
              <w:rPr>
                <w:rFonts w:hint="eastAsia"/>
                <w:color w:val="auto"/>
                <w:lang w:eastAsia="zh-CN"/>
              </w:rPr>
              <w:t>严禁超区域活动，造成周围植被的破坏</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（2）表土剥离时</w:t>
            </w:r>
            <w:r>
              <w:rPr>
                <w:rFonts w:hint="default" w:ascii="Times New Roman" w:hAnsi="Times New Roman" w:eastAsia="宋体" w:cs="Times New Roman"/>
                <w:color w:val="auto"/>
                <w:sz w:val="24"/>
                <w:szCs w:val="24"/>
                <w:lang w:val="en-US" w:eastAsia="zh-CN"/>
              </w:rPr>
              <w:t>分层堆放</w:t>
            </w:r>
            <w:r>
              <w:rPr>
                <w:rFonts w:hint="eastAsia" w:ascii="Times New Roman" w:hAnsi="Times New Roman" w:eastAsia="宋体" w:cs="Times New Roman"/>
                <w:color w:val="auto"/>
                <w:sz w:val="24"/>
                <w:szCs w:val="24"/>
                <w:lang w:val="en-US" w:eastAsia="zh-CN"/>
              </w:rPr>
              <w:t>至</w:t>
            </w:r>
            <w:r>
              <w:rPr>
                <w:color w:val="auto"/>
                <w:spacing w:val="-1"/>
              </w:rPr>
              <w:t>表土堆放场</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bidi w:val="0"/>
              <w:rPr>
                <w:rFonts w:hint="eastAsia"/>
                <w:color w:val="auto"/>
                <w:lang w:val="en-US" w:eastAsia="zh-CN"/>
              </w:rPr>
            </w:pPr>
            <w:r>
              <w:rPr>
                <w:rFonts w:hint="eastAsia"/>
                <w:color w:val="auto"/>
                <w:lang w:val="en-US" w:eastAsia="zh-CN"/>
              </w:rPr>
              <w:t>（3）对严格采场、矿区道路、废石场的粉尘治理，定期洒水降尘、覆盖等措施，降低粉尘对植被的影响。</w:t>
            </w:r>
          </w:p>
          <w:p>
            <w:pPr>
              <w:bidi w:val="0"/>
              <w:rPr>
                <w:rFonts w:hint="eastAsia"/>
                <w:color w:val="auto"/>
                <w:lang w:val="en-US" w:eastAsia="zh-CN"/>
              </w:rPr>
            </w:pPr>
            <w:r>
              <w:rPr>
                <w:rFonts w:hint="eastAsia"/>
                <w:color w:val="auto"/>
                <w:lang w:val="en-US" w:eastAsia="zh-CN"/>
              </w:rPr>
              <w:t>（4）</w:t>
            </w:r>
            <w:r>
              <w:rPr>
                <w:color w:val="auto"/>
              </w:rPr>
              <w:t>加强对工作人员的教育宣传，</w:t>
            </w:r>
            <w:r>
              <w:rPr>
                <w:rFonts w:hint="eastAsia"/>
                <w:color w:val="auto"/>
                <w:lang w:val="en-US" w:eastAsia="zh-CN"/>
              </w:rPr>
              <w:t>避免对植被的破坏，对保护植被进行移植，严禁采伐。</w:t>
            </w:r>
          </w:p>
          <w:p>
            <w:pPr>
              <w:pStyle w:val="5"/>
              <w:bidi w:val="0"/>
              <w:rPr>
                <w:rFonts w:hint="default" w:eastAsia="宋体"/>
                <w:color w:val="auto"/>
                <w:lang w:val="en-US" w:eastAsia="zh-CN"/>
              </w:rPr>
            </w:pPr>
            <w:r>
              <w:rPr>
                <w:rFonts w:hint="eastAsia"/>
                <w:color w:val="auto"/>
                <w:lang w:val="en-US" w:eastAsia="zh-CN"/>
              </w:rPr>
              <w:t>1.4对动物的保护措施</w:t>
            </w:r>
          </w:p>
          <w:p>
            <w:pPr>
              <w:adjustRightInd w:val="0"/>
              <w:snapToGrid w:val="0"/>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加强对施工人员及工作人员的教育宣传，保护野生动物，禁止猎杀野生动物</w:t>
            </w:r>
            <w:r>
              <w:rPr>
                <w:rFonts w:hint="eastAsia"/>
                <w:color w:val="auto"/>
                <w:lang w:eastAsia="zh-CN"/>
              </w:rPr>
              <w:t>。</w:t>
            </w:r>
          </w:p>
          <w:p>
            <w:pPr>
              <w:bidi w:val="0"/>
              <w:rPr>
                <w:rFonts w:hint="eastAsia"/>
                <w:color w:val="auto"/>
                <w:lang w:eastAsia="zh-CN"/>
              </w:rPr>
            </w:pPr>
            <w:r>
              <w:rPr>
                <w:rFonts w:hint="eastAsia"/>
                <w:color w:val="auto"/>
                <w:lang w:val="en-US" w:eastAsia="zh-CN"/>
              </w:rPr>
              <w:t>（2）</w:t>
            </w:r>
            <w:r>
              <w:rPr>
                <w:rFonts w:hint="eastAsia"/>
                <w:color w:val="auto"/>
                <w:lang w:eastAsia="zh-CN"/>
              </w:rPr>
              <w:t>规划矿区工作人员活动范围，设置警示牌，减少人为活动对生态的影响。</w:t>
            </w:r>
          </w:p>
          <w:p>
            <w:pPr>
              <w:bidi w:val="0"/>
              <w:rPr>
                <w:rFonts w:hint="eastAsia"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矿区道路合理选线，行车路线尽可能避让野生动物觅食地；运输车辆降低车速禁止鸣笛，减少对野生动物的惊吓。</w:t>
            </w:r>
          </w:p>
          <w:p>
            <w:pPr>
              <w:pStyle w:val="5"/>
              <w:bidi w:val="0"/>
              <w:rPr>
                <w:rFonts w:hint="eastAsia"/>
                <w:color w:val="auto"/>
                <w:lang w:val="en-US" w:eastAsia="zh-CN"/>
              </w:rPr>
            </w:pPr>
            <w:r>
              <w:rPr>
                <w:rFonts w:hint="eastAsia"/>
                <w:color w:val="auto"/>
                <w:lang w:val="en-US" w:eastAsia="zh-CN"/>
              </w:rPr>
              <w:t>1.5</w:t>
            </w:r>
            <w:r>
              <w:rPr>
                <w:color w:val="auto"/>
              </w:rPr>
              <w:t>水土保持措施</w:t>
            </w:r>
          </w:p>
          <w:p>
            <w:pPr>
              <w:ind w:firstLine="480"/>
              <w:rPr>
                <w:color w:val="auto"/>
              </w:rPr>
            </w:pPr>
            <w:r>
              <w:rPr>
                <w:rFonts w:hint="eastAsia"/>
                <w:color w:val="auto"/>
              </w:rPr>
              <w:t>矿区</w:t>
            </w:r>
            <w:r>
              <w:rPr>
                <w:color w:val="auto"/>
              </w:rPr>
              <w:t>服务期结束以后，彻底清理迹地废料，将</w:t>
            </w:r>
            <w:r>
              <w:rPr>
                <w:rFonts w:hint="eastAsia"/>
                <w:color w:val="auto"/>
              </w:rPr>
              <w:t>废石</w:t>
            </w:r>
            <w:r>
              <w:rPr>
                <w:color w:val="auto"/>
              </w:rPr>
              <w:t>回填于</w:t>
            </w:r>
            <w:r>
              <w:rPr>
                <w:rFonts w:hint="eastAsia"/>
                <w:color w:val="auto"/>
              </w:rPr>
              <w:t>矿坑中</w:t>
            </w:r>
            <w:r>
              <w:rPr>
                <w:color w:val="auto"/>
              </w:rPr>
              <w:t>，同时对房屋</w:t>
            </w:r>
            <w:r>
              <w:rPr>
                <w:rFonts w:hint="eastAsia"/>
                <w:color w:val="auto"/>
              </w:rPr>
              <w:t>进行</w:t>
            </w:r>
            <w:r>
              <w:rPr>
                <w:color w:val="auto"/>
              </w:rPr>
              <w:t>拆除，将各种设备清运，对压占的</w:t>
            </w:r>
            <w:r>
              <w:rPr>
                <w:rFonts w:hint="eastAsia"/>
                <w:color w:val="auto"/>
              </w:rPr>
              <w:t>土</w:t>
            </w:r>
            <w:r>
              <w:rPr>
                <w:color w:val="auto"/>
              </w:rPr>
              <w:t>地采取平整措施。同时按照水土保持设施建设应遵循与主体工程同时设计、同时施工、同时投入的原则。应严格执行水土保持措施，加强建设管理，把植被破坏减少到最低程度，工作面结束后，可以进行</w:t>
            </w:r>
            <w:r>
              <w:rPr>
                <w:rFonts w:hint="eastAsia"/>
                <w:color w:val="auto"/>
              </w:rPr>
              <w:t>植被</w:t>
            </w:r>
            <w:r>
              <w:rPr>
                <w:color w:val="auto"/>
              </w:rPr>
              <w:t>恢复的地方应尽量进行植被恢复和修复工作，尽可能减少水土流失和土壤侵蚀。项目建设施工时还应避开雨期，减少水土流失现象。</w:t>
            </w:r>
          </w:p>
          <w:p>
            <w:pPr>
              <w:ind w:firstLine="480"/>
              <w:rPr>
                <w:color w:val="auto"/>
              </w:rPr>
            </w:pPr>
            <w:r>
              <w:rPr>
                <w:color w:val="auto"/>
              </w:rPr>
              <w:t>（1）</w:t>
            </w:r>
            <w:r>
              <w:rPr>
                <w:color w:val="auto"/>
                <w:spacing w:val="-6"/>
              </w:rPr>
              <w:t>严格在规定范围内进行基础设施建设和开采，禁止随意扩大建设和开采区域。</w:t>
            </w:r>
          </w:p>
          <w:p>
            <w:pPr>
              <w:ind w:firstLine="480"/>
              <w:rPr>
                <w:color w:val="auto"/>
              </w:rPr>
            </w:pPr>
            <w:r>
              <w:rPr>
                <w:color w:val="auto"/>
              </w:rPr>
              <w:t>（2）加强运矿道路维护，严格控制道路宽度，严格按照规定线路行驶，避免因碾压失稳路缘，造成水土流失。</w:t>
            </w:r>
          </w:p>
          <w:p>
            <w:pPr>
              <w:ind w:firstLine="480"/>
              <w:rPr>
                <w:color w:val="auto"/>
              </w:rPr>
            </w:pPr>
            <w:r>
              <w:rPr>
                <w:color w:val="auto"/>
              </w:rPr>
              <w:t>（3）在矿区开采前应首先划定开采边界，对矿区范围采用铁丝围栏围挡，在划定的开采范围进行稳定边坡开采，但在开采过程中不可避免会形成陡坡，陡坡易造成小范围的坍塌和水土流失，建设单位应对已开采时形成的陡坡采取</w:t>
            </w:r>
            <w:r>
              <w:rPr>
                <w:rFonts w:hint="eastAsia"/>
                <w:color w:val="auto"/>
                <w:lang w:eastAsia="zh-CN"/>
              </w:rPr>
              <w:t>稳固</w:t>
            </w:r>
            <w:r>
              <w:rPr>
                <w:color w:val="auto"/>
              </w:rPr>
              <w:t>工程措施</w:t>
            </w:r>
            <w:r>
              <w:rPr>
                <w:rFonts w:hint="eastAsia"/>
                <w:color w:val="auto"/>
                <w:lang w:eastAsia="zh-CN"/>
              </w:rPr>
              <w:t>，</w:t>
            </w:r>
            <w:r>
              <w:rPr>
                <w:rFonts w:hint="eastAsia"/>
                <w:color w:val="auto"/>
                <w:lang w:val="en-US" w:eastAsia="zh-CN"/>
              </w:rPr>
              <w:t>采场底部修建排水盲沟与集水池，雨水及泥沙排入循环沉淀池，减少水土流失</w:t>
            </w:r>
            <w:r>
              <w:rPr>
                <w:color w:val="auto"/>
              </w:rPr>
              <w:t>。</w:t>
            </w:r>
          </w:p>
          <w:p>
            <w:pPr>
              <w:ind w:firstLine="480"/>
              <w:rPr>
                <w:rStyle w:val="63"/>
                <w:rFonts w:hint="default" w:ascii="Times New Roman" w:hAnsi="Times New Roman"/>
                <w:color w:val="auto"/>
                <w:sz w:val="24"/>
                <w:szCs w:val="24"/>
              </w:rPr>
            </w:pPr>
            <w:r>
              <w:rPr>
                <w:rStyle w:val="63"/>
                <w:rFonts w:hint="default" w:ascii="Times New Roman" w:hAnsi="Times New Roman"/>
                <w:color w:val="auto"/>
                <w:sz w:val="24"/>
                <w:szCs w:val="24"/>
              </w:rPr>
              <w:t>（4）废石场恢复：在开采服务年限到期，矿</w:t>
            </w:r>
            <w:r>
              <w:rPr>
                <w:rStyle w:val="63"/>
                <w:rFonts w:hint="default"/>
                <w:color w:val="auto"/>
                <w:sz w:val="24"/>
                <w:szCs w:val="24"/>
              </w:rPr>
              <w:t>区</w:t>
            </w:r>
            <w:r>
              <w:rPr>
                <w:rStyle w:val="63"/>
                <w:rFonts w:hint="default" w:ascii="Times New Roman" w:hAnsi="Times New Roman"/>
                <w:color w:val="auto"/>
                <w:sz w:val="24"/>
                <w:szCs w:val="24"/>
              </w:rPr>
              <w:t>停止使用后，需对废石场进行恢复，将废石进行回填采坑，增加边坡稳定性。</w:t>
            </w:r>
          </w:p>
          <w:p>
            <w:pPr>
              <w:pStyle w:val="24"/>
              <w:spacing w:after="0" w:line="360" w:lineRule="auto"/>
              <w:ind w:firstLine="480"/>
              <w:rPr>
                <w:rStyle w:val="63"/>
                <w:rFonts w:hint="default" w:ascii="Times New Roman" w:hAnsi="Times New Roman"/>
                <w:color w:val="auto"/>
                <w:sz w:val="24"/>
                <w:szCs w:val="24"/>
              </w:rPr>
            </w:pPr>
            <w:r>
              <w:rPr>
                <w:color w:val="auto"/>
              </w:rPr>
              <w:t>（5）临时措施：</w:t>
            </w:r>
            <w:r>
              <w:rPr>
                <w:rStyle w:val="63"/>
                <w:rFonts w:hint="default" w:ascii="Times New Roman" w:hAnsi="Times New Roman"/>
                <w:color w:val="auto"/>
                <w:sz w:val="24"/>
                <w:szCs w:val="24"/>
              </w:rPr>
              <w:t>要求在采场的开采边界增设项目的安全警示标志和铁丝围栏，严禁</w:t>
            </w:r>
            <w:r>
              <w:rPr>
                <w:rStyle w:val="63"/>
                <w:rFonts w:hint="eastAsia"/>
                <w:color w:val="auto"/>
                <w:sz w:val="24"/>
                <w:szCs w:val="24"/>
                <w:lang w:val="en-US" w:eastAsia="zh-CN"/>
              </w:rPr>
              <w:t>无</w:t>
            </w:r>
            <w:r>
              <w:rPr>
                <w:rStyle w:val="63"/>
                <w:rFonts w:hint="default" w:ascii="Times New Roman" w:hAnsi="Times New Roman"/>
                <w:color w:val="auto"/>
                <w:sz w:val="24"/>
                <w:szCs w:val="24"/>
              </w:rPr>
              <w:t>关人员靠近采场边缘，防止发生安全事故。</w:t>
            </w:r>
          </w:p>
          <w:p>
            <w:pPr>
              <w:bidi w:val="0"/>
              <w:rPr>
                <w:rFonts w:hint="default"/>
                <w:color w:val="auto"/>
              </w:rPr>
            </w:pPr>
            <w:r>
              <w:rPr>
                <w:rFonts w:hint="default"/>
                <w:color w:val="auto"/>
              </w:rPr>
              <w:t>（6）</w:t>
            </w:r>
            <w:r>
              <w:rPr>
                <w:rFonts w:hint="default" w:ascii="Times New Roman" w:hAnsi="Times New Roman" w:eastAsia="宋体" w:cs="Times New Roman"/>
                <w:color w:val="auto"/>
                <w:sz w:val="24"/>
                <w:szCs w:val="24"/>
                <w:highlight w:val="none"/>
              </w:rPr>
              <w:t>开采境界外</w:t>
            </w:r>
            <w:r>
              <w:rPr>
                <w:rFonts w:hint="eastAsia"/>
                <w:color w:val="auto"/>
                <w:lang w:eastAsia="zh-CN"/>
              </w:rPr>
              <w:t>设置</w:t>
            </w:r>
            <w:r>
              <w:rPr>
                <w:rFonts w:hint="eastAsia"/>
                <w:color w:val="auto"/>
                <w:lang w:val="en-US" w:eastAsia="zh-CN"/>
              </w:rPr>
              <w:t>截排水沟和集水池，将地表水导流至循环沉淀池外，防止地表水流入采场，影响采场生产和边坡稳定；采场内设集水坑，采用水泵排水，有效降低水土流失。</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委托具有水土保持资质单位编制矿区开采的水土保持方案，进行水土保持设计。</w:t>
            </w:r>
          </w:p>
          <w:p>
            <w:pPr>
              <w:pStyle w:val="5"/>
              <w:rPr>
                <w:color w:val="auto"/>
              </w:rPr>
            </w:pPr>
            <w:r>
              <w:rPr>
                <w:rFonts w:hint="eastAsia"/>
                <w:color w:val="auto"/>
                <w:lang w:val="en-US" w:eastAsia="zh-CN"/>
              </w:rPr>
              <w:t>2、</w:t>
            </w:r>
            <w:r>
              <w:rPr>
                <w:rFonts w:hint="eastAsia"/>
                <w:color w:val="auto"/>
              </w:rPr>
              <w:t>运营期大气环境保护措施</w:t>
            </w:r>
          </w:p>
          <w:p>
            <w:pPr>
              <w:pStyle w:val="5"/>
              <w:rPr>
                <w:color w:val="auto"/>
              </w:rPr>
            </w:pPr>
            <w:r>
              <w:rPr>
                <w:rFonts w:hint="eastAsia"/>
                <w:color w:val="auto"/>
                <w:lang w:val="en-US" w:eastAsia="zh-CN"/>
              </w:rPr>
              <w:t>2</w:t>
            </w:r>
            <w:r>
              <w:rPr>
                <w:rFonts w:hint="eastAsia"/>
                <w:color w:val="auto"/>
              </w:rPr>
              <w:t>.1无组织废气</w:t>
            </w:r>
          </w:p>
          <w:p>
            <w:pPr>
              <w:ind w:firstLine="480"/>
              <w:jc w:val="left"/>
              <w:rPr>
                <w:color w:val="auto"/>
              </w:rPr>
            </w:pPr>
            <w:r>
              <w:rPr>
                <w:color w:val="auto"/>
              </w:rPr>
              <w:t>本项目拟定的无组织粉尘控制措施有：</w:t>
            </w:r>
          </w:p>
          <w:p>
            <w:pPr>
              <w:ind w:firstLine="480"/>
              <w:rPr>
                <w:color w:val="auto"/>
              </w:rPr>
            </w:pPr>
            <w:r>
              <w:rPr>
                <w:color w:val="auto"/>
              </w:rPr>
              <w:t>①</w:t>
            </w:r>
            <w:r>
              <w:rPr>
                <w:rFonts w:hint="eastAsia"/>
                <w:color w:val="auto"/>
                <w:lang w:eastAsia="zh-CN"/>
              </w:rPr>
              <w:t>表土剥离</w:t>
            </w:r>
            <w:r>
              <w:rPr>
                <w:rFonts w:hint="eastAsia"/>
                <w:color w:val="auto"/>
              </w:rPr>
              <w:t>时洒水降尘，降低粉尘的产生。</w:t>
            </w:r>
          </w:p>
          <w:p>
            <w:pPr>
              <w:ind w:firstLine="480"/>
              <w:rPr>
                <w:color w:val="auto"/>
              </w:rPr>
            </w:pPr>
            <w:r>
              <w:rPr>
                <w:color w:val="auto"/>
              </w:rPr>
              <w:t>②</w:t>
            </w:r>
            <w:r>
              <w:rPr>
                <w:rFonts w:hint="eastAsia"/>
                <w:color w:val="auto"/>
              </w:rPr>
              <w:t>运输车辆加盖篷布，</w:t>
            </w:r>
            <w:r>
              <w:rPr>
                <w:color w:val="auto"/>
              </w:rPr>
              <w:t>道路采用</w:t>
            </w:r>
            <w:r>
              <w:rPr>
                <w:rFonts w:hint="eastAsia"/>
                <w:color w:val="auto"/>
                <w:lang w:eastAsia="zh-CN"/>
              </w:rPr>
              <w:t>泥结</w:t>
            </w:r>
            <w:r>
              <w:rPr>
                <w:color w:val="auto"/>
              </w:rPr>
              <w:t>碎石</w:t>
            </w:r>
            <w:r>
              <w:rPr>
                <w:rFonts w:hint="eastAsia"/>
                <w:color w:val="auto"/>
                <w:lang w:eastAsia="zh-CN"/>
              </w:rPr>
              <w:t>路面，定期</w:t>
            </w:r>
            <w:r>
              <w:rPr>
                <w:color w:val="auto"/>
              </w:rPr>
              <w:t>洒水抑尘</w:t>
            </w:r>
            <w:r>
              <w:rPr>
                <w:rFonts w:hint="eastAsia"/>
                <w:color w:val="auto"/>
              </w:rPr>
              <w:t>，减少粉尘产生量</w:t>
            </w:r>
            <w:r>
              <w:rPr>
                <w:color w:val="auto"/>
              </w:rPr>
              <w:t>；</w:t>
            </w:r>
          </w:p>
          <w:p>
            <w:pPr>
              <w:ind w:firstLine="480"/>
              <w:rPr>
                <w:color w:val="auto"/>
              </w:rPr>
            </w:pPr>
            <w:r>
              <w:rPr>
                <w:color w:val="auto"/>
              </w:rPr>
              <w:t>③</w:t>
            </w:r>
            <w:r>
              <w:rPr>
                <w:rFonts w:hint="eastAsia"/>
                <w:color w:val="auto"/>
                <w:lang w:eastAsia="zh-CN"/>
              </w:rPr>
              <w:t>废石堆场</w:t>
            </w:r>
            <w:r>
              <w:rPr>
                <w:rFonts w:hint="eastAsia"/>
                <w:color w:val="auto"/>
              </w:rPr>
              <w:t>采用</w:t>
            </w:r>
            <w:r>
              <w:rPr>
                <w:rFonts w:hint="eastAsia"/>
                <w:color w:val="auto"/>
                <w:lang w:eastAsia="zh-CN"/>
              </w:rPr>
              <w:t>分类堆放，顶部平整，</w:t>
            </w:r>
            <w:r>
              <w:rPr>
                <w:rFonts w:hint="eastAsia"/>
                <w:color w:val="auto"/>
              </w:rPr>
              <w:t>定时洒水降尘</w:t>
            </w:r>
            <w:r>
              <w:rPr>
                <w:color w:val="auto"/>
              </w:rPr>
              <w:t>；</w:t>
            </w:r>
          </w:p>
          <w:p>
            <w:pPr>
              <w:ind w:firstLine="480"/>
              <w:rPr>
                <w:color w:val="auto"/>
              </w:rPr>
            </w:pPr>
            <w:r>
              <w:rPr>
                <w:color w:val="auto"/>
              </w:rPr>
              <w:t>④</w:t>
            </w:r>
            <w:r>
              <w:rPr>
                <w:rFonts w:hint="eastAsia"/>
                <w:color w:val="auto"/>
              </w:rPr>
              <w:t>水管对锯片</w:t>
            </w:r>
            <w:r>
              <w:rPr>
                <w:rFonts w:hint="eastAsia"/>
                <w:color w:val="auto"/>
                <w:lang w:eastAsia="zh-CN"/>
              </w:rPr>
              <w:t>、钻头</w:t>
            </w:r>
            <w:r>
              <w:rPr>
                <w:rFonts w:hint="eastAsia"/>
                <w:color w:val="auto"/>
              </w:rPr>
              <w:t>进行喷淋洒水，由生产供水水管接至作业地点，采用橡胶软管随着锯石机的移动向锯切作业点喷淋洒水</w:t>
            </w:r>
            <w:r>
              <w:rPr>
                <w:rFonts w:hint="eastAsia"/>
                <w:color w:val="auto"/>
                <w:lang w:eastAsia="zh-CN"/>
              </w:rPr>
              <w:t>，采用湿法作业，有效降低粉尘产生</w:t>
            </w:r>
            <w:r>
              <w:rPr>
                <w:color w:val="auto"/>
              </w:rPr>
              <w:t>；</w:t>
            </w:r>
          </w:p>
          <w:p>
            <w:pPr>
              <w:ind w:firstLine="480"/>
              <w:rPr>
                <w:rFonts w:hint="eastAsia" w:eastAsia="宋体"/>
                <w:color w:val="auto"/>
                <w:lang w:eastAsia="zh-CN"/>
              </w:rPr>
            </w:pPr>
            <w:r>
              <w:rPr>
                <w:color w:val="auto"/>
              </w:rPr>
              <w:t>⑤</w:t>
            </w:r>
            <w:r>
              <w:rPr>
                <w:rFonts w:hint="eastAsia"/>
                <w:color w:val="auto"/>
                <w:lang w:eastAsia="zh-CN"/>
              </w:rPr>
              <w:t>燃料机械设备定期检修，防止超标排放；</w:t>
            </w:r>
          </w:p>
          <w:p>
            <w:pPr>
              <w:ind w:firstLine="480"/>
              <w:rPr>
                <w:color w:val="auto"/>
              </w:rPr>
            </w:pPr>
            <w:r>
              <w:rPr>
                <w:color w:val="auto"/>
              </w:rPr>
              <w:t>通过采取抑尘措施，本项目运营期产生的颗粒物</w:t>
            </w:r>
            <w:r>
              <w:rPr>
                <w:rFonts w:hint="eastAsia"/>
                <w:color w:val="auto"/>
              </w:rPr>
              <w:t>得到有效控制</w:t>
            </w:r>
            <w:r>
              <w:rPr>
                <w:color w:val="auto"/>
              </w:rPr>
              <w:t>，</w:t>
            </w:r>
            <w:r>
              <w:rPr>
                <w:rFonts w:hint="eastAsia"/>
                <w:color w:val="auto"/>
              </w:rPr>
              <w:t>颗粒物</w:t>
            </w:r>
            <w:r>
              <w:rPr>
                <w:color w:val="auto"/>
              </w:rPr>
              <w:t>可满足《大气污染物综合排放标准》</w:t>
            </w:r>
            <w:r>
              <w:rPr>
                <w:rFonts w:hint="eastAsia"/>
                <w:color w:val="auto"/>
              </w:rPr>
              <w:t>（</w:t>
            </w:r>
            <w:r>
              <w:rPr>
                <w:color w:val="auto"/>
              </w:rPr>
              <w:t>GB16297-1996</w:t>
            </w:r>
            <w:r>
              <w:rPr>
                <w:rFonts w:hint="eastAsia"/>
                <w:color w:val="auto"/>
              </w:rPr>
              <w:t>）</w:t>
            </w:r>
            <w:r>
              <w:rPr>
                <w:color w:val="auto"/>
              </w:rPr>
              <w:t>表2中无组织</w:t>
            </w:r>
            <w:r>
              <w:rPr>
                <w:rFonts w:hint="eastAsia"/>
                <w:color w:val="auto"/>
              </w:rPr>
              <w:t>排放限值</w:t>
            </w:r>
            <w:r>
              <w:rPr>
                <w:color w:val="auto"/>
              </w:rPr>
              <w:t>要求</w:t>
            </w:r>
            <w:r>
              <w:rPr>
                <w:rFonts w:hint="eastAsia"/>
                <w:color w:val="auto"/>
              </w:rPr>
              <w:t>，</w:t>
            </w:r>
            <w:r>
              <w:rPr>
                <w:color w:val="auto"/>
              </w:rPr>
              <w:t>对周围环境影响较小。</w:t>
            </w:r>
          </w:p>
          <w:p>
            <w:pPr>
              <w:pStyle w:val="5"/>
              <w:bidi w:val="0"/>
              <w:rPr>
                <w:rStyle w:val="84"/>
                <w:rFonts w:hint="eastAsia" w:eastAsia="宋体"/>
                <w:b/>
                <w:bCs/>
                <w:color w:val="auto"/>
                <w:lang w:val="en-US" w:eastAsia="zh-CN"/>
              </w:rPr>
            </w:pPr>
            <w:r>
              <w:rPr>
                <w:rStyle w:val="84"/>
                <w:rFonts w:hint="eastAsia"/>
                <w:b/>
                <w:bCs/>
                <w:color w:val="auto"/>
                <w:lang w:val="en-US" w:eastAsia="zh-CN"/>
              </w:rPr>
              <w:t>2</w:t>
            </w:r>
            <w:r>
              <w:rPr>
                <w:rStyle w:val="84"/>
                <w:rFonts w:hint="eastAsia" w:eastAsia="宋体"/>
                <w:b/>
                <w:bCs/>
                <w:color w:val="auto"/>
                <w:lang w:val="en-US" w:eastAsia="zh-CN"/>
              </w:rPr>
              <w:t>.</w:t>
            </w:r>
            <w:r>
              <w:rPr>
                <w:rStyle w:val="84"/>
                <w:rFonts w:hint="eastAsia"/>
                <w:b/>
                <w:bCs/>
                <w:color w:val="auto"/>
                <w:lang w:val="en-US" w:eastAsia="zh-CN"/>
              </w:rPr>
              <w:t>2</w:t>
            </w:r>
            <w:r>
              <w:rPr>
                <w:rStyle w:val="84"/>
                <w:rFonts w:hint="eastAsia" w:eastAsia="宋体"/>
                <w:b/>
                <w:bCs/>
                <w:color w:val="auto"/>
                <w:lang w:val="en-US" w:eastAsia="zh-CN"/>
              </w:rPr>
              <w:t>非正常工况</w:t>
            </w:r>
          </w:p>
          <w:p>
            <w:pPr>
              <w:rPr>
                <w:rFonts w:hint="eastAsia" w:ascii="Times New Roman" w:hAnsi="Times New Roman" w:eastAsia="宋体" w:cs="宋体"/>
                <w:color w:val="auto"/>
                <w:lang w:val="en-US" w:eastAsia="zh-CN"/>
              </w:rPr>
            </w:pPr>
            <w:r>
              <w:rPr>
                <w:rFonts w:hint="eastAsia"/>
                <w:color w:val="auto"/>
                <w:lang w:val="en-US" w:eastAsia="zh-CN"/>
              </w:rPr>
              <w:t>非</w:t>
            </w:r>
            <w:r>
              <w:rPr>
                <w:rFonts w:hint="eastAsia" w:ascii="Times New Roman" w:hAnsi="Times New Roman" w:eastAsia="宋体" w:cs="宋体"/>
                <w:color w:val="auto"/>
                <w:lang w:val="en-US" w:eastAsia="zh-CN"/>
              </w:rPr>
              <w:t>正常排放指非正常工况下的排放，一般指生产过程中开停（工、炉）、设备检修、工艺设备运转异常等非正常工况下的污染物排放，以及污染物排放控制措施达不到应有效率等情况下的排放</w:t>
            </w:r>
            <w:r>
              <w:rPr>
                <w:rFonts w:hint="eastAsia" w:cs="宋体"/>
                <w:color w:val="auto"/>
                <w:lang w:val="en-US" w:eastAsia="zh-CN"/>
              </w:rPr>
              <w:t>，本项目无废气治理设施</w:t>
            </w:r>
            <w:r>
              <w:rPr>
                <w:rFonts w:hint="eastAsia" w:ascii="Times New Roman" w:hAnsi="Times New Roman" w:eastAsia="宋体" w:cs="宋体"/>
                <w:color w:val="auto"/>
                <w:lang w:val="en-US" w:eastAsia="zh-CN"/>
              </w:rPr>
              <w:t>。</w:t>
            </w:r>
          </w:p>
          <w:p>
            <w:pPr>
              <w:pStyle w:val="5"/>
              <w:bidi w:val="0"/>
              <w:rPr>
                <w:color w:val="auto"/>
              </w:rPr>
            </w:pPr>
            <w:r>
              <w:rPr>
                <w:rStyle w:val="84"/>
                <w:rFonts w:hint="eastAsia"/>
                <w:b/>
                <w:bCs/>
                <w:color w:val="auto"/>
                <w:lang w:val="en-US" w:eastAsia="zh-CN"/>
              </w:rPr>
              <w:t>2.3</w:t>
            </w:r>
            <w:r>
              <w:rPr>
                <w:rStyle w:val="84"/>
                <w:rFonts w:hint="eastAsia"/>
                <w:b/>
                <w:bCs/>
                <w:color w:val="auto"/>
              </w:rPr>
              <w:t>废气自行监</w:t>
            </w:r>
            <w:r>
              <w:rPr>
                <w:rFonts w:hint="eastAsia"/>
                <w:color w:val="auto"/>
              </w:rPr>
              <w:t>测</w:t>
            </w:r>
          </w:p>
          <w:p>
            <w:pPr>
              <w:pStyle w:val="69"/>
              <w:adjustRightInd w:val="0"/>
              <w:spacing w:line="360" w:lineRule="auto"/>
              <w:ind w:firstLine="480"/>
              <w:rPr>
                <w:rFonts w:ascii="Times New Roman" w:hAnsi="Times New Roman" w:eastAsia="宋体" w:cs="Times New Roman"/>
                <w:bCs/>
                <w:color w:val="auto"/>
                <w:sz w:val="24"/>
                <w:szCs w:val="24"/>
              </w:rPr>
            </w:pPr>
            <w:r>
              <w:rPr>
                <w:rFonts w:ascii="Times New Roman" w:hAnsi="Times New Roman" w:eastAsia="宋体" w:cs="Times New Roman"/>
                <w:b w:val="0"/>
                <w:bCs/>
                <w:color w:val="auto"/>
                <w:sz w:val="24"/>
                <w:szCs w:val="24"/>
              </w:rPr>
              <w:t>本工程</w:t>
            </w:r>
            <w:r>
              <w:rPr>
                <w:rFonts w:hint="eastAsia" w:ascii="Times New Roman" w:hAnsi="Times New Roman" w:eastAsia="宋体" w:cs="Times New Roman"/>
                <w:b w:val="0"/>
                <w:bCs/>
                <w:color w:val="auto"/>
                <w:sz w:val="24"/>
                <w:szCs w:val="24"/>
              </w:rPr>
              <w:t>废气</w:t>
            </w:r>
            <w:r>
              <w:rPr>
                <w:rFonts w:ascii="Times New Roman" w:hAnsi="Times New Roman" w:eastAsia="宋体" w:cs="Times New Roman"/>
                <w:b w:val="0"/>
                <w:bCs/>
                <w:color w:val="auto"/>
                <w:sz w:val="24"/>
                <w:szCs w:val="24"/>
              </w:rPr>
              <w:t>污染源监测计划详见表</w:t>
            </w:r>
            <w:r>
              <w:rPr>
                <w:rFonts w:hint="eastAsia" w:ascii="Times New Roman" w:hAnsi="Times New Roman" w:eastAsia="宋体" w:cs="Times New Roman"/>
                <w:b w:val="0"/>
                <w:bCs/>
                <w:color w:val="auto"/>
                <w:sz w:val="24"/>
                <w:szCs w:val="24"/>
                <w:lang w:val="en-US" w:eastAsia="zh-CN"/>
              </w:rPr>
              <w:t>5-1</w:t>
            </w:r>
            <w:r>
              <w:rPr>
                <w:rFonts w:hint="eastAsia" w:eastAsia="宋体"/>
                <w:b w:val="0"/>
                <w:bCs/>
                <w:color w:val="auto"/>
              </w:rPr>
              <w:t>。</w:t>
            </w:r>
          </w:p>
          <w:p>
            <w:pPr>
              <w:pStyle w:val="44"/>
              <w:ind w:firstLine="398" w:firstLineChars="200"/>
              <w:jc w:val="both"/>
              <w:rPr>
                <w:b/>
                <w:bCs/>
                <w:color w:val="auto"/>
                <w:spacing w:val="-6"/>
              </w:rPr>
            </w:pPr>
            <w:r>
              <w:rPr>
                <w:rFonts w:hint="eastAsia"/>
                <w:b/>
                <w:bCs/>
                <w:color w:val="auto"/>
                <w:spacing w:val="-6"/>
              </w:rPr>
              <w:t>表</w:t>
            </w:r>
            <w:r>
              <w:rPr>
                <w:rFonts w:hint="eastAsia"/>
                <w:b/>
                <w:bCs/>
                <w:color w:val="auto"/>
                <w:spacing w:val="-6"/>
                <w:lang w:val="en-US" w:eastAsia="zh-CN"/>
              </w:rPr>
              <w:t>5-1</w:t>
            </w:r>
            <w:r>
              <w:rPr>
                <w:rFonts w:hint="eastAsia"/>
                <w:b/>
                <w:bCs/>
                <w:color w:val="auto"/>
                <w:spacing w:val="-6"/>
              </w:rPr>
              <w:t xml:space="preserve">                       </w:t>
            </w:r>
            <w:r>
              <w:rPr>
                <w:rFonts w:hint="eastAsia"/>
                <w:b/>
                <w:bCs/>
                <w:color w:val="auto"/>
                <w:spacing w:val="-6"/>
                <w:lang w:eastAsia="zh-CN"/>
              </w:rPr>
              <w:t>无组织</w:t>
            </w:r>
            <w:r>
              <w:rPr>
                <w:rFonts w:hint="eastAsia"/>
                <w:b/>
                <w:bCs/>
                <w:color w:val="auto"/>
                <w:spacing w:val="-6"/>
              </w:rPr>
              <w:t>废气监测方案</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566"/>
              <w:gridCol w:w="1343"/>
              <w:gridCol w:w="3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96" w:type="pct"/>
                  <w:vAlign w:val="center"/>
                </w:tcPr>
                <w:p>
                  <w:pPr>
                    <w:pStyle w:val="2"/>
                    <w:rPr>
                      <w:color w:val="auto"/>
                    </w:rPr>
                  </w:pPr>
                  <w:r>
                    <w:rPr>
                      <w:color w:val="auto"/>
                    </w:rPr>
                    <w:t>监测点位</w:t>
                  </w:r>
                </w:p>
              </w:tc>
              <w:tc>
                <w:tcPr>
                  <w:tcW w:w="1047" w:type="pct"/>
                  <w:vAlign w:val="center"/>
                </w:tcPr>
                <w:p>
                  <w:pPr>
                    <w:pStyle w:val="2"/>
                    <w:rPr>
                      <w:color w:val="auto"/>
                    </w:rPr>
                  </w:pPr>
                  <w:r>
                    <w:rPr>
                      <w:color w:val="auto"/>
                    </w:rPr>
                    <w:t>监测指标</w:t>
                  </w:r>
                </w:p>
              </w:tc>
              <w:tc>
                <w:tcPr>
                  <w:tcW w:w="898" w:type="pct"/>
                  <w:vAlign w:val="center"/>
                </w:tcPr>
                <w:p>
                  <w:pPr>
                    <w:pStyle w:val="2"/>
                    <w:rPr>
                      <w:color w:val="auto"/>
                    </w:rPr>
                  </w:pPr>
                  <w:r>
                    <w:rPr>
                      <w:color w:val="auto"/>
                    </w:rPr>
                    <w:t>监测频次</w:t>
                  </w:r>
                </w:p>
              </w:tc>
              <w:tc>
                <w:tcPr>
                  <w:tcW w:w="2157" w:type="pct"/>
                  <w:vAlign w:val="center"/>
                </w:tcPr>
                <w:p>
                  <w:pPr>
                    <w:pStyle w:val="2"/>
                    <w:rPr>
                      <w:color w:val="auto"/>
                    </w:rPr>
                  </w:pPr>
                  <w:r>
                    <w:rPr>
                      <w:color w:val="auto"/>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96" w:type="pct"/>
                  <w:vAlign w:val="center"/>
                </w:tcPr>
                <w:p>
                  <w:pPr>
                    <w:pStyle w:val="2"/>
                    <w:rPr>
                      <w:rFonts w:hint="eastAsia" w:eastAsia="宋体"/>
                      <w:color w:val="auto"/>
                      <w:lang w:eastAsia="zh-CN"/>
                    </w:rPr>
                  </w:pPr>
                  <w:r>
                    <w:rPr>
                      <w:rFonts w:hint="eastAsia"/>
                      <w:color w:val="auto"/>
                      <w:lang w:eastAsia="zh-CN"/>
                    </w:rPr>
                    <w:t>矿界</w:t>
                  </w:r>
                </w:p>
              </w:tc>
              <w:tc>
                <w:tcPr>
                  <w:tcW w:w="1047" w:type="pct"/>
                  <w:vAlign w:val="center"/>
                </w:tcPr>
                <w:p>
                  <w:pPr>
                    <w:pStyle w:val="2"/>
                    <w:rPr>
                      <w:rFonts w:hint="eastAsia" w:eastAsia="宋体"/>
                      <w:color w:val="auto"/>
                      <w:lang w:eastAsia="zh-CN"/>
                    </w:rPr>
                  </w:pPr>
                  <w:r>
                    <w:rPr>
                      <w:rFonts w:hint="eastAsia"/>
                      <w:color w:val="auto"/>
                      <w:lang w:eastAsia="zh-CN"/>
                    </w:rPr>
                    <w:t>颗粒物</w:t>
                  </w:r>
                </w:p>
              </w:tc>
              <w:tc>
                <w:tcPr>
                  <w:tcW w:w="898" w:type="pct"/>
                  <w:vAlign w:val="center"/>
                </w:tcPr>
                <w:p>
                  <w:pPr>
                    <w:pStyle w:val="2"/>
                    <w:rPr>
                      <w:rFonts w:hint="default" w:eastAsia="宋体"/>
                      <w:color w:val="auto"/>
                      <w:lang w:val="en-US" w:eastAsia="zh-CN"/>
                    </w:rPr>
                  </w:pPr>
                  <w:r>
                    <w:rPr>
                      <w:rFonts w:hint="eastAsia"/>
                      <w:color w:val="auto"/>
                      <w:lang w:eastAsia="zh-CN"/>
                    </w:rPr>
                    <w:t>年</w:t>
                  </w:r>
                  <w:r>
                    <w:rPr>
                      <w:rFonts w:hint="eastAsia"/>
                      <w:color w:val="auto"/>
                      <w:lang w:val="en-US" w:eastAsia="zh-CN"/>
                    </w:rPr>
                    <w:t>/次</w:t>
                  </w:r>
                </w:p>
              </w:tc>
              <w:tc>
                <w:tcPr>
                  <w:tcW w:w="2157" w:type="pct"/>
                  <w:vAlign w:val="center"/>
                </w:tcPr>
                <w:p>
                  <w:pPr>
                    <w:pStyle w:val="2"/>
                    <w:rPr>
                      <w:color w:val="auto"/>
                    </w:rPr>
                  </w:pPr>
                  <w:r>
                    <w:rPr>
                      <w:color w:val="auto"/>
                    </w:rPr>
                    <w:t>《大气污染物综合排放标准》(GB16297-1996)</w:t>
                  </w:r>
                </w:p>
              </w:tc>
            </w:tr>
          </w:tbl>
          <w:p>
            <w:pPr>
              <w:pStyle w:val="5"/>
              <w:rPr>
                <w:rFonts w:hint="eastAsia" w:eastAsia="宋体"/>
                <w:color w:val="auto"/>
                <w:lang w:eastAsia="zh-CN"/>
              </w:rPr>
            </w:pPr>
            <w:bookmarkStart w:id="28" w:name="_Toc15851"/>
            <w:bookmarkStart w:id="29" w:name="_Toc383796787"/>
            <w:bookmarkStart w:id="30" w:name="_Toc249693706"/>
            <w:bookmarkStart w:id="31" w:name="_Toc319228417"/>
            <w:bookmarkStart w:id="32" w:name="_Toc332103729"/>
            <w:bookmarkStart w:id="33" w:name="_Toc332103629"/>
            <w:bookmarkStart w:id="34" w:name="_Toc381340753"/>
            <w:bookmarkStart w:id="35" w:name="_Toc382903248"/>
            <w:r>
              <w:rPr>
                <w:rFonts w:hint="eastAsia"/>
                <w:color w:val="auto"/>
                <w:lang w:val="en-US" w:eastAsia="zh-CN"/>
              </w:rPr>
              <w:t>3</w:t>
            </w:r>
            <w:r>
              <w:rPr>
                <w:color w:val="auto"/>
              </w:rPr>
              <w:t>、</w:t>
            </w:r>
            <w:r>
              <w:rPr>
                <w:rFonts w:hint="eastAsia"/>
                <w:color w:val="auto"/>
                <w:lang w:eastAsia="zh-CN"/>
              </w:rPr>
              <w:t>废水</w:t>
            </w:r>
          </w:p>
          <w:bookmarkEnd w:id="28"/>
          <w:bookmarkEnd w:id="29"/>
          <w:bookmarkEnd w:id="30"/>
          <w:bookmarkEnd w:id="31"/>
          <w:bookmarkEnd w:id="32"/>
          <w:bookmarkEnd w:id="33"/>
          <w:bookmarkEnd w:id="34"/>
          <w:bookmarkEnd w:id="35"/>
          <w:p>
            <w:pPr>
              <w:pStyle w:val="5"/>
              <w:bidi w:val="0"/>
              <w:rPr>
                <w:rFonts w:hint="default"/>
                <w:color w:val="auto"/>
                <w:lang w:val="en-US" w:eastAsia="zh-CN"/>
              </w:rPr>
            </w:pPr>
            <w:r>
              <w:rPr>
                <w:rFonts w:hint="eastAsia"/>
                <w:color w:val="auto"/>
                <w:lang w:val="en-US" w:eastAsia="zh-CN"/>
              </w:rPr>
              <w:t>3.1工业废水</w:t>
            </w:r>
          </w:p>
          <w:p>
            <w:pPr>
              <w:ind w:firstLine="480"/>
              <w:rPr>
                <w:rFonts w:hint="eastAsia"/>
                <w:color w:val="auto"/>
              </w:rPr>
            </w:pPr>
            <w:r>
              <w:rPr>
                <w:color w:val="auto"/>
              </w:rPr>
              <w:t>项目</w:t>
            </w:r>
            <w:r>
              <w:rPr>
                <w:rFonts w:hint="eastAsia"/>
                <w:color w:val="auto"/>
              </w:rPr>
              <w:t>区</w:t>
            </w:r>
            <w:r>
              <w:rPr>
                <w:rFonts w:hint="eastAsia"/>
                <w:color w:val="auto"/>
                <w:lang w:val="en-US" w:eastAsia="zh-CN"/>
              </w:rPr>
              <w:t>采矿</w:t>
            </w:r>
            <w:r>
              <w:rPr>
                <w:rFonts w:hint="eastAsia"/>
                <w:color w:val="auto"/>
                <w:lang w:eastAsia="zh-CN"/>
              </w:rPr>
              <w:t>废水</w:t>
            </w:r>
            <w:r>
              <w:rPr>
                <w:rFonts w:hint="eastAsia"/>
                <w:color w:val="auto"/>
                <w:lang w:val="en-US" w:eastAsia="zh-CN"/>
              </w:rPr>
              <w:t>和洗车废水</w:t>
            </w:r>
            <w:r>
              <w:rPr>
                <w:rFonts w:hint="eastAsia"/>
                <w:color w:val="auto"/>
              </w:rPr>
              <w:t>排至沉淀池，经三级沉淀后利用抽水泵取上清液回用，不外排。</w:t>
            </w:r>
          </w:p>
          <w:p>
            <w:pPr>
              <w:pStyle w:val="5"/>
              <w:bidi w:val="0"/>
              <w:rPr>
                <w:rFonts w:hint="eastAsia"/>
                <w:lang w:val="en-US" w:eastAsia="zh-CN"/>
              </w:rPr>
            </w:pPr>
            <w:r>
              <w:rPr>
                <w:rFonts w:hint="eastAsia"/>
                <w:lang w:val="en-US" w:eastAsia="zh-CN"/>
              </w:rPr>
              <w:t>3.2生活污水</w:t>
            </w:r>
          </w:p>
          <w:p>
            <w:pPr>
              <w:bidi w:val="0"/>
              <w:rPr>
                <w:rFonts w:hint="default"/>
                <w:lang w:val="en-US" w:eastAsia="zh-CN"/>
              </w:rPr>
            </w:pPr>
            <w:bookmarkStart w:id="36" w:name="_Toc381340754"/>
            <w:bookmarkStart w:id="37" w:name="_Toc332103630"/>
            <w:bookmarkStart w:id="38" w:name="_Toc319228418"/>
            <w:bookmarkStart w:id="39" w:name="_Toc383796788"/>
            <w:bookmarkStart w:id="40" w:name="_Toc249693707"/>
            <w:bookmarkStart w:id="41" w:name="_Toc19122"/>
            <w:bookmarkStart w:id="42" w:name="_Toc332103730"/>
            <w:bookmarkStart w:id="43" w:name="_Toc382903249"/>
            <w:r>
              <w:rPr>
                <w:rFonts w:hint="default"/>
                <w:lang w:val="en-US" w:eastAsia="zh-CN"/>
              </w:rPr>
              <w:t>生活污水排入防渗化粪池内，定期拉运至河北巴州生态产业园污水处理厂处理。本项目周边无地表水，不会对地表水产生影响</w:t>
            </w:r>
            <w:r>
              <w:rPr>
                <w:rFonts w:hint="eastAsia"/>
                <w:lang w:val="en-US" w:eastAsia="zh-CN"/>
              </w:rPr>
              <w:t>。</w:t>
            </w:r>
          </w:p>
          <w:p>
            <w:pPr>
              <w:pStyle w:val="7"/>
              <w:keepNext w:val="0"/>
              <w:keepLines w:val="0"/>
              <w:suppressLineNumbers w:val="0"/>
              <w:bidi w:val="0"/>
              <w:spacing w:before="0" w:beforeAutospacing="0" w:after="0" w:afterAutospacing="0"/>
              <w:ind w:left="0" w:right="0"/>
              <w:rPr>
                <w:rFonts w:hint="default"/>
                <w:color w:val="auto"/>
              </w:rPr>
            </w:pPr>
            <w:r>
              <w:rPr>
                <w:rFonts w:hint="eastAsia"/>
                <w:color w:val="auto"/>
              </w:rPr>
              <w:t>表</w:t>
            </w:r>
            <w:r>
              <w:rPr>
                <w:rFonts w:hint="eastAsia"/>
                <w:color w:val="auto"/>
                <w:lang w:val="en-US" w:eastAsia="zh-CN"/>
              </w:rPr>
              <w:t>5-2</w:t>
            </w:r>
            <w:r>
              <w:rPr>
                <w:rFonts w:hint="default"/>
                <w:color w:val="auto"/>
              </w:rPr>
              <w:t xml:space="preserve">                      </w:t>
            </w:r>
            <w:r>
              <w:rPr>
                <w:rFonts w:hint="eastAsia"/>
                <w:color w:val="auto"/>
              </w:rPr>
              <w:t>排放基本情况表</w:t>
            </w:r>
          </w:p>
          <w:tbl>
            <w:tblPr>
              <w:tblStyle w:val="31"/>
              <w:tblW w:w="74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941"/>
              <w:gridCol w:w="1284"/>
              <w:gridCol w:w="873"/>
              <w:gridCol w:w="664"/>
              <w:gridCol w:w="655"/>
              <w:gridCol w:w="755"/>
              <w:gridCol w:w="724"/>
              <w:gridCol w:w="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排放口编号</w:t>
                  </w:r>
                </w:p>
              </w:tc>
              <w:tc>
                <w:tcPr>
                  <w:tcW w:w="1495" w:type="pct"/>
                  <w:gridSpan w:val="2"/>
                  <w:tcBorders>
                    <w:tl2br w:val="nil"/>
                    <w:tr2bl w:val="nil"/>
                  </w:tcBorders>
                  <w:noWrap w:val="0"/>
                  <w:vAlign w:val="center"/>
                </w:tcPr>
                <w:p>
                  <w:pPr>
                    <w:pStyle w:val="2"/>
                    <w:bidi w:val="0"/>
                    <w:rPr>
                      <w:rFonts w:hint="eastAsia"/>
                      <w:lang w:val="en-US" w:eastAsia="zh-CN"/>
                    </w:rPr>
                  </w:pPr>
                  <w:r>
                    <w:rPr>
                      <w:rFonts w:hint="eastAsia"/>
                      <w:lang w:val="en-US" w:eastAsia="zh-CN"/>
                    </w:rPr>
                    <w:t>地理坐标</w:t>
                  </w:r>
                </w:p>
              </w:tc>
              <w:tc>
                <w:tcPr>
                  <w:tcW w:w="586"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废水排放量</w:t>
                  </w:r>
                  <w:r>
                    <w:rPr>
                      <w:rFonts w:hint="default"/>
                      <w:lang w:val="en-US" w:eastAsia="zh-CN"/>
                    </w:rPr>
                    <w:t>m</w:t>
                  </w:r>
                  <w:r>
                    <w:rPr>
                      <w:rFonts w:hint="default"/>
                      <w:vertAlign w:val="superscript"/>
                      <w:lang w:val="en-US" w:eastAsia="zh-CN"/>
                    </w:rPr>
                    <w:t>3</w:t>
                  </w:r>
                  <w:r>
                    <w:rPr>
                      <w:rFonts w:hint="default"/>
                      <w:lang w:val="en-US" w:eastAsia="zh-CN"/>
                    </w:rPr>
                    <w:t>/a</w:t>
                  </w:r>
                </w:p>
              </w:tc>
              <w:tc>
                <w:tcPr>
                  <w:tcW w:w="446"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废水排放去向</w:t>
                  </w:r>
                </w:p>
              </w:tc>
              <w:tc>
                <w:tcPr>
                  <w:tcW w:w="440"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排放规律</w:t>
                  </w:r>
                </w:p>
              </w:tc>
              <w:tc>
                <w:tcPr>
                  <w:tcW w:w="1469" w:type="pct"/>
                  <w:gridSpan w:val="3"/>
                  <w:tcBorders>
                    <w:tl2br w:val="nil"/>
                    <w:tr2bl w:val="nil"/>
                  </w:tcBorders>
                  <w:noWrap w:val="0"/>
                  <w:vAlign w:val="center"/>
                </w:tcPr>
                <w:p>
                  <w:pPr>
                    <w:pStyle w:val="2"/>
                    <w:bidi w:val="0"/>
                    <w:rPr>
                      <w:rFonts w:hint="eastAsia"/>
                      <w:lang w:val="en-US" w:eastAsia="zh-CN"/>
                    </w:rPr>
                  </w:pPr>
                  <w:r>
                    <w:rPr>
                      <w:rFonts w:hint="eastAsia"/>
                      <w:lang w:val="en-US" w:eastAsia="zh-CN"/>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continue"/>
                  <w:tcBorders>
                    <w:tl2br w:val="nil"/>
                    <w:tr2bl w:val="nil"/>
                  </w:tcBorders>
                  <w:noWrap w:val="0"/>
                  <w:vAlign w:val="center"/>
                </w:tcPr>
                <w:p>
                  <w:pPr>
                    <w:pStyle w:val="2"/>
                    <w:bidi w:val="0"/>
                    <w:rPr>
                      <w:rFonts w:hint="eastAsia"/>
                      <w:lang w:val="en-US" w:eastAsia="zh-CN"/>
                    </w:rPr>
                  </w:pPr>
                </w:p>
              </w:tc>
              <w:tc>
                <w:tcPr>
                  <w:tcW w:w="632" w:type="pct"/>
                  <w:tcBorders>
                    <w:tl2br w:val="nil"/>
                    <w:tr2bl w:val="nil"/>
                  </w:tcBorders>
                  <w:noWrap w:val="0"/>
                  <w:vAlign w:val="center"/>
                </w:tcPr>
                <w:p>
                  <w:pPr>
                    <w:pStyle w:val="2"/>
                    <w:bidi w:val="0"/>
                    <w:rPr>
                      <w:rFonts w:hint="eastAsia"/>
                      <w:lang w:val="en-US" w:eastAsia="zh-CN"/>
                    </w:rPr>
                  </w:pPr>
                  <w:r>
                    <w:rPr>
                      <w:rFonts w:hint="eastAsia"/>
                      <w:lang w:val="en-US" w:eastAsia="zh-CN"/>
                    </w:rPr>
                    <w:t>N</w:t>
                  </w:r>
                </w:p>
              </w:tc>
              <w:tc>
                <w:tcPr>
                  <w:tcW w:w="863" w:type="pct"/>
                  <w:tcBorders>
                    <w:tl2br w:val="nil"/>
                    <w:tr2bl w:val="nil"/>
                  </w:tcBorders>
                  <w:noWrap w:val="0"/>
                  <w:vAlign w:val="center"/>
                </w:tcPr>
                <w:p>
                  <w:pPr>
                    <w:pStyle w:val="2"/>
                    <w:bidi w:val="0"/>
                    <w:rPr>
                      <w:rFonts w:hint="eastAsia"/>
                      <w:lang w:val="en-US" w:eastAsia="zh-CN"/>
                    </w:rPr>
                  </w:pPr>
                  <w:r>
                    <w:rPr>
                      <w:rFonts w:hint="eastAsia"/>
                      <w:lang w:val="en-US" w:eastAsia="zh-CN"/>
                    </w:rPr>
                    <w:t>E</w:t>
                  </w:r>
                </w:p>
              </w:tc>
              <w:tc>
                <w:tcPr>
                  <w:tcW w:w="586" w:type="pct"/>
                  <w:vMerge w:val="continue"/>
                  <w:tcBorders>
                    <w:tl2br w:val="nil"/>
                    <w:tr2bl w:val="nil"/>
                  </w:tcBorders>
                  <w:noWrap w:val="0"/>
                  <w:vAlign w:val="center"/>
                </w:tcPr>
                <w:p>
                  <w:pPr>
                    <w:pStyle w:val="2"/>
                    <w:bidi w:val="0"/>
                    <w:rPr>
                      <w:rFonts w:hint="eastAsia"/>
                      <w:lang w:val="en-US" w:eastAsia="zh-CN"/>
                    </w:rPr>
                  </w:pPr>
                </w:p>
              </w:tc>
              <w:tc>
                <w:tcPr>
                  <w:tcW w:w="446" w:type="pct"/>
                  <w:vMerge w:val="continue"/>
                  <w:tcBorders>
                    <w:tl2br w:val="nil"/>
                    <w:tr2bl w:val="nil"/>
                  </w:tcBorders>
                  <w:noWrap w:val="0"/>
                  <w:vAlign w:val="center"/>
                </w:tcPr>
                <w:p>
                  <w:pPr>
                    <w:pStyle w:val="2"/>
                    <w:bidi w:val="0"/>
                    <w:rPr>
                      <w:rFonts w:hint="eastAsia"/>
                      <w:lang w:val="en-US" w:eastAsia="zh-CN"/>
                    </w:rPr>
                  </w:pPr>
                </w:p>
              </w:tc>
              <w:tc>
                <w:tcPr>
                  <w:tcW w:w="440" w:type="pct"/>
                  <w:vMerge w:val="continue"/>
                  <w:tcBorders>
                    <w:tl2br w:val="nil"/>
                    <w:tr2bl w:val="nil"/>
                  </w:tcBorders>
                  <w:noWrap w:val="0"/>
                  <w:vAlign w:val="center"/>
                </w:tcPr>
                <w:p>
                  <w:pPr>
                    <w:pStyle w:val="2"/>
                    <w:bidi w:val="0"/>
                    <w:rPr>
                      <w:rFonts w:hint="eastAsia"/>
                      <w:lang w:val="en-US" w:eastAsia="zh-CN"/>
                    </w:rPr>
                  </w:pPr>
                </w:p>
              </w:tc>
              <w:tc>
                <w:tcPr>
                  <w:tcW w:w="507" w:type="pct"/>
                  <w:tcBorders>
                    <w:tl2br w:val="nil"/>
                    <w:tr2bl w:val="nil"/>
                  </w:tcBorders>
                  <w:noWrap w:val="0"/>
                  <w:vAlign w:val="center"/>
                </w:tcPr>
                <w:p>
                  <w:pPr>
                    <w:pStyle w:val="2"/>
                    <w:bidi w:val="0"/>
                    <w:rPr>
                      <w:rFonts w:hint="eastAsia"/>
                      <w:lang w:val="en-US" w:eastAsia="zh-CN"/>
                    </w:rPr>
                  </w:pPr>
                  <w:r>
                    <w:rPr>
                      <w:rFonts w:hint="eastAsia"/>
                      <w:lang w:val="en-US" w:eastAsia="zh-CN"/>
                    </w:rPr>
                    <w:t>名称</w:t>
                  </w:r>
                </w:p>
              </w:tc>
              <w:tc>
                <w:tcPr>
                  <w:tcW w:w="486" w:type="pct"/>
                  <w:tcBorders>
                    <w:tl2br w:val="nil"/>
                    <w:tr2bl w:val="nil"/>
                  </w:tcBorders>
                  <w:noWrap w:val="0"/>
                  <w:vAlign w:val="center"/>
                </w:tcPr>
                <w:p>
                  <w:pPr>
                    <w:pStyle w:val="2"/>
                    <w:bidi w:val="0"/>
                    <w:rPr>
                      <w:rFonts w:hint="eastAsia"/>
                      <w:lang w:val="en-US" w:eastAsia="zh-CN"/>
                    </w:rPr>
                  </w:pPr>
                  <w:r>
                    <w:rPr>
                      <w:rFonts w:hint="eastAsia"/>
                      <w:lang w:val="en-US" w:eastAsia="zh-CN"/>
                    </w:rPr>
                    <w:t>污染物</w:t>
                  </w:r>
                </w:p>
              </w:tc>
              <w:tc>
                <w:tcPr>
                  <w:tcW w:w="475" w:type="pct"/>
                  <w:tcBorders>
                    <w:tl2br w:val="nil"/>
                    <w:tr2bl w:val="nil"/>
                  </w:tcBorders>
                  <w:noWrap w:val="0"/>
                  <w:vAlign w:val="center"/>
                </w:tcPr>
                <w:p>
                  <w:pPr>
                    <w:pStyle w:val="2"/>
                    <w:bidi w:val="0"/>
                    <w:rPr>
                      <w:rFonts w:hint="eastAsia"/>
                      <w:lang w:val="en-US" w:eastAsia="zh-CN"/>
                    </w:rPr>
                  </w:pPr>
                  <w:r>
                    <w:rPr>
                      <w:rFonts w:hint="eastAsia"/>
                      <w:lang w:val="en-US" w:eastAsia="zh-CN"/>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DW001</w:t>
                  </w:r>
                </w:p>
              </w:tc>
              <w:tc>
                <w:tcPr>
                  <w:tcW w:w="632" w:type="pct"/>
                  <w:vMerge w:val="restart"/>
                  <w:tcBorders>
                    <w:tl2br w:val="nil"/>
                    <w:tr2bl w:val="nil"/>
                  </w:tcBorders>
                  <w:noWrap w:val="0"/>
                  <w:vAlign w:val="center"/>
                </w:tcPr>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113°12′40.050″</w:t>
                  </w:r>
                </w:p>
              </w:tc>
              <w:tc>
                <w:tcPr>
                  <w:tcW w:w="863" w:type="pct"/>
                  <w:vMerge w:val="restart"/>
                  <w:tcBorders>
                    <w:tl2br w:val="nil"/>
                    <w:tr2bl w:val="nil"/>
                  </w:tcBorders>
                  <w:noWrap w:val="0"/>
                  <w:vAlign w:val="center"/>
                </w:tcPr>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41°52′16.460″</w:t>
                  </w:r>
                </w:p>
              </w:tc>
              <w:tc>
                <w:tcPr>
                  <w:tcW w:w="586"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583.68</w:t>
                  </w:r>
                </w:p>
              </w:tc>
              <w:tc>
                <w:tcPr>
                  <w:tcW w:w="446"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生活污水排入污水暂存池中，定期清运至河北巴州生态产业园污水处理厂处理</w:t>
                  </w:r>
                </w:p>
              </w:tc>
              <w:tc>
                <w:tcPr>
                  <w:tcW w:w="440" w:type="pct"/>
                  <w:vMerge w:val="restart"/>
                  <w:tcBorders>
                    <w:tl2br w:val="nil"/>
                    <w:tr2bl w:val="nil"/>
                  </w:tcBorders>
                  <w:noWrap w:val="0"/>
                  <w:vAlign w:val="center"/>
                </w:tcPr>
                <w:p>
                  <w:pPr>
                    <w:pStyle w:val="2"/>
                    <w:bidi w:val="0"/>
                    <w:rPr>
                      <w:rFonts w:hint="default"/>
                      <w:lang w:val="en-US" w:eastAsia="zh-CN"/>
                    </w:rPr>
                  </w:pPr>
                  <w:r>
                    <w:rPr>
                      <w:rFonts w:hint="eastAsia"/>
                      <w:lang w:val="en-US" w:eastAsia="zh-CN"/>
                    </w:rPr>
                    <w:t>间歇排放，排放期间流量不稳定</w:t>
                  </w:r>
                </w:p>
              </w:tc>
              <w:tc>
                <w:tcPr>
                  <w:tcW w:w="507" w:type="pct"/>
                  <w:vMerge w:val="restart"/>
                  <w:tcBorders>
                    <w:tl2br w:val="nil"/>
                    <w:tr2bl w:val="nil"/>
                  </w:tcBorders>
                  <w:noWrap w:val="0"/>
                  <w:vAlign w:val="center"/>
                </w:tcPr>
                <w:p>
                  <w:pPr>
                    <w:pStyle w:val="2"/>
                    <w:bidi w:val="0"/>
                    <w:rPr>
                      <w:rFonts w:hint="eastAsia"/>
                      <w:lang w:val="en-US" w:eastAsia="zh-CN"/>
                    </w:rPr>
                  </w:pPr>
                  <w:r>
                    <w:rPr>
                      <w:rFonts w:hint="default"/>
                      <w:lang w:val="en-US" w:eastAsia="zh-CN"/>
                    </w:rPr>
                    <w:t>河北巴州生态产业园污水处理厂</w:t>
                  </w:r>
                </w:p>
              </w:tc>
              <w:tc>
                <w:tcPr>
                  <w:tcW w:w="486" w:type="pct"/>
                  <w:tcBorders>
                    <w:tl2br w:val="nil"/>
                    <w:tr2bl w:val="nil"/>
                  </w:tcBorders>
                  <w:noWrap w:val="0"/>
                  <w:vAlign w:val="center"/>
                </w:tcPr>
                <w:p>
                  <w:pPr>
                    <w:pStyle w:val="2"/>
                    <w:bidi w:val="0"/>
                    <w:rPr>
                      <w:rFonts w:hint="eastAsia"/>
                      <w:lang w:val="en-US" w:eastAsia="zh-CN"/>
                    </w:rPr>
                  </w:pPr>
                  <w:r>
                    <w:rPr>
                      <w:rFonts w:hint="default"/>
                      <w:lang w:val="en-US" w:eastAsia="zh-CN"/>
                    </w:rPr>
                    <w:t>PH</w:t>
                  </w:r>
                </w:p>
              </w:tc>
              <w:tc>
                <w:tcPr>
                  <w:tcW w:w="475" w:type="pct"/>
                  <w:tcBorders>
                    <w:tl2br w:val="nil"/>
                    <w:tr2bl w:val="nil"/>
                  </w:tcBorders>
                  <w:noWrap w:val="0"/>
                  <w:vAlign w:val="center"/>
                </w:tcPr>
                <w:p>
                  <w:pPr>
                    <w:pStyle w:val="2"/>
                    <w:bidi w:val="0"/>
                    <w:rPr>
                      <w:rFonts w:hint="eastAsia"/>
                      <w:lang w:val="en-US" w:eastAsia="zh-CN"/>
                    </w:rPr>
                  </w:pPr>
                  <w:r>
                    <w:rPr>
                      <w:rFonts w:hint="default"/>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continue"/>
                  <w:tcBorders>
                    <w:tl2br w:val="nil"/>
                    <w:tr2bl w:val="nil"/>
                  </w:tcBorders>
                  <w:noWrap w:val="0"/>
                  <w:vAlign w:val="center"/>
                </w:tcPr>
                <w:p>
                  <w:pPr>
                    <w:pStyle w:val="2"/>
                    <w:bidi w:val="0"/>
                    <w:rPr>
                      <w:rFonts w:hint="eastAsia"/>
                      <w:lang w:val="en-US" w:eastAsia="zh-CN"/>
                    </w:rPr>
                  </w:pPr>
                </w:p>
              </w:tc>
              <w:tc>
                <w:tcPr>
                  <w:tcW w:w="632" w:type="pct"/>
                  <w:vMerge w:val="continue"/>
                  <w:tcBorders>
                    <w:tl2br w:val="nil"/>
                    <w:tr2bl w:val="nil"/>
                  </w:tcBorders>
                  <w:noWrap w:val="0"/>
                  <w:vAlign w:val="center"/>
                </w:tcPr>
                <w:p>
                  <w:pPr>
                    <w:pStyle w:val="2"/>
                    <w:bidi w:val="0"/>
                    <w:rPr>
                      <w:rFonts w:hint="default"/>
                      <w:lang w:val="en-US" w:eastAsia="zh-CN"/>
                    </w:rPr>
                  </w:pPr>
                </w:p>
              </w:tc>
              <w:tc>
                <w:tcPr>
                  <w:tcW w:w="863" w:type="pct"/>
                  <w:vMerge w:val="continue"/>
                  <w:tcBorders>
                    <w:tl2br w:val="nil"/>
                    <w:tr2bl w:val="nil"/>
                  </w:tcBorders>
                  <w:noWrap w:val="0"/>
                  <w:vAlign w:val="center"/>
                </w:tcPr>
                <w:p>
                  <w:pPr>
                    <w:pStyle w:val="2"/>
                    <w:bidi w:val="0"/>
                    <w:rPr>
                      <w:rFonts w:hint="default"/>
                      <w:lang w:val="en-US" w:eastAsia="zh-CN"/>
                    </w:rPr>
                  </w:pPr>
                </w:p>
              </w:tc>
              <w:tc>
                <w:tcPr>
                  <w:tcW w:w="586" w:type="pct"/>
                  <w:vMerge w:val="continue"/>
                  <w:tcBorders>
                    <w:tl2br w:val="nil"/>
                    <w:tr2bl w:val="nil"/>
                  </w:tcBorders>
                  <w:noWrap w:val="0"/>
                  <w:vAlign w:val="center"/>
                </w:tcPr>
                <w:p>
                  <w:pPr>
                    <w:pStyle w:val="2"/>
                    <w:bidi w:val="0"/>
                    <w:rPr>
                      <w:rFonts w:hint="eastAsia"/>
                      <w:lang w:val="en-US" w:eastAsia="zh-CN"/>
                    </w:rPr>
                  </w:pPr>
                </w:p>
              </w:tc>
              <w:tc>
                <w:tcPr>
                  <w:tcW w:w="446" w:type="pct"/>
                  <w:vMerge w:val="continue"/>
                  <w:tcBorders>
                    <w:tl2br w:val="nil"/>
                    <w:tr2bl w:val="nil"/>
                  </w:tcBorders>
                  <w:noWrap w:val="0"/>
                  <w:vAlign w:val="center"/>
                </w:tcPr>
                <w:p>
                  <w:pPr>
                    <w:pStyle w:val="2"/>
                    <w:bidi w:val="0"/>
                    <w:rPr>
                      <w:rFonts w:hint="eastAsia"/>
                      <w:lang w:val="en-US" w:eastAsia="zh-CN"/>
                    </w:rPr>
                  </w:pPr>
                </w:p>
              </w:tc>
              <w:tc>
                <w:tcPr>
                  <w:tcW w:w="440" w:type="pct"/>
                  <w:vMerge w:val="continue"/>
                  <w:tcBorders>
                    <w:tl2br w:val="nil"/>
                    <w:tr2bl w:val="nil"/>
                  </w:tcBorders>
                  <w:noWrap w:val="0"/>
                  <w:vAlign w:val="center"/>
                </w:tcPr>
                <w:p>
                  <w:pPr>
                    <w:pStyle w:val="2"/>
                    <w:bidi w:val="0"/>
                    <w:rPr>
                      <w:rFonts w:hint="eastAsia"/>
                      <w:lang w:val="en-US" w:eastAsia="zh-CN"/>
                    </w:rPr>
                  </w:pPr>
                </w:p>
              </w:tc>
              <w:tc>
                <w:tcPr>
                  <w:tcW w:w="507" w:type="pct"/>
                  <w:vMerge w:val="continue"/>
                  <w:tcBorders>
                    <w:tl2br w:val="nil"/>
                    <w:tr2bl w:val="nil"/>
                  </w:tcBorders>
                  <w:noWrap w:val="0"/>
                  <w:vAlign w:val="center"/>
                </w:tcPr>
                <w:p>
                  <w:pPr>
                    <w:pStyle w:val="2"/>
                    <w:bidi w:val="0"/>
                    <w:rPr>
                      <w:rFonts w:hint="eastAsia"/>
                      <w:lang w:val="en-US" w:eastAsia="zh-CN"/>
                    </w:rPr>
                  </w:pPr>
                </w:p>
              </w:tc>
              <w:tc>
                <w:tcPr>
                  <w:tcW w:w="486" w:type="pct"/>
                  <w:tcBorders>
                    <w:tl2br w:val="nil"/>
                    <w:tr2bl w:val="nil"/>
                  </w:tcBorders>
                  <w:noWrap w:val="0"/>
                  <w:vAlign w:val="center"/>
                </w:tcPr>
                <w:p>
                  <w:pPr>
                    <w:pStyle w:val="2"/>
                    <w:bidi w:val="0"/>
                    <w:rPr>
                      <w:rFonts w:hint="eastAsia"/>
                      <w:lang w:val="en-US" w:eastAsia="zh-CN"/>
                    </w:rPr>
                  </w:pPr>
                  <w:r>
                    <w:rPr>
                      <w:rFonts w:hint="default"/>
                      <w:lang w:val="en-US" w:eastAsia="zh-CN"/>
                    </w:rPr>
                    <w:t>COD</w:t>
                  </w:r>
                </w:p>
              </w:tc>
              <w:tc>
                <w:tcPr>
                  <w:tcW w:w="475" w:type="pct"/>
                  <w:tcBorders>
                    <w:tl2br w:val="nil"/>
                    <w:tr2bl w:val="nil"/>
                  </w:tcBorders>
                  <w:noWrap w:val="0"/>
                  <w:vAlign w:val="center"/>
                </w:tcPr>
                <w:p>
                  <w:pPr>
                    <w:pStyle w:val="2"/>
                    <w:bidi w:val="0"/>
                    <w:rPr>
                      <w:rFonts w:hint="eastAsia"/>
                      <w:lang w:val="en-US" w:eastAsia="zh-CN"/>
                    </w:rPr>
                  </w:pPr>
                  <w:r>
                    <w:rPr>
                      <w:rFonts w:hint="default"/>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continue"/>
                  <w:tcBorders>
                    <w:tl2br w:val="nil"/>
                    <w:tr2bl w:val="nil"/>
                  </w:tcBorders>
                  <w:noWrap w:val="0"/>
                  <w:vAlign w:val="center"/>
                </w:tcPr>
                <w:p>
                  <w:pPr>
                    <w:pStyle w:val="2"/>
                    <w:bidi w:val="0"/>
                    <w:rPr>
                      <w:rFonts w:hint="eastAsia"/>
                      <w:lang w:val="en-US" w:eastAsia="zh-CN"/>
                    </w:rPr>
                  </w:pPr>
                </w:p>
              </w:tc>
              <w:tc>
                <w:tcPr>
                  <w:tcW w:w="632" w:type="pct"/>
                  <w:vMerge w:val="continue"/>
                  <w:tcBorders>
                    <w:tl2br w:val="nil"/>
                    <w:tr2bl w:val="nil"/>
                  </w:tcBorders>
                  <w:noWrap w:val="0"/>
                  <w:vAlign w:val="center"/>
                </w:tcPr>
                <w:p>
                  <w:pPr>
                    <w:pStyle w:val="2"/>
                    <w:bidi w:val="0"/>
                    <w:rPr>
                      <w:rFonts w:hint="default"/>
                      <w:lang w:val="en-US" w:eastAsia="zh-CN"/>
                    </w:rPr>
                  </w:pPr>
                </w:p>
              </w:tc>
              <w:tc>
                <w:tcPr>
                  <w:tcW w:w="863" w:type="pct"/>
                  <w:vMerge w:val="continue"/>
                  <w:tcBorders>
                    <w:tl2br w:val="nil"/>
                    <w:tr2bl w:val="nil"/>
                  </w:tcBorders>
                  <w:noWrap w:val="0"/>
                  <w:vAlign w:val="center"/>
                </w:tcPr>
                <w:p>
                  <w:pPr>
                    <w:pStyle w:val="2"/>
                    <w:bidi w:val="0"/>
                    <w:rPr>
                      <w:rFonts w:hint="default"/>
                      <w:lang w:val="en-US" w:eastAsia="zh-CN"/>
                    </w:rPr>
                  </w:pPr>
                </w:p>
              </w:tc>
              <w:tc>
                <w:tcPr>
                  <w:tcW w:w="586" w:type="pct"/>
                  <w:vMerge w:val="continue"/>
                  <w:tcBorders>
                    <w:tl2br w:val="nil"/>
                    <w:tr2bl w:val="nil"/>
                  </w:tcBorders>
                  <w:noWrap w:val="0"/>
                  <w:vAlign w:val="center"/>
                </w:tcPr>
                <w:p>
                  <w:pPr>
                    <w:pStyle w:val="2"/>
                    <w:bidi w:val="0"/>
                    <w:rPr>
                      <w:rFonts w:hint="eastAsia"/>
                      <w:lang w:val="en-US" w:eastAsia="zh-CN"/>
                    </w:rPr>
                  </w:pPr>
                </w:p>
              </w:tc>
              <w:tc>
                <w:tcPr>
                  <w:tcW w:w="446" w:type="pct"/>
                  <w:vMerge w:val="continue"/>
                  <w:tcBorders>
                    <w:tl2br w:val="nil"/>
                    <w:tr2bl w:val="nil"/>
                  </w:tcBorders>
                  <w:noWrap w:val="0"/>
                  <w:vAlign w:val="center"/>
                </w:tcPr>
                <w:p>
                  <w:pPr>
                    <w:pStyle w:val="2"/>
                    <w:bidi w:val="0"/>
                    <w:rPr>
                      <w:rFonts w:hint="eastAsia"/>
                      <w:lang w:val="en-US" w:eastAsia="zh-CN"/>
                    </w:rPr>
                  </w:pPr>
                </w:p>
              </w:tc>
              <w:tc>
                <w:tcPr>
                  <w:tcW w:w="440" w:type="pct"/>
                  <w:vMerge w:val="continue"/>
                  <w:tcBorders>
                    <w:tl2br w:val="nil"/>
                    <w:tr2bl w:val="nil"/>
                  </w:tcBorders>
                  <w:noWrap w:val="0"/>
                  <w:vAlign w:val="center"/>
                </w:tcPr>
                <w:p>
                  <w:pPr>
                    <w:pStyle w:val="2"/>
                    <w:bidi w:val="0"/>
                    <w:rPr>
                      <w:rFonts w:hint="eastAsia"/>
                      <w:lang w:val="en-US" w:eastAsia="zh-CN"/>
                    </w:rPr>
                  </w:pPr>
                </w:p>
              </w:tc>
              <w:tc>
                <w:tcPr>
                  <w:tcW w:w="507" w:type="pct"/>
                  <w:vMerge w:val="continue"/>
                  <w:tcBorders>
                    <w:tl2br w:val="nil"/>
                    <w:tr2bl w:val="nil"/>
                  </w:tcBorders>
                  <w:noWrap w:val="0"/>
                  <w:vAlign w:val="center"/>
                </w:tcPr>
                <w:p>
                  <w:pPr>
                    <w:pStyle w:val="2"/>
                    <w:bidi w:val="0"/>
                    <w:rPr>
                      <w:rFonts w:hint="eastAsia"/>
                      <w:lang w:val="en-US" w:eastAsia="zh-CN"/>
                    </w:rPr>
                  </w:pPr>
                </w:p>
              </w:tc>
              <w:tc>
                <w:tcPr>
                  <w:tcW w:w="486" w:type="pct"/>
                  <w:tcBorders>
                    <w:tl2br w:val="nil"/>
                    <w:tr2bl w:val="nil"/>
                  </w:tcBorders>
                  <w:noWrap w:val="0"/>
                  <w:vAlign w:val="center"/>
                </w:tcPr>
                <w:p>
                  <w:pPr>
                    <w:pStyle w:val="2"/>
                    <w:bidi w:val="0"/>
                    <w:rPr>
                      <w:rFonts w:hint="eastAsia"/>
                      <w:lang w:val="en-US" w:eastAsia="zh-CN"/>
                    </w:rPr>
                  </w:pPr>
                  <w:r>
                    <w:rPr>
                      <w:rFonts w:hint="default"/>
                      <w:lang w:val="en-US" w:eastAsia="zh-CN"/>
                    </w:rPr>
                    <w:t>BOD5</w:t>
                  </w:r>
                </w:p>
              </w:tc>
              <w:tc>
                <w:tcPr>
                  <w:tcW w:w="475" w:type="pct"/>
                  <w:tcBorders>
                    <w:tl2br w:val="nil"/>
                    <w:tr2bl w:val="nil"/>
                  </w:tcBorders>
                  <w:noWrap w:val="0"/>
                  <w:vAlign w:val="center"/>
                </w:tcPr>
                <w:p>
                  <w:pPr>
                    <w:pStyle w:val="2"/>
                    <w:bidi w:val="0"/>
                    <w:rPr>
                      <w:rFonts w:hint="eastAsia"/>
                      <w:lang w:val="en-US" w:eastAsia="zh-CN"/>
                    </w:rPr>
                  </w:pPr>
                  <w:r>
                    <w:rPr>
                      <w:rFonts w:hint="default"/>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continue"/>
                  <w:tcBorders>
                    <w:tl2br w:val="nil"/>
                    <w:tr2bl w:val="nil"/>
                  </w:tcBorders>
                  <w:noWrap w:val="0"/>
                  <w:vAlign w:val="center"/>
                </w:tcPr>
                <w:p>
                  <w:pPr>
                    <w:pStyle w:val="2"/>
                    <w:bidi w:val="0"/>
                    <w:rPr>
                      <w:rFonts w:hint="eastAsia"/>
                      <w:lang w:val="en-US" w:eastAsia="zh-CN"/>
                    </w:rPr>
                  </w:pPr>
                </w:p>
              </w:tc>
              <w:tc>
                <w:tcPr>
                  <w:tcW w:w="632" w:type="pct"/>
                  <w:vMerge w:val="continue"/>
                  <w:tcBorders>
                    <w:tl2br w:val="nil"/>
                    <w:tr2bl w:val="nil"/>
                  </w:tcBorders>
                  <w:noWrap w:val="0"/>
                  <w:vAlign w:val="center"/>
                </w:tcPr>
                <w:p>
                  <w:pPr>
                    <w:pStyle w:val="2"/>
                    <w:bidi w:val="0"/>
                    <w:rPr>
                      <w:rFonts w:hint="default"/>
                      <w:lang w:val="en-US" w:eastAsia="zh-CN"/>
                    </w:rPr>
                  </w:pPr>
                </w:p>
              </w:tc>
              <w:tc>
                <w:tcPr>
                  <w:tcW w:w="863" w:type="pct"/>
                  <w:vMerge w:val="continue"/>
                  <w:tcBorders>
                    <w:tl2br w:val="nil"/>
                    <w:tr2bl w:val="nil"/>
                  </w:tcBorders>
                  <w:noWrap w:val="0"/>
                  <w:vAlign w:val="center"/>
                </w:tcPr>
                <w:p>
                  <w:pPr>
                    <w:pStyle w:val="2"/>
                    <w:bidi w:val="0"/>
                    <w:rPr>
                      <w:rFonts w:hint="default"/>
                      <w:lang w:val="en-US" w:eastAsia="zh-CN"/>
                    </w:rPr>
                  </w:pPr>
                </w:p>
              </w:tc>
              <w:tc>
                <w:tcPr>
                  <w:tcW w:w="586" w:type="pct"/>
                  <w:vMerge w:val="continue"/>
                  <w:tcBorders>
                    <w:tl2br w:val="nil"/>
                    <w:tr2bl w:val="nil"/>
                  </w:tcBorders>
                  <w:noWrap w:val="0"/>
                  <w:vAlign w:val="center"/>
                </w:tcPr>
                <w:p>
                  <w:pPr>
                    <w:pStyle w:val="2"/>
                    <w:bidi w:val="0"/>
                    <w:rPr>
                      <w:rFonts w:hint="eastAsia"/>
                      <w:lang w:val="en-US" w:eastAsia="zh-CN"/>
                    </w:rPr>
                  </w:pPr>
                </w:p>
              </w:tc>
              <w:tc>
                <w:tcPr>
                  <w:tcW w:w="446" w:type="pct"/>
                  <w:vMerge w:val="continue"/>
                  <w:tcBorders>
                    <w:tl2br w:val="nil"/>
                    <w:tr2bl w:val="nil"/>
                  </w:tcBorders>
                  <w:noWrap w:val="0"/>
                  <w:vAlign w:val="center"/>
                </w:tcPr>
                <w:p>
                  <w:pPr>
                    <w:pStyle w:val="2"/>
                    <w:bidi w:val="0"/>
                    <w:rPr>
                      <w:rFonts w:hint="eastAsia"/>
                      <w:lang w:val="en-US" w:eastAsia="zh-CN"/>
                    </w:rPr>
                  </w:pPr>
                </w:p>
              </w:tc>
              <w:tc>
                <w:tcPr>
                  <w:tcW w:w="440" w:type="pct"/>
                  <w:vMerge w:val="continue"/>
                  <w:tcBorders>
                    <w:tl2br w:val="nil"/>
                    <w:tr2bl w:val="nil"/>
                  </w:tcBorders>
                  <w:noWrap w:val="0"/>
                  <w:vAlign w:val="center"/>
                </w:tcPr>
                <w:p>
                  <w:pPr>
                    <w:pStyle w:val="2"/>
                    <w:bidi w:val="0"/>
                    <w:rPr>
                      <w:rFonts w:hint="eastAsia"/>
                      <w:lang w:val="en-US" w:eastAsia="zh-CN"/>
                    </w:rPr>
                  </w:pPr>
                </w:p>
              </w:tc>
              <w:tc>
                <w:tcPr>
                  <w:tcW w:w="507" w:type="pct"/>
                  <w:vMerge w:val="continue"/>
                  <w:tcBorders>
                    <w:tl2br w:val="nil"/>
                    <w:tr2bl w:val="nil"/>
                  </w:tcBorders>
                  <w:noWrap w:val="0"/>
                  <w:vAlign w:val="center"/>
                </w:tcPr>
                <w:p>
                  <w:pPr>
                    <w:pStyle w:val="2"/>
                    <w:bidi w:val="0"/>
                    <w:rPr>
                      <w:rFonts w:hint="eastAsia"/>
                      <w:lang w:val="en-US" w:eastAsia="zh-CN"/>
                    </w:rPr>
                  </w:pPr>
                </w:p>
              </w:tc>
              <w:tc>
                <w:tcPr>
                  <w:tcW w:w="486" w:type="pct"/>
                  <w:tcBorders>
                    <w:tl2br w:val="nil"/>
                    <w:tr2bl w:val="nil"/>
                  </w:tcBorders>
                  <w:noWrap w:val="0"/>
                  <w:vAlign w:val="center"/>
                </w:tcPr>
                <w:p>
                  <w:pPr>
                    <w:pStyle w:val="2"/>
                    <w:bidi w:val="0"/>
                    <w:rPr>
                      <w:rFonts w:hint="eastAsia"/>
                      <w:lang w:val="en-US" w:eastAsia="zh-CN"/>
                    </w:rPr>
                  </w:pPr>
                  <w:r>
                    <w:rPr>
                      <w:rFonts w:hint="default"/>
                      <w:lang w:val="en-US" w:eastAsia="zh-CN"/>
                    </w:rPr>
                    <w:t>SS</w:t>
                  </w:r>
                </w:p>
              </w:tc>
              <w:tc>
                <w:tcPr>
                  <w:tcW w:w="475" w:type="pct"/>
                  <w:tcBorders>
                    <w:tl2br w:val="nil"/>
                    <w:tr2bl w:val="nil"/>
                  </w:tcBorders>
                  <w:noWrap w:val="0"/>
                  <w:vAlign w:val="center"/>
                </w:tcPr>
                <w:p>
                  <w:pPr>
                    <w:pStyle w:val="2"/>
                    <w:bidi w:val="0"/>
                    <w:rPr>
                      <w:rFonts w:hint="eastAsia"/>
                      <w:lang w:val="en-US" w:eastAsia="zh-CN"/>
                    </w:rPr>
                  </w:pPr>
                  <w:r>
                    <w:rPr>
                      <w:rFonts w:hint="default"/>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continue"/>
                  <w:tcBorders>
                    <w:tl2br w:val="nil"/>
                    <w:tr2bl w:val="nil"/>
                  </w:tcBorders>
                  <w:noWrap w:val="0"/>
                  <w:vAlign w:val="center"/>
                </w:tcPr>
                <w:p>
                  <w:pPr>
                    <w:pStyle w:val="2"/>
                    <w:bidi w:val="0"/>
                    <w:rPr>
                      <w:rFonts w:hint="eastAsia"/>
                      <w:lang w:val="en-US" w:eastAsia="zh-CN"/>
                    </w:rPr>
                  </w:pPr>
                </w:p>
              </w:tc>
              <w:tc>
                <w:tcPr>
                  <w:tcW w:w="632" w:type="pct"/>
                  <w:vMerge w:val="continue"/>
                  <w:tcBorders>
                    <w:tl2br w:val="nil"/>
                    <w:tr2bl w:val="nil"/>
                  </w:tcBorders>
                  <w:noWrap w:val="0"/>
                  <w:vAlign w:val="center"/>
                </w:tcPr>
                <w:p>
                  <w:pPr>
                    <w:pStyle w:val="2"/>
                    <w:bidi w:val="0"/>
                    <w:rPr>
                      <w:rFonts w:hint="default"/>
                      <w:lang w:val="en-US" w:eastAsia="zh-CN"/>
                    </w:rPr>
                  </w:pPr>
                </w:p>
              </w:tc>
              <w:tc>
                <w:tcPr>
                  <w:tcW w:w="863" w:type="pct"/>
                  <w:vMerge w:val="continue"/>
                  <w:tcBorders>
                    <w:tl2br w:val="nil"/>
                    <w:tr2bl w:val="nil"/>
                  </w:tcBorders>
                  <w:noWrap w:val="0"/>
                  <w:vAlign w:val="center"/>
                </w:tcPr>
                <w:p>
                  <w:pPr>
                    <w:pStyle w:val="2"/>
                    <w:bidi w:val="0"/>
                    <w:rPr>
                      <w:rFonts w:hint="default"/>
                      <w:lang w:val="en-US" w:eastAsia="zh-CN"/>
                    </w:rPr>
                  </w:pPr>
                </w:p>
              </w:tc>
              <w:tc>
                <w:tcPr>
                  <w:tcW w:w="586" w:type="pct"/>
                  <w:vMerge w:val="continue"/>
                  <w:tcBorders>
                    <w:tl2br w:val="nil"/>
                    <w:tr2bl w:val="nil"/>
                  </w:tcBorders>
                  <w:noWrap w:val="0"/>
                  <w:vAlign w:val="center"/>
                </w:tcPr>
                <w:p>
                  <w:pPr>
                    <w:pStyle w:val="2"/>
                    <w:bidi w:val="0"/>
                    <w:rPr>
                      <w:rFonts w:hint="eastAsia"/>
                      <w:lang w:val="en-US" w:eastAsia="zh-CN"/>
                    </w:rPr>
                  </w:pPr>
                </w:p>
              </w:tc>
              <w:tc>
                <w:tcPr>
                  <w:tcW w:w="446" w:type="pct"/>
                  <w:vMerge w:val="continue"/>
                  <w:tcBorders>
                    <w:tl2br w:val="nil"/>
                    <w:tr2bl w:val="nil"/>
                  </w:tcBorders>
                  <w:noWrap w:val="0"/>
                  <w:vAlign w:val="center"/>
                </w:tcPr>
                <w:p>
                  <w:pPr>
                    <w:pStyle w:val="2"/>
                    <w:bidi w:val="0"/>
                    <w:rPr>
                      <w:rFonts w:hint="eastAsia"/>
                      <w:lang w:val="en-US" w:eastAsia="zh-CN"/>
                    </w:rPr>
                  </w:pPr>
                </w:p>
              </w:tc>
              <w:tc>
                <w:tcPr>
                  <w:tcW w:w="440" w:type="pct"/>
                  <w:vMerge w:val="continue"/>
                  <w:tcBorders>
                    <w:tl2br w:val="nil"/>
                    <w:tr2bl w:val="nil"/>
                  </w:tcBorders>
                  <w:noWrap w:val="0"/>
                  <w:vAlign w:val="center"/>
                </w:tcPr>
                <w:p>
                  <w:pPr>
                    <w:pStyle w:val="2"/>
                    <w:bidi w:val="0"/>
                    <w:rPr>
                      <w:rFonts w:hint="eastAsia"/>
                      <w:lang w:val="en-US" w:eastAsia="zh-CN"/>
                    </w:rPr>
                  </w:pPr>
                </w:p>
              </w:tc>
              <w:tc>
                <w:tcPr>
                  <w:tcW w:w="507" w:type="pct"/>
                  <w:vMerge w:val="continue"/>
                  <w:tcBorders>
                    <w:tl2br w:val="nil"/>
                    <w:tr2bl w:val="nil"/>
                  </w:tcBorders>
                  <w:noWrap w:val="0"/>
                  <w:vAlign w:val="center"/>
                </w:tcPr>
                <w:p>
                  <w:pPr>
                    <w:pStyle w:val="2"/>
                    <w:bidi w:val="0"/>
                    <w:rPr>
                      <w:rFonts w:hint="eastAsia"/>
                      <w:lang w:val="en-US" w:eastAsia="zh-CN"/>
                    </w:rPr>
                  </w:pPr>
                </w:p>
              </w:tc>
              <w:tc>
                <w:tcPr>
                  <w:tcW w:w="486" w:type="pct"/>
                  <w:tcBorders>
                    <w:tl2br w:val="nil"/>
                    <w:tr2bl w:val="nil"/>
                  </w:tcBorders>
                  <w:noWrap w:val="0"/>
                  <w:vAlign w:val="center"/>
                </w:tcPr>
                <w:p>
                  <w:pPr>
                    <w:pStyle w:val="2"/>
                    <w:bidi w:val="0"/>
                    <w:rPr>
                      <w:rFonts w:hint="eastAsia"/>
                      <w:lang w:val="en-US" w:eastAsia="zh-CN"/>
                    </w:rPr>
                  </w:pPr>
                  <w:r>
                    <w:rPr>
                      <w:rFonts w:hint="eastAsia"/>
                      <w:lang w:val="en-US" w:eastAsia="zh-CN"/>
                    </w:rPr>
                    <w:t>氨氮</w:t>
                  </w:r>
                </w:p>
              </w:tc>
              <w:tc>
                <w:tcPr>
                  <w:tcW w:w="475" w:type="pct"/>
                  <w:tcBorders>
                    <w:tl2br w:val="nil"/>
                    <w:tr2bl w:val="nil"/>
                  </w:tcBorders>
                  <w:noWrap w:val="0"/>
                  <w:vAlign w:val="center"/>
                </w:tcPr>
                <w:p>
                  <w:pPr>
                    <w:pStyle w:val="2"/>
                    <w:bidi w:val="0"/>
                    <w:rPr>
                      <w:rFonts w:hint="eastAsia"/>
                      <w:lang w:val="en-US" w:eastAsia="zh-CN"/>
                    </w:rPr>
                  </w:pPr>
                  <w:r>
                    <w:rPr>
                      <w:rFonts w:hint="default"/>
                      <w:lang w:val="en-US" w:eastAsia="zh-CN"/>
                    </w:rPr>
                    <w:t>5</w:t>
                  </w:r>
                  <w:r>
                    <w:rPr>
                      <w:rFonts w:hint="eastAsia"/>
                      <w:lang w:val="en-US" w:eastAsia="zh-CN"/>
                    </w:rPr>
                    <w:t>（</w:t>
                  </w:r>
                  <w:r>
                    <w:rPr>
                      <w:rFonts w:hint="default"/>
                      <w:lang w:val="en-US" w:eastAsia="zh-CN"/>
                    </w:rPr>
                    <w:t>8</w:t>
                  </w:r>
                  <w:r>
                    <w:rPr>
                      <w:rFonts w:hint="eastAsia"/>
                      <w:lang w:val="en-US" w:eastAsia="zh-CN"/>
                    </w:rPr>
                    <w:t>）</w:t>
                  </w:r>
                </w:p>
              </w:tc>
            </w:tr>
          </w:tbl>
          <w:p>
            <w:pPr>
              <w:pStyle w:val="5"/>
              <w:suppressLineNumbers w:val="0"/>
              <w:bidi w:val="0"/>
              <w:spacing w:before="0" w:beforeAutospacing="0" w:after="0" w:afterAutospacing="0"/>
              <w:ind w:left="0" w:right="0"/>
              <w:rPr>
                <w:rFonts w:hint="default"/>
              </w:rPr>
            </w:pPr>
            <w:r>
              <w:rPr>
                <w:rFonts w:hint="eastAsia"/>
                <w:lang w:val="en-US" w:eastAsia="zh-CN"/>
              </w:rPr>
              <w:t>3</w:t>
            </w:r>
            <w:r>
              <w:rPr>
                <w:rFonts w:hint="default"/>
              </w:rPr>
              <w:t>.</w:t>
            </w:r>
            <w:r>
              <w:rPr>
                <w:rFonts w:hint="eastAsia"/>
                <w:lang w:val="en-US" w:eastAsia="zh-CN"/>
              </w:rPr>
              <w:t>3</w:t>
            </w:r>
            <w:r>
              <w:rPr>
                <w:rFonts w:hint="eastAsia"/>
              </w:rPr>
              <w:t>依托污水处理厂可行性</w:t>
            </w:r>
          </w:p>
          <w:p>
            <w:pPr>
              <w:bidi w:val="0"/>
              <w:rPr>
                <w:rFonts w:hint="eastAsia"/>
              </w:rPr>
            </w:pPr>
            <w:r>
              <w:rPr>
                <w:rFonts w:hint="default"/>
                <w:lang w:val="en-US" w:eastAsia="zh-CN"/>
              </w:rPr>
              <w:t>河北巴州生态产业园污水处理厂位于焉耆县河北巴州生态产业园东南侧，厂址中心坐标为E：86°20'56.69"，N：41°53'31.25"。</w:t>
            </w:r>
            <w:r>
              <w:rPr>
                <w:rFonts w:hint="eastAsia"/>
                <w:lang w:val="en-US" w:eastAsia="zh-CN"/>
              </w:rPr>
              <w:t>位于本项目东南侧约49km处，</w:t>
            </w:r>
            <w:r>
              <w:rPr>
                <w:rFonts w:hint="default"/>
                <w:lang w:val="en-US" w:eastAsia="zh-CN"/>
              </w:rPr>
              <w:t>河北巴州生态产业园污水处理厂设计污水处理能力10000m</w:t>
            </w:r>
            <w:r>
              <w:rPr>
                <w:rFonts w:hint="eastAsia"/>
                <w:vertAlign w:val="superscript"/>
                <w:lang w:val="en-US" w:eastAsia="zh-CN"/>
              </w:rPr>
              <w:t>3</w:t>
            </w:r>
            <w:r>
              <w:rPr>
                <w:rFonts w:hint="default"/>
                <w:lang w:val="en-US" w:eastAsia="zh-CN"/>
              </w:rPr>
              <w:t>/d，</w:t>
            </w:r>
            <w:r>
              <w:rPr>
                <w:rFonts w:hint="eastAsia"/>
                <w:lang w:val="en-US" w:eastAsia="zh-CN"/>
              </w:rPr>
              <w:t>污水处理厂</w:t>
            </w:r>
            <w:r>
              <w:rPr>
                <w:rFonts w:hint="default"/>
                <w:lang w:val="en-US" w:eastAsia="zh-CN"/>
              </w:rPr>
              <w:t>出水达到《城镇污水处理厂污染物排放标准》（GB18918-2002）中一级A标准，</w:t>
            </w:r>
            <w:r>
              <w:rPr>
                <w:rFonts w:hint="eastAsia"/>
                <w:lang w:val="en-US" w:eastAsia="zh-CN"/>
              </w:rPr>
              <w:t>污水处理工艺为“预处理－－二级生化处理－－深度处理－－消毒处理”</w:t>
            </w:r>
            <w:r>
              <w:rPr>
                <w:rFonts w:hint="default"/>
                <w:lang w:val="en-US" w:eastAsia="zh-CN"/>
              </w:rPr>
              <w:t>，</w:t>
            </w:r>
            <w:r>
              <w:rPr>
                <w:rFonts w:hint="default"/>
              </w:rPr>
              <w:t>出水满足《城镇污水处理厂污染物排放标准》（GB18918-2002）中一级A标准</w:t>
            </w:r>
            <w:r>
              <w:rPr>
                <w:rFonts w:hint="default"/>
                <w:lang w:eastAsia="zh-CN"/>
              </w:rPr>
              <w:t>后</w:t>
            </w:r>
            <w:r>
              <w:rPr>
                <w:rFonts w:hint="default"/>
                <w:lang w:val="en-US" w:eastAsia="zh-CN"/>
              </w:rPr>
              <w:t>污水处理厂尾水达标排放后一部分用于生态林地灌溉，剩余部分中水回用。</w:t>
            </w:r>
            <w:r>
              <w:rPr>
                <w:rFonts w:hint="eastAsia"/>
                <w:lang w:val="en-US" w:eastAsia="zh-CN"/>
              </w:rPr>
              <w:t>本项目最大出水量为2.432</w:t>
            </w:r>
            <w:r>
              <w:rPr>
                <w:rFonts w:hint="default"/>
                <w:lang w:val="en-US" w:eastAsia="zh-CN"/>
              </w:rPr>
              <w:t>m</w:t>
            </w:r>
            <w:r>
              <w:rPr>
                <w:rFonts w:hint="eastAsia"/>
                <w:vertAlign w:val="superscript"/>
                <w:lang w:val="en-US" w:eastAsia="zh-CN"/>
              </w:rPr>
              <w:t>3</w:t>
            </w:r>
            <w:r>
              <w:rPr>
                <w:rFonts w:hint="default"/>
                <w:lang w:val="en-US" w:eastAsia="zh-CN"/>
              </w:rPr>
              <w:t>/d</w:t>
            </w:r>
            <w:r>
              <w:rPr>
                <w:rFonts w:hint="eastAsia"/>
                <w:lang w:val="en-US" w:eastAsia="zh-CN"/>
              </w:rPr>
              <w:t>，仅占污水处理厂设计处理能力0.243%，经现场核实，园区污水处理厂现状每年7月至9月之间进水量为1000m</w:t>
            </w:r>
            <w:r>
              <w:rPr>
                <w:rFonts w:hint="eastAsia"/>
                <w:vertAlign w:val="superscript"/>
                <w:lang w:val="en-US" w:eastAsia="zh-CN"/>
              </w:rPr>
              <w:t>3</w:t>
            </w:r>
            <w:r>
              <w:rPr>
                <w:rFonts w:hint="eastAsia"/>
                <w:lang w:val="en-US" w:eastAsia="zh-CN"/>
              </w:rPr>
              <w:t>/d左右，处理余量为9000m</w:t>
            </w:r>
            <w:r>
              <w:rPr>
                <w:rFonts w:hint="eastAsia"/>
                <w:vertAlign w:val="superscript"/>
                <w:lang w:val="en-US" w:eastAsia="zh-CN"/>
              </w:rPr>
              <w:t>3</w:t>
            </w:r>
            <w:r>
              <w:rPr>
                <w:rFonts w:hint="eastAsia"/>
                <w:lang w:val="en-US" w:eastAsia="zh-CN"/>
              </w:rPr>
              <w:t>/d，余量尚可消纳本项目的废水水量。综上所述本项目生产运营期间废水进入园区污水处理厂可行。</w:t>
            </w:r>
          </w:p>
          <w:p>
            <w:pPr>
              <w:pStyle w:val="5"/>
              <w:rPr>
                <w:color w:val="auto"/>
              </w:rPr>
            </w:pPr>
            <w:r>
              <w:rPr>
                <w:rFonts w:hint="eastAsia"/>
                <w:color w:val="auto"/>
                <w:lang w:val="en-US" w:eastAsia="zh-CN"/>
              </w:rPr>
              <w:t>4</w:t>
            </w:r>
            <w:r>
              <w:rPr>
                <w:color w:val="auto"/>
              </w:rPr>
              <w:t>、声环境</w:t>
            </w:r>
            <w:bookmarkEnd w:id="36"/>
            <w:bookmarkEnd w:id="37"/>
            <w:bookmarkEnd w:id="38"/>
            <w:bookmarkEnd w:id="39"/>
            <w:bookmarkEnd w:id="40"/>
            <w:bookmarkEnd w:id="41"/>
            <w:bookmarkEnd w:id="42"/>
            <w:bookmarkEnd w:id="43"/>
            <w:r>
              <w:rPr>
                <w:rFonts w:hint="eastAsia"/>
                <w:color w:val="auto"/>
              </w:rPr>
              <w:t>保护措施</w:t>
            </w:r>
          </w:p>
          <w:p>
            <w:pPr>
              <w:pStyle w:val="5"/>
              <w:bidi w:val="0"/>
              <w:rPr>
                <w:rFonts w:hint="default"/>
                <w:color w:val="auto"/>
                <w:lang w:val="en-US" w:eastAsia="zh-CN"/>
              </w:rPr>
            </w:pPr>
            <w:r>
              <w:rPr>
                <w:rFonts w:hint="eastAsia"/>
                <w:color w:val="auto"/>
                <w:lang w:val="en-US" w:eastAsia="zh-CN"/>
              </w:rPr>
              <w:t>4.1降噪措施</w:t>
            </w:r>
          </w:p>
          <w:p>
            <w:pPr>
              <w:ind w:firstLine="480"/>
              <w:rPr>
                <w:color w:val="auto"/>
              </w:rPr>
            </w:pPr>
            <w:r>
              <w:rPr>
                <w:color w:val="auto"/>
              </w:rPr>
              <w:t>为了减少机械噪声对厂界噪声的贡献值，以及减小噪声对矿区生产工人的影响，本环评提出以下防治措施：</w:t>
            </w:r>
          </w:p>
          <w:p>
            <w:pPr>
              <w:ind w:firstLine="480"/>
              <w:rPr>
                <w:color w:val="auto"/>
              </w:rPr>
            </w:pPr>
            <w:r>
              <w:rPr>
                <w:color w:val="auto"/>
              </w:rPr>
              <w:t>（1）</w:t>
            </w:r>
            <w:r>
              <w:rPr>
                <w:rFonts w:hint="eastAsia"/>
                <w:color w:val="auto"/>
              </w:rPr>
              <w:t>选用低噪声设备</w:t>
            </w:r>
            <w:r>
              <w:rPr>
                <w:color w:val="auto"/>
              </w:rPr>
              <w:t>，闲置设备应立即关闭</w:t>
            </w:r>
            <w:r>
              <w:rPr>
                <w:rFonts w:hint="eastAsia"/>
                <w:color w:val="auto"/>
                <w:lang w:eastAsia="zh-CN"/>
              </w:rPr>
              <w:t>，</w:t>
            </w:r>
            <w:r>
              <w:rPr>
                <w:color w:val="auto"/>
              </w:rPr>
              <w:t>按章操作减少碰撞噪声。</w:t>
            </w:r>
          </w:p>
          <w:p>
            <w:pPr>
              <w:ind w:firstLine="480"/>
              <w:rPr>
                <w:color w:val="auto"/>
              </w:rPr>
            </w:pPr>
            <w:r>
              <w:rPr>
                <w:color w:val="auto"/>
              </w:rPr>
              <w:t>（</w:t>
            </w:r>
            <w:r>
              <w:rPr>
                <w:rFonts w:hint="eastAsia"/>
                <w:color w:val="auto"/>
                <w:lang w:val="en-US" w:eastAsia="zh-CN"/>
              </w:rPr>
              <w:t>2</w:t>
            </w:r>
            <w:r>
              <w:rPr>
                <w:color w:val="auto"/>
              </w:rPr>
              <w:t>）加强项目区内机械设备的日常保养与维护，定期维修设备，使其处于良好运行状态。</w:t>
            </w:r>
          </w:p>
          <w:p>
            <w:pPr>
              <w:ind w:firstLine="480"/>
              <w:rPr>
                <w:color w:val="auto"/>
              </w:rPr>
            </w:pPr>
            <w:r>
              <w:rPr>
                <w:color w:val="auto"/>
              </w:rPr>
              <w:t>（</w:t>
            </w:r>
            <w:r>
              <w:rPr>
                <w:rFonts w:hint="eastAsia"/>
                <w:color w:val="auto"/>
                <w:lang w:val="en-US" w:eastAsia="zh-CN"/>
              </w:rPr>
              <w:t>3</w:t>
            </w:r>
            <w:r>
              <w:rPr>
                <w:color w:val="auto"/>
              </w:rPr>
              <w:t>）噪声对于矿区生产工人影响很大，因此，</w:t>
            </w:r>
            <w:r>
              <w:rPr>
                <w:rFonts w:hint="eastAsia"/>
                <w:color w:val="auto"/>
                <w:lang w:eastAsia="zh-CN"/>
              </w:rPr>
              <w:t>需加强</w:t>
            </w:r>
            <w:r>
              <w:rPr>
                <w:color w:val="auto"/>
              </w:rPr>
              <w:t>对工人的劳动保护工作，减少工人连续工作时间，给工人</w:t>
            </w:r>
            <w:r>
              <w:rPr>
                <w:rFonts w:hint="eastAsia"/>
                <w:color w:val="auto"/>
                <w:lang w:eastAsia="zh-CN"/>
              </w:rPr>
              <w:t>配备</w:t>
            </w:r>
            <w:r>
              <w:rPr>
                <w:color w:val="auto"/>
              </w:rPr>
              <w:t>随身的防噪设备，如耳塞、耳罩等。</w:t>
            </w:r>
          </w:p>
          <w:p>
            <w:pPr>
              <w:pStyle w:val="71"/>
              <w:ind w:firstLine="480"/>
              <w:rPr>
                <w:color w:val="auto"/>
              </w:rPr>
            </w:pPr>
            <w:r>
              <w:rPr>
                <w:color w:val="auto"/>
              </w:rPr>
              <w:t>（</w:t>
            </w:r>
            <w:r>
              <w:rPr>
                <w:rFonts w:hint="eastAsia"/>
                <w:color w:val="auto"/>
                <w:lang w:val="en-US" w:eastAsia="zh-CN"/>
              </w:rPr>
              <w:t>4</w:t>
            </w:r>
            <w:r>
              <w:rPr>
                <w:color w:val="auto"/>
              </w:rPr>
              <w:t>）对于进出矿区的成品运输车辆引起的噪声，应通过限速、经过敏感点时禁止鸣笛等措施来降低其影响。</w:t>
            </w:r>
          </w:p>
          <w:p>
            <w:pPr>
              <w:pStyle w:val="5"/>
              <w:bidi w:val="0"/>
              <w:rPr>
                <w:rFonts w:hint="eastAsia"/>
                <w:color w:val="auto"/>
                <w:lang w:eastAsia="zh-CN"/>
              </w:rPr>
            </w:pPr>
            <w:r>
              <w:rPr>
                <w:rFonts w:hint="eastAsia"/>
                <w:color w:val="auto"/>
                <w:lang w:val="en-US" w:eastAsia="zh-CN"/>
              </w:rPr>
              <w:t>4.2</w:t>
            </w:r>
            <w:r>
              <w:rPr>
                <w:rFonts w:hint="eastAsia"/>
                <w:color w:val="auto"/>
                <w:lang w:eastAsia="zh-CN"/>
              </w:rPr>
              <w:t>监测计划</w:t>
            </w:r>
          </w:p>
          <w:p>
            <w:pPr>
              <w:bidi w:val="0"/>
              <w:rPr>
                <w:rFonts w:hint="eastAsia"/>
                <w:color w:val="auto"/>
                <w:lang w:eastAsia="zh-CN"/>
              </w:rPr>
            </w:pPr>
            <w:r>
              <w:rPr>
                <w:rFonts w:hint="eastAsia"/>
                <w:color w:val="auto"/>
                <w:lang w:eastAsia="zh-CN"/>
              </w:rPr>
              <w:t>本项目运营后监测计划如下表</w:t>
            </w:r>
            <w:r>
              <w:rPr>
                <w:rFonts w:hint="eastAsia"/>
                <w:color w:val="auto"/>
                <w:lang w:val="en-US" w:eastAsia="zh-CN"/>
              </w:rPr>
              <w:t>5-2</w:t>
            </w:r>
            <w:r>
              <w:rPr>
                <w:rFonts w:hint="eastAsia"/>
                <w:color w:val="auto"/>
                <w:lang w:eastAsia="zh-CN"/>
              </w:rPr>
              <w:t>：</w:t>
            </w:r>
          </w:p>
          <w:p>
            <w:pPr>
              <w:pStyle w:val="7"/>
              <w:bidi w:val="0"/>
              <w:rPr>
                <w:rFonts w:hint="default"/>
                <w:color w:val="auto"/>
                <w:lang w:eastAsia="zh-CN"/>
              </w:rPr>
            </w:pPr>
            <w:r>
              <w:rPr>
                <w:rFonts w:hint="default"/>
                <w:color w:val="auto"/>
                <w:lang w:eastAsia="zh-CN"/>
              </w:rPr>
              <w:t>表</w:t>
            </w:r>
            <w:r>
              <w:rPr>
                <w:rFonts w:hint="eastAsia"/>
                <w:color w:val="auto"/>
                <w:lang w:val="en-US" w:eastAsia="zh-CN"/>
              </w:rPr>
              <w:t>5-2                    声</w:t>
            </w:r>
            <w:r>
              <w:rPr>
                <w:rFonts w:hint="default"/>
                <w:color w:val="auto"/>
                <w:lang w:eastAsia="zh-CN"/>
              </w:rPr>
              <w:t>环境监测计划</w:t>
            </w:r>
          </w:p>
          <w:tbl>
            <w:tblPr>
              <w:tblStyle w:val="30"/>
              <w:tblW w:w="74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189"/>
              <w:gridCol w:w="1611"/>
              <w:gridCol w:w="1035"/>
              <w:gridCol w:w="27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11"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项目</w:t>
                  </w:r>
                </w:p>
              </w:tc>
              <w:tc>
                <w:tcPr>
                  <w:tcW w:w="1189"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监测点位</w:t>
                  </w:r>
                </w:p>
              </w:tc>
              <w:tc>
                <w:tcPr>
                  <w:tcW w:w="1611"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监测项目</w:t>
                  </w:r>
                </w:p>
              </w:tc>
              <w:tc>
                <w:tcPr>
                  <w:tcW w:w="1035"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监测频率</w:t>
                  </w:r>
                </w:p>
              </w:tc>
              <w:tc>
                <w:tcPr>
                  <w:tcW w:w="2730"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11"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噪声</w:t>
                  </w:r>
                </w:p>
              </w:tc>
              <w:tc>
                <w:tcPr>
                  <w:tcW w:w="1189"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厂界</w:t>
                  </w:r>
                </w:p>
              </w:tc>
              <w:tc>
                <w:tcPr>
                  <w:tcW w:w="1611" w:type="dxa"/>
                  <w:tcBorders>
                    <w:tl2br w:val="nil"/>
                    <w:tr2bl w:val="nil"/>
                  </w:tcBorders>
                  <w:noWrap w:val="0"/>
                  <w:vAlign w:val="center"/>
                </w:tcPr>
                <w:p>
                  <w:pPr>
                    <w:pStyle w:val="47"/>
                    <w:topLinePunct/>
                    <w:autoSpaceDE/>
                    <w:autoSpaceDN/>
                    <w:bidi w:val="0"/>
                    <w:spacing w:before="0" w:after="0"/>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等效连续A声级</w:t>
                  </w:r>
                </w:p>
              </w:tc>
              <w:tc>
                <w:tcPr>
                  <w:tcW w:w="1035" w:type="dxa"/>
                  <w:tcBorders>
                    <w:tl2br w:val="nil"/>
                    <w:tr2bl w:val="nil"/>
                  </w:tcBorders>
                  <w:noWrap w:val="0"/>
                  <w:vAlign w:val="center"/>
                </w:tcPr>
                <w:p>
                  <w:pPr>
                    <w:pStyle w:val="47"/>
                    <w:topLinePunct/>
                    <w:autoSpaceDE/>
                    <w:autoSpaceDN/>
                    <w:bidi w:val="0"/>
                    <w:spacing w:before="0" w:after="0"/>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1次/</w:t>
                  </w:r>
                  <w:r>
                    <w:rPr>
                      <w:rFonts w:hint="eastAsia" w:cs="Times New Roman"/>
                      <w:color w:val="auto"/>
                      <w:kern w:val="2"/>
                      <w:sz w:val="21"/>
                      <w:szCs w:val="21"/>
                      <w:lang w:val="en-US" w:eastAsia="zh-CN"/>
                    </w:rPr>
                    <w:t>季</w:t>
                  </w:r>
                </w:p>
              </w:tc>
              <w:tc>
                <w:tcPr>
                  <w:tcW w:w="2730" w:type="dxa"/>
                  <w:tcBorders>
                    <w:tl2br w:val="nil"/>
                    <w:tr2bl w:val="nil"/>
                  </w:tcBorders>
                  <w:noWrap w:val="0"/>
                  <w:vAlign w:val="center"/>
                </w:tcPr>
                <w:p>
                  <w:pPr>
                    <w:pStyle w:val="47"/>
                    <w:topLinePunct/>
                    <w:autoSpaceDE/>
                    <w:autoSpaceDN/>
                    <w:bidi w:val="0"/>
                    <w:spacing w:before="0" w:after="0"/>
                    <w:textAlignment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《工业企业厂界环境噪声排放标准》</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GB</w:t>
                  </w:r>
                  <w:r>
                    <w:rPr>
                      <w:rFonts w:hint="eastAsia" w:ascii="Times New Roman" w:hAnsi="Times New Roman" w:eastAsia="宋体" w:cs="Times New Roman"/>
                      <w:color w:val="auto"/>
                      <w:kern w:val="2"/>
                      <w:sz w:val="21"/>
                      <w:szCs w:val="21"/>
                      <w:lang w:val="en-US" w:eastAsia="zh-CN"/>
                    </w:rPr>
                    <w:t>12348</w:t>
                  </w:r>
                  <w:r>
                    <w:rPr>
                      <w:rFonts w:hint="default" w:ascii="Times New Roman" w:hAnsi="Times New Roman" w:eastAsia="宋体" w:cs="Times New Roman"/>
                      <w:color w:val="auto"/>
                      <w:kern w:val="2"/>
                      <w:sz w:val="21"/>
                      <w:szCs w:val="21"/>
                      <w:lang w:val="en-US" w:eastAsia="zh-CN"/>
                    </w:rPr>
                    <w:t>-2008</w:t>
                  </w:r>
                  <w:r>
                    <w:rPr>
                      <w:rFonts w:hint="eastAsia" w:cs="Times New Roman"/>
                      <w:color w:val="auto"/>
                      <w:kern w:val="2"/>
                      <w:sz w:val="21"/>
                      <w:szCs w:val="21"/>
                      <w:lang w:val="en-US" w:eastAsia="zh-CN"/>
                    </w:rPr>
                    <w:t>）2</w:t>
                  </w:r>
                  <w:r>
                    <w:rPr>
                      <w:rFonts w:hint="eastAsia" w:ascii="Times New Roman" w:hAnsi="Times New Roman" w:eastAsia="宋体" w:cs="Times New Roman"/>
                      <w:color w:val="auto"/>
                      <w:kern w:val="2"/>
                      <w:sz w:val="21"/>
                      <w:szCs w:val="21"/>
                      <w:lang w:val="en-US" w:eastAsia="zh-CN"/>
                    </w:rPr>
                    <w:t>类区排放标准</w:t>
                  </w:r>
                </w:p>
              </w:tc>
            </w:tr>
          </w:tbl>
          <w:p>
            <w:pPr>
              <w:pStyle w:val="5"/>
              <w:rPr>
                <w:color w:val="auto"/>
              </w:rPr>
            </w:pPr>
            <w:bookmarkStart w:id="44" w:name="_Toc332103632"/>
            <w:bookmarkStart w:id="45" w:name="_Toc16383"/>
            <w:bookmarkStart w:id="46" w:name="_Toc332103732"/>
            <w:bookmarkStart w:id="47" w:name="_Toc382903251"/>
            <w:bookmarkStart w:id="48" w:name="_Toc383796790"/>
            <w:bookmarkStart w:id="49" w:name="_Toc249693709"/>
            <w:bookmarkStart w:id="50" w:name="_Toc381340756"/>
            <w:bookmarkStart w:id="51" w:name="_Toc319228420"/>
            <w:r>
              <w:rPr>
                <w:rFonts w:hint="eastAsia"/>
                <w:color w:val="auto"/>
                <w:lang w:val="en-US" w:eastAsia="zh-CN"/>
              </w:rPr>
              <w:t>5</w:t>
            </w:r>
            <w:r>
              <w:rPr>
                <w:rFonts w:hint="eastAsia"/>
                <w:color w:val="auto"/>
              </w:rPr>
              <w:t>、</w:t>
            </w:r>
            <w:r>
              <w:rPr>
                <w:color w:val="auto"/>
              </w:rPr>
              <w:t>固体废弃物</w:t>
            </w:r>
            <w:bookmarkEnd w:id="44"/>
            <w:bookmarkEnd w:id="45"/>
            <w:bookmarkEnd w:id="46"/>
            <w:bookmarkEnd w:id="47"/>
            <w:bookmarkEnd w:id="48"/>
            <w:bookmarkEnd w:id="49"/>
            <w:bookmarkEnd w:id="50"/>
            <w:bookmarkEnd w:id="51"/>
          </w:p>
          <w:p>
            <w:pPr>
              <w:pStyle w:val="5"/>
              <w:rPr>
                <w:color w:val="auto"/>
              </w:rPr>
            </w:pPr>
            <w:r>
              <w:rPr>
                <w:rFonts w:hint="eastAsia"/>
                <w:color w:val="auto"/>
                <w:lang w:val="en-US" w:eastAsia="zh-CN"/>
              </w:rPr>
              <w:t>5</w:t>
            </w:r>
            <w:r>
              <w:rPr>
                <w:rFonts w:hint="eastAsia"/>
                <w:color w:val="auto"/>
              </w:rPr>
              <w:t>.1生产固废</w:t>
            </w:r>
          </w:p>
          <w:p>
            <w:pPr>
              <w:bidi w:val="0"/>
              <w:rPr>
                <w:color w:val="auto"/>
              </w:rPr>
            </w:pPr>
            <w:r>
              <w:rPr>
                <w:rFonts w:hint="eastAsia"/>
                <w:color w:val="auto"/>
              </w:rPr>
              <w:t>一般固废：主要包括</w:t>
            </w:r>
            <w:r>
              <w:rPr>
                <w:rFonts w:hint="eastAsia"/>
                <w:color w:val="auto"/>
                <w:lang w:eastAsia="zh-CN"/>
              </w:rPr>
              <w:t>废石、</w:t>
            </w:r>
            <w:r>
              <w:rPr>
                <w:rFonts w:hint="eastAsia"/>
                <w:color w:val="auto"/>
                <w:lang w:val="en-US" w:eastAsia="zh-CN"/>
              </w:rPr>
              <w:t>不合格矿石</w:t>
            </w:r>
            <w:r>
              <w:rPr>
                <w:rFonts w:hint="eastAsia"/>
                <w:color w:val="auto"/>
              </w:rPr>
              <w:t>和沉淀泥</w:t>
            </w:r>
            <w:r>
              <w:rPr>
                <w:rFonts w:hint="eastAsia"/>
                <w:color w:val="auto"/>
                <w:lang w:eastAsia="zh-CN"/>
              </w:rPr>
              <w:t>沙</w:t>
            </w:r>
            <w:r>
              <w:rPr>
                <w:rFonts w:hint="eastAsia"/>
                <w:color w:val="auto"/>
              </w:rPr>
              <w:t>，定期清运至废石</w:t>
            </w:r>
            <w:r>
              <w:rPr>
                <w:rFonts w:hint="eastAsia"/>
                <w:color w:val="auto"/>
                <w:lang w:eastAsia="zh-CN"/>
              </w:rPr>
              <w:t>堆场</w:t>
            </w:r>
            <w:r>
              <w:rPr>
                <w:rFonts w:hint="eastAsia"/>
                <w:color w:val="auto"/>
              </w:rPr>
              <w:t>，</w:t>
            </w:r>
            <w:r>
              <w:rPr>
                <w:rFonts w:hint="eastAsia"/>
                <w:color w:val="auto"/>
                <w:lang w:val="en-US" w:eastAsia="zh-CN"/>
              </w:rPr>
              <w:t>复垦期</w:t>
            </w:r>
            <w:r>
              <w:rPr>
                <w:rFonts w:hint="eastAsia"/>
                <w:color w:val="auto"/>
              </w:rPr>
              <w:t>全部用于</w:t>
            </w:r>
            <w:r>
              <w:rPr>
                <w:rFonts w:hint="eastAsia"/>
                <w:color w:val="auto"/>
                <w:lang w:eastAsia="zh-CN"/>
              </w:rPr>
              <w:t>采坑回填</w:t>
            </w:r>
            <w:r>
              <w:rPr>
                <w:color w:val="auto"/>
              </w:rPr>
              <w:t>。</w:t>
            </w:r>
          </w:p>
          <w:p>
            <w:pPr>
              <w:ind w:firstLine="480"/>
              <w:rPr>
                <w:color w:val="auto"/>
              </w:rPr>
            </w:pPr>
            <w:r>
              <w:rPr>
                <w:color w:val="auto"/>
              </w:rPr>
              <w:t>危险固废：生产过程中产生的</w:t>
            </w:r>
            <w:r>
              <w:rPr>
                <w:rFonts w:hint="eastAsia"/>
                <w:color w:val="auto"/>
              </w:rPr>
              <w:t>少量</w:t>
            </w:r>
            <w:r>
              <w:rPr>
                <w:rFonts w:hint="eastAsia"/>
                <w:color w:val="auto"/>
                <w:lang w:eastAsia="zh-CN"/>
              </w:rPr>
              <w:t>废润滑油</w:t>
            </w:r>
            <w:r>
              <w:rPr>
                <w:color w:val="auto"/>
              </w:rPr>
              <w:t>属于危险固废，密闭桶收集后，暂存</w:t>
            </w:r>
            <w:r>
              <w:rPr>
                <w:rFonts w:hint="eastAsia"/>
                <w:color w:val="auto"/>
              </w:rPr>
              <w:t>于矿</w:t>
            </w:r>
            <w:r>
              <w:rPr>
                <w:color w:val="auto"/>
              </w:rPr>
              <w:t>区</w:t>
            </w:r>
            <w:r>
              <w:rPr>
                <w:rFonts w:hint="eastAsia"/>
                <w:color w:val="auto"/>
                <w:lang w:eastAsia="zh-CN"/>
              </w:rPr>
              <w:t>危险废物贮存库</w:t>
            </w:r>
            <w:r>
              <w:rPr>
                <w:rFonts w:hint="eastAsia"/>
                <w:color w:val="auto"/>
              </w:rPr>
              <w:t>（1</w:t>
            </w:r>
            <w:r>
              <w:rPr>
                <w:rFonts w:hint="eastAsia"/>
                <w:color w:val="auto"/>
                <w:lang w:val="en-US" w:eastAsia="zh-CN"/>
              </w:rPr>
              <w:t>5</w:t>
            </w:r>
            <w:r>
              <w:rPr>
                <w:rFonts w:hint="eastAsia"/>
                <w:color w:val="auto"/>
              </w:rPr>
              <w:t>m</w:t>
            </w:r>
            <w:r>
              <w:rPr>
                <w:rFonts w:hint="eastAsia"/>
                <w:color w:val="auto"/>
                <w:vertAlign w:val="superscript"/>
              </w:rPr>
              <w:t>2</w:t>
            </w:r>
            <w:r>
              <w:rPr>
                <w:rFonts w:hint="eastAsia"/>
                <w:color w:val="auto"/>
              </w:rPr>
              <w:t>）</w:t>
            </w:r>
            <w:r>
              <w:rPr>
                <w:rFonts w:hint="eastAsia"/>
                <w:color w:val="auto"/>
                <w:lang w:eastAsia="zh-CN"/>
              </w:rPr>
              <w:t>，</w:t>
            </w:r>
            <w:r>
              <w:rPr>
                <w:color w:val="auto"/>
              </w:rPr>
              <w:t>定期</w:t>
            </w:r>
            <w:r>
              <w:rPr>
                <w:rFonts w:hint="eastAsia"/>
                <w:color w:val="auto"/>
                <w:lang w:eastAsia="zh-CN"/>
              </w:rPr>
              <w:t>委托</w:t>
            </w:r>
            <w:r>
              <w:rPr>
                <w:color w:val="auto"/>
              </w:rPr>
              <w:t>有危废处置资质单位处置</w:t>
            </w:r>
            <w:r>
              <w:rPr>
                <w:rFonts w:hint="eastAsia"/>
                <w:color w:val="auto"/>
                <w:lang w:eastAsia="zh-CN"/>
              </w:rPr>
              <w:t>；废油桶、</w:t>
            </w:r>
            <w:r>
              <w:rPr>
                <w:rFonts w:hint="eastAsia"/>
                <w:color w:val="auto"/>
              </w:rPr>
              <w:t>含油废抹布、手套</w:t>
            </w:r>
            <w:r>
              <w:rPr>
                <w:rFonts w:hint="eastAsia"/>
                <w:color w:val="auto"/>
                <w:lang w:val="en-US" w:eastAsia="zh-CN"/>
              </w:rPr>
              <w:t>集中收集至危险废物贮存库，</w:t>
            </w:r>
            <w:r>
              <w:rPr>
                <w:color w:val="auto"/>
              </w:rPr>
              <w:t>定期</w:t>
            </w:r>
            <w:r>
              <w:rPr>
                <w:rFonts w:hint="eastAsia"/>
                <w:color w:val="auto"/>
                <w:lang w:eastAsia="zh-CN"/>
              </w:rPr>
              <w:t>委托</w:t>
            </w:r>
            <w:r>
              <w:rPr>
                <w:color w:val="auto"/>
              </w:rPr>
              <w:t>有危废处置资质单位处置</w:t>
            </w:r>
            <w:r>
              <w:rPr>
                <w:rFonts w:hint="eastAsia"/>
                <w:color w:val="auto"/>
              </w:rPr>
              <w:t>。</w:t>
            </w:r>
          </w:p>
          <w:p>
            <w:pPr>
              <w:pStyle w:val="5"/>
              <w:rPr>
                <w:color w:val="auto"/>
              </w:rPr>
            </w:pPr>
            <w:r>
              <w:rPr>
                <w:rFonts w:hint="eastAsia"/>
                <w:color w:val="auto"/>
                <w:lang w:val="en-US" w:eastAsia="zh-CN"/>
              </w:rPr>
              <w:t>5</w:t>
            </w:r>
            <w:r>
              <w:rPr>
                <w:rFonts w:hint="eastAsia"/>
                <w:color w:val="auto"/>
              </w:rPr>
              <w:t>.2生活垃圾</w:t>
            </w:r>
          </w:p>
          <w:p>
            <w:pPr>
              <w:ind w:firstLine="480"/>
              <w:rPr>
                <w:color w:val="auto"/>
              </w:rPr>
            </w:pPr>
            <w:r>
              <w:rPr>
                <w:color w:val="auto"/>
              </w:rPr>
              <w:t>生活垃圾产生量约</w:t>
            </w:r>
            <w:r>
              <w:rPr>
                <w:rFonts w:hint="eastAsia"/>
                <w:color w:val="auto"/>
                <w:lang w:val="en-US" w:eastAsia="zh-CN"/>
              </w:rPr>
              <w:t>2.64</w:t>
            </w:r>
            <w:r>
              <w:rPr>
                <w:color w:val="auto"/>
              </w:rPr>
              <w:t>t/a</w:t>
            </w:r>
            <w:r>
              <w:rPr>
                <w:rFonts w:hint="eastAsia"/>
                <w:color w:val="auto"/>
              </w:rPr>
              <w:t>，</w:t>
            </w:r>
            <w:r>
              <w:rPr>
                <w:color w:val="auto"/>
              </w:rPr>
              <w:t>生活垃圾</w:t>
            </w:r>
            <w:r>
              <w:rPr>
                <w:rFonts w:hint="eastAsia"/>
                <w:color w:val="auto"/>
              </w:rPr>
              <w:t>统一</w:t>
            </w:r>
            <w:r>
              <w:rPr>
                <w:color w:val="auto"/>
              </w:rPr>
              <w:t>集中收集</w:t>
            </w:r>
            <w:r>
              <w:rPr>
                <w:rFonts w:hint="eastAsia" w:ascii="宋体" w:hAnsi="宋体"/>
                <w:color w:val="auto"/>
              </w:rPr>
              <w:t>后定期清运至生活垃圾填埋场处理</w:t>
            </w:r>
            <w:r>
              <w:rPr>
                <w:color w:val="auto"/>
              </w:rPr>
              <w:t>。</w:t>
            </w:r>
          </w:p>
          <w:p>
            <w:pPr>
              <w:pStyle w:val="5"/>
              <w:rPr>
                <w:color w:val="auto"/>
              </w:rPr>
            </w:pPr>
            <w:r>
              <w:rPr>
                <w:rFonts w:hint="eastAsia"/>
                <w:color w:val="auto"/>
                <w:lang w:val="en-US" w:eastAsia="zh-CN"/>
              </w:rPr>
              <w:t>5.3</w:t>
            </w:r>
            <w:r>
              <w:rPr>
                <w:color w:val="auto"/>
              </w:rPr>
              <w:t>危险废物暂存及运输</w:t>
            </w:r>
            <w:r>
              <w:rPr>
                <w:rFonts w:hint="eastAsia"/>
                <w:color w:val="auto"/>
              </w:rPr>
              <w:t>措施</w:t>
            </w:r>
          </w:p>
          <w:p>
            <w:pPr>
              <w:bidi w:val="0"/>
              <w:rPr>
                <w:rFonts w:hint="eastAsia"/>
                <w:color w:val="auto"/>
                <w:lang w:eastAsia="zh-CN"/>
              </w:rPr>
            </w:pPr>
            <w:bookmarkStart w:id="52" w:name="_Toc384381675"/>
            <w:bookmarkStart w:id="53" w:name="_Toc382903246"/>
            <w:bookmarkStart w:id="54" w:name="_Toc381340751"/>
            <w:bookmarkStart w:id="55" w:name="_Toc383796785"/>
            <w:r>
              <w:rPr>
                <w:rFonts w:hint="eastAsia"/>
                <w:color w:val="auto"/>
                <w:lang w:eastAsia="zh-CN"/>
              </w:rPr>
              <w:t>（</w:t>
            </w:r>
            <w:r>
              <w:rPr>
                <w:rFonts w:hint="eastAsia"/>
                <w:color w:val="auto"/>
                <w:lang w:val="en-US" w:eastAsia="zh-CN"/>
              </w:rPr>
              <w:t>1</w:t>
            </w:r>
            <w:r>
              <w:rPr>
                <w:rFonts w:hint="eastAsia"/>
                <w:color w:val="auto"/>
                <w:lang w:eastAsia="zh-CN"/>
              </w:rPr>
              <w:t>）危险废物收集</w:t>
            </w:r>
          </w:p>
          <w:p>
            <w:pPr>
              <w:bidi w:val="0"/>
              <w:rPr>
                <w:rFonts w:hint="eastAsia"/>
                <w:color w:val="auto"/>
                <w:lang w:eastAsia="zh-CN"/>
              </w:rPr>
            </w:pPr>
            <w:r>
              <w:rPr>
                <w:rFonts w:hint="eastAsia"/>
                <w:color w:val="auto"/>
                <w:lang w:eastAsia="zh-CN"/>
              </w:rPr>
              <w:t>①危险废物的收集应制定详细的操作规程，包括适用范围、操作程序和方法、专用设备和工具、转移和交接、安全保障和应急防护等；</w:t>
            </w:r>
          </w:p>
          <w:p>
            <w:pPr>
              <w:bidi w:val="0"/>
              <w:rPr>
                <w:rFonts w:hint="eastAsia"/>
                <w:color w:val="auto"/>
                <w:lang w:eastAsia="zh-CN"/>
              </w:rPr>
            </w:pPr>
            <w:r>
              <w:rPr>
                <w:rFonts w:hint="eastAsia"/>
                <w:color w:val="auto"/>
                <w:lang w:eastAsia="zh-CN"/>
              </w:rPr>
              <w:t>②危险废物收集和转运作业人员应根据工作需要配备必要的个人防护装备，如手套、防护镜、防护服、防毒面具或口罩等；</w:t>
            </w:r>
          </w:p>
          <w:p>
            <w:pPr>
              <w:bidi w:val="0"/>
              <w:rPr>
                <w:rFonts w:hint="eastAsia"/>
                <w:color w:val="auto"/>
                <w:lang w:eastAsia="zh-CN"/>
              </w:rPr>
            </w:pPr>
            <w:r>
              <w:rPr>
                <w:rFonts w:hint="eastAsia"/>
                <w:color w:val="auto"/>
                <w:lang w:eastAsia="zh-CN"/>
              </w:rPr>
              <w:t>③在危险废物的收集和转运过程中，应采取相应的安全防护和污染防治措施，包括防爆、防火、防中毒、防感染、防泄漏、防飞扬、防雨或其它防止污染环境的措施；</w:t>
            </w:r>
          </w:p>
          <w:p>
            <w:pPr>
              <w:bidi w:val="0"/>
              <w:rPr>
                <w:rFonts w:hint="eastAsia"/>
                <w:color w:val="auto"/>
                <w:lang w:eastAsia="zh-CN"/>
              </w:rPr>
            </w:pPr>
            <w:r>
              <w:rPr>
                <w:rFonts w:hint="eastAsia"/>
                <w:color w:val="auto"/>
                <w:lang w:eastAsia="zh-CN"/>
              </w:rPr>
              <w:t>④危险废物收集时应根据危险废物的种类、数量、危险特性、物理形态、运输要求等因素确定包装形式，具体包装应符合如下要求：</w:t>
            </w:r>
          </w:p>
          <w:p>
            <w:pPr>
              <w:bidi w:val="0"/>
              <w:rPr>
                <w:rFonts w:hint="eastAsia"/>
                <w:color w:val="auto"/>
                <w:lang w:eastAsia="zh-CN"/>
              </w:rPr>
            </w:pPr>
            <w:r>
              <w:rPr>
                <w:rFonts w:hint="eastAsia"/>
                <w:color w:val="auto"/>
                <w:lang w:eastAsia="zh-CN"/>
              </w:rPr>
              <w:t>包装材质要与危险废物相容，</w:t>
            </w:r>
            <w:r>
              <w:rPr>
                <w:rFonts w:hint="eastAsia"/>
                <w:color w:val="auto"/>
                <w:lang w:val="en-US" w:eastAsia="zh-CN"/>
              </w:rPr>
              <w:t>废润滑油采取铁桶储存、含油抹布、手套采取箱装、废油桶保证静置无滴漏</w:t>
            </w:r>
            <w:r>
              <w:rPr>
                <w:rFonts w:hint="eastAsia"/>
                <w:color w:val="auto"/>
                <w:lang w:eastAsia="zh-CN"/>
              </w:rPr>
              <w:t>；危险废物包装应能有效隔断危险废物迁移扩散途径，并达到防渗、防漏要求；包装好的危险废物应设置相应的标签，标签信息应填写完整；盛装过危险废物的包装袋或包装容器破损后应按危险废物进行管理和处置；危险废物还应根据《</w:t>
            </w:r>
            <w:r>
              <w:rPr>
                <w:rFonts w:hint="default"/>
                <w:color w:val="auto"/>
                <w:lang w:eastAsia="zh-CN"/>
              </w:rPr>
              <w:t>危险货物运输包装通用技术条件</w:t>
            </w:r>
            <w:r>
              <w:rPr>
                <w:rFonts w:hint="eastAsia"/>
                <w:color w:val="auto"/>
                <w:lang w:eastAsia="zh-CN"/>
              </w:rPr>
              <w:t>》（GB12463</w:t>
            </w:r>
            <w:r>
              <w:rPr>
                <w:rFonts w:hint="eastAsia"/>
                <w:color w:val="auto"/>
                <w:lang w:val="en-US" w:eastAsia="zh-CN"/>
              </w:rPr>
              <w:t>-2009</w:t>
            </w:r>
            <w:r>
              <w:rPr>
                <w:rFonts w:hint="eastAsia"/>
                <w:color w:val="auto"/>
                <w:lang w:eastAsia="zh-CN"/>
              </w:rPr>
              <w:t>）的有关要求进行运输包装。</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）危险废物的贮存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①</w:t>
            </w:r>
            <w:r>
              <w:rPr>
                <w:rFonts w:hint="eastAsia"/>
                <w:color w:val="auto"/>
                <w:spacing w:val="0"/>
                <w:kern w:val="0"/>
                <w:position w:val="0"/>
                <w:sz w:val="24"/>
                <w:highlight w:val="none"/>
                <w:lang w:val="en-US" w:eastAsia="zh-CN"/>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pacing w:val="0"/>
                <w:kern w:val="0"/>
                <w:position w:val="0"/>
                <w:sz w:val="24"/>
                <w:highlight w:val="none"/>
                <w:lang w:val="en-US" w:eastAsia="zh-CN"/>
              </w:rPr>
            </w:pPr>
            <w:r>
              <w:rPr>
                <w:rFonts w:hint="default"/>
                <w:color w:val="auto"/>
                <w:spacing w:val="0"/>
                <w:kern w:val="0"/>
                <w:position w:val="0"/>
                <w:sz w:val="24"/>
                <w:highlight w:val="none"/>
              </w:rPr>
              <w:t>②</w:t>
            </w:r>
            <w:r>
              <w:rPr>
                <w:rFonts w:hint="eastAsia"/>
                <w:color w:val="auto"/>
                <w:spacing w:val="0"/>
                <w:kern w:val="0"/>
                <w:position w:val="0"/>
                <w:sz w:val="24"/>
                <w:highlight w:val="none"/>
                <w:lang w:val="en-US" w:eastAsia="zh-CN"/>
              </w:rPr>
              <w:t>贮存设施应根据危险废物的类别、数量、形态、物理化学性质和污染防治等要求设置必要的贮存分区，避免不相容的危险废物接触、混合。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③</w:t>
            </w:r>
            <w:r>
              <w:rPr>
                <w:rFonts w:hint="eastAsia"/>
                <w:color w:val="auto"/>
                <w:spacing w:val="0"/>
                <w:kern w:val="0"/>
                <w:position w:val="0"/>
                <w:sz w:val="24"/>
                <w:highlight w:val="none"/>
                <w:lang w:val="en-US" w:eastAsia="zh-CN"/>
              </w:rPr>
              <w:t>贮存设施或贮存分区内地面、墙面裙脚、堵截泄漏的围堰、接触危险废物的隔板和墙体等应采用坚固的材料建造，表面无裂缝。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④</w:t>
            </w:r>
            <w:r>
              <w:rPr>
                <w:rFonts w:hint="eastAsia"/>
                <w:color w:val="auto"/>
                <w:spacing w:val="0"/>
                <w:kern w:val="0"/>
                <w:position w:val="0"/>
                <w:sz w:val="24"/>
                <w:highlight w:val="none"/>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color w:val="auto"/>
                <w:spacing w:val="0"/>
                <w:kern w:val="0"/>
                <w:position w:val="0"/>
                <w:sz w:val="24"/>
                <w:highlight w:val="none"/>
                <w:lang w:val="en-US" w:eastAsia="zh-CN"/>
              </w:rPr>
              <w:t>1m</w:t>
            </w:r>
            <w:r>
              <w:rPr>
                <w:rFonts w:hint="eastAsia"/>
                <w:color w:val="auto"/>
                <w:spacing w:val="0"/>
                <w:kern w:val="0"/>
                <w:position w:val="0"/>
                <w:sz w:val="24"/>
                <w:highlight w:val="none"/>
                <w:lang w:val="en-US" w:eastAsia="zh-CN"/>
              </w:rPr>
              <w:t>厚黏土层（渗透系数不大于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-7</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），或至少</w:t>
            </w:r>
            <w:r>
              <w:rPr>
                <w:rFonts w:hint="default"/>
                <w:color w:val="auto"/>
                <w:spacing w:val="0"/>
                <w:kern w:val="0"/>
                <w:position w:val="0"/>
                <w:sz w:val="24"/>
                <w:highlight w:val="none"/>
                <w:lang w:val="en-US" w:eastAsia="zh-CN"/>
              </w:rPr>
              <w:t>2mm</w:t>
            </w:r>
            <w:r>
              <w:rPr>
                <w:rFonts w:hint="eastAsia"/>
                <w:color w:val="auto"/>
                <w:spacing w:val="0"/>
                <w:kern w:val="0"/>
                <w:position w:val="0"/>
                <w:sz w:val="24"/>
                <w:highlight w:val="none"/>
                <w:lang w:val="en-US" w:eastAsia="zh-CN"/>
              </w:rPr>
              <w:t>厚高密度聚乙烯膜等人工防渗材料（渗透系数不大于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-10</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），或其他防渗性能等效的材料。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⑤</w:t>
            </w:r>
            <w:r>
              <w:rPr>
                <w:rFonts w:hint="eastAsia"/>
                <w:color w:val="auto"/>
                <w:spacing w:val="0"/>
                <w:kern w:val="0"/>
                <w:positio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r>
              <w:rPr>
                <w:rFonts w:hint="default"/>
                <w:color w:val="auto"/>
                <w:spacing w:val="0"/>
                <w:kern w:val="0"/>
                <w:position w:val="0"/>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⑥</w:t>
            </w:r>
            <w:r>
              <w:rPr>
                <w:rFonts w:hint="eastAsia"/>
                <w:color w:val="auto"/>
                <w:spacing w:val="0"/>
                <w:kern w:val="0"/>
                <w:position w:val="0"/>
                <w:sz w:val="24"/>
                <w:highlight w:val="none"/>
                <w:lang w:val="en-US" w:eastAsia="zh-CN"/>
              </w:rPr>
              <w:t>贮存设施应采取技术和管理措施防止无关人员进入</w:t>
            </w:r>
            <w:r>
              <w:rPr>
                <w:rFonts w:hint="default"/>
                <w:color w:val="auto"/>
                <w:spacing w:val="0"/>
                <w:kern w:val="0"/>
                <w:position w:val="0"/>
                <w:sz w:val="24"/>
                <w:highlight w:val="none"/>
              </w:rPr>
              <w:t>。</w:t>
            </w:r>
          </w:p>
          <w:p>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）危险废物</w:t>
            </w:r>
            <w:r>
              <w:rPr>
                <w:rFonts w:hint="default"/>
                <w:color w:val="auto"/>
              </w:rPr>
              <w:t>管理要求</w:t>
            </w:r>
          </w:p>
          <w:p>
            <w:pPr>
              <w:bidi w:val="0"/>
              <w:rPr>
                <w:rFonts w:hint="default"/>
                <w:color w:val="auto"/>
              </w:rPr>
            </w:pPr>
            <w:r>
              <w:rPr>
                <w:rFonts w:hint="default"/>
                <w:color w:val="auto"/>
              </w:rPr>
              <w:t>项目运营</w:t>
            </w:r>
            <w:r>
              <w:rPr>
                <w:rFonts w:hint="eastAsia"/>
                <w:color w:val="auto"/>
                <w:lang w:eastAsia="zh-CN"/>
              </w:rPr>
              <w:t>期由矿区工作人员</w:t>
            </w:r>
            <w:r>
              <w:rPr>
                <w:rFonts w:hint="default"/>
                <w:color w:val="auto"/>
              </w:rPr>
              <w:t>进行环境管理工作， 建立健全本项目环保档案，监督检查本项目环保设施运行效果，环境管理具体内容如下：</w:t>
            </w:r>
          </w:p>
          <w:p>
            <w:pPr>
              <w:bidi w:val="0"/>
              <w:rPr>
                <w:rFonts w:hint="default"/>
                <w:color w:val="auto"/>
              </w:rPr>
            </w:pPr>
            <w:r>
              <w:rPr>
                <w:rFonts w:hint="eastAsia"/>
                <w:color w:val="auto"/>
                <w:lang w:eastAsia="zh-CN"/>
              </w:rPr>
              <w:t>①</w:t>
            </w:r>
            <w:r>
              <w:rPr>
                <w:rFonts w:hint="default"/>
                <w:color w:val="auto"/>
              </w:rPr>
              <w:t>建设单位应严格遵守危险废物环境保护管理制度，及时委托</w:t>
            </w:r>
            <w:r>
              <w:rPr>
                <w:rFonts w:hint="eastAsia"/>
                <w:color w:val="auto"/>
                <w:lang w:val="en-US" w:eastAsia="zh-CN"/>
              </w:rPr>
              <w:t>有处置资质的单位处置</w:t>
            </w:r>
            <w:r>
              <w:rPr>
                <w:rFonts w:hint="default"/>
                <w:color w:val="auto"/>
              </w:rPr>
              <w:t>对暂存的危险废物进行委托处置，最长暂存时间不得超过一年；</w:t>
            </w:r>
          </w:p>
          <w:p>
            <w:pPr>
              <w:bidi w:val="0"/>
              <w:rPr>
                <w:rFonts w:hint="eastAsia"/>
                <w:color w:val="auto"/>
                <w:lang w:eastAsia="zh-CN"/>
              </w:rPr>
            </w:pPr>
            <w:r>
              <w:rPr>
                <w:rFonts w:hint="eastAsia"/>
                <w:color w:val="auto"/>
                <w:lang w:eastAsia="zh-CN"/>
              </w:rPr>
              <w:t>②</w:t>
            </w:r>
            <w:r>
              <w:rPr>
                <w:rFonts w:hint="default"/>
                <w:color w:val="auto"/>
              </w:rPr>
              <w:t>制定危险废物管理台账，评价要求台账应详细记录</w:t>
            </w:r>
            <w:r>
              <w:rPr>
                <w:rFonts w:hint="eastAsia"/>
                <w:color w:val="auto"/>
                <w:lang w:eastAsia="zh-CN"/>
              </w:rPr>
              <w:t>库存量、出入库记录和转运记录，并</w:t>
            </w:r>
            <w:r>
              <w:rPr>
                <w:rFonts w:hint="default"/>
                <w:color w:val="auto"/>
              </w:rPr>
              <w:t>长期保存，以供随时查阅</w:t>
            </w:r>
            <w:r>
              <w:rPr>
                <w:rFonts w:hint="eastAsia"/>
                <w:color w:val="auto"/>
                <w:lang w:eastAsia="zh-CN"/>
              </w:rPr>
              <w:t>；</w:t>
            </w:r>
          </w:p>
          <w:p>
            <w:pPr>
              <w:bidi w:val="0"/>
              <w:rPr>
                <w:rFonts w:hint="default"/>
                <w:color w:val="auto"/>
              </w:rPr>
            </w:pPr>
            <w:r>
              <w:rPr>
                <w:rFonts w:hint="eastAsia"/>
                <w:color w:val="auto"/>
                <w:lang w:eastAsia="zh-CN"/>
              </w:rPr>
              <w:t>③危险废物分区储存，</w:t>
            </w:r>
            <w:r>
              <w:rPr>
                <w:rFonts w:hint="default"/>
                <w:color w:val="auto"/>
              </w:rPr>
              <w:t>危废</w:t>
            </w:r>
            <w:r>
              <w:rPr>
                <w:rFonts w:hint="eastAsia"/>
                <w:color w:val="auto"/>
                <w:lang w:eastAsia="zh-CN"/>
              </w:rPr>
              <w:t>贮存</w:t>
            </w:r>
            <w:r>
              <w:rPr>
                <w:rFonts w:hint="default"/>
                <w:color w:val="auto"/>
              </w:rPr>
              <w:t>间外设置危险废物警示标志，危险废物容器和包装物上设置危险废物识别标签；</w:t>
            </w:r>
          </w:p>
          <w:p>
            <w:pPr>
              <w:bidi w:val="0"/>
              <w:rPr>
                <w:rFonts w:hint="default"/>
                <w:color w:val="auto"/>
              </w:rPr>
            </w:pPr>
            <w:r>
              <w:rPr>
                <w:rFonts w:hint="eastAsia"/>
                <w:color w:val="auto"/>
                <w:lang w:eastAsia="zh-CN"/>
              </w:rPr>
              <w:t>④制定</w:t>
            </w:r>
            <w:r>
              <w:rPr>
                <w:rFonts w:hint="default"/>
                <w:color w:val="auto"/>
              </w:rPr>
              <w:t>危险废物环境保护管理制度</w:t>
            </w:r>
            <w:r>
              <w:rPr>
                <w:rFonts w:hint="eastAsia"/>
                <w:color w:val="auto"/>
                <w:lang w:eastAsia="zh-CN"/>
              </w:rPr>
              <w:t>，定期检查，危险废物在</w:t>
            </w:r>
            <w:r>
              <w:rPr>
                <w:rFonts w:hint="default"/>
                <w:color w:val="auto"/>
              </w:rPr>
              <w:t>收集、转运、暂存过程中若发现容器破损，</w:t>
            </w:r>
            <w:r>
              <w:rPr>
                <w:rFonts w:hint="eastAsia"/>
                <w:color w:val="auto"/>
                <w:lang w:eastAsia="zh-CN"/>
              </w:rPr>
              <w:t>并</w:t>
            </w:r>
            <w:r>
              <w:rPr>
                <w:rFonts w:hint="default"/>
                <w:color w:val="auto"/>
              </w:rPr>
              <w:t>采取措施清理更换</w:t>
            </w:r>
            <w:r>
              <w:rPr>
                <w:rFonts w:hint="eastAsia"/>
                <w:color w:val="auto"/>
                <w:lang w:eastAsia="zh-CN"/>
              </w:rPr>
              <w:t>新的包装</w:t>
            </w:r>
            <w:r>
              <w:rPr>
                <w:rFonts w:hint="default"/>
                <w:color w:val="auto"/>
              </w:rPr>
              <w:t>；</w:t>
            </w:r>
          </w:p>
          <w:p>
            <w:pPr>
              <w:bidi w:val="0"/>
              <w:rPr>
                <w:rFonts w:hint="default"/>
                <w:color w:val="auto"/>
              </w:rPr>
            </w:pPr>
            <w:r>
              <w:rPr>
                <w:rFonts w:hint="eastAsia"/>
                <w:color w:val="auto"/>
                <w:lang w:eastAsia="zh-CN"/>
              </w:rPr>
              <w:t>⑤</w:t>
            </w:r>
            <w:r>
              <w:rPr>
                <w:rFonts w:hint="default"/>
                <w:color w:val="auto"/>
              </w:rPr>
              <w:t xml:space="preserve">危险废物的运输应委托具有危险品运输资质的单位进行运输。运输车辆应当保持功能齐备、完好和车身整洁。运输车辆应密闭，采取铺设土工膜等方式防止洒漏，并不得超载。运输时不得沿途泄漏、遗撒和倾倒； </w:t>
            </w:r>
          </w:p>
          <w:p>
            <w:pPr>
              <w:bidi w:val="0"/>
              <w:rPr>
                <w:rFonts w:hint="default"/>
                <w:color w:val="auto"/>
              </w:rPr>
            </w:pPr>
            <w:r>
              <w:rPr>
                <w:rFonts w:hint="eastAsia"/>
                <w:color w:val="auto"/>
                <w:lang w:eastAsia="zh-CN"/>
              </w:rPr>
              <w:t>⑥</w:t>
            </w:r>
            <w:r>
              <w:rPr>
                <w:rFonts w:hint="default"/>
                <w:color w:val="auto"/>
              </w:rPr>
              <w:t>配备足够数量的应急物资，</w:t>
            </w:r>
            <w:r>
              <w:rPr>
                <w:rFonts w:hint="eastAsia"/>
                <w:color w:val="auto"/>
                <w:lang w:eastAsia="zh-CN"/>
              </w:rPr>
              <w:t>建立应急救援小组，</w:t>
            </w:r>
            <w:r>
              <w:rPr>
                <w:rFonts w:hint="default"/>
                <w:color w:val="auto"/>
              </w:rPr>
              <w:t>定期进行突发环境事件应急演练；</w:t>
            </w:r>
          </w:p>
          <w:p>
            <w:pPr>
              <w:bidi w:val="0"/>
              <w:rPr>
                <w:rFonts w:hint="eastAsia" w:eastAsia="宋体"/>
                <w:color w:val="auto"/>
                <w:lang w:eastAsia="zh-CN"/>
              </w:rPr>
            </w:pPr>
            <w:r>
              <w:rPr>
                <w:rFonts w:hint="eastAsia"/>
                <w:color w:val="auto"/>
                <w:lang w:eastAsia="zh-CN"/>
              </w:rPr>
              <w:t>⑦</w:t>
            </w:r>
            <w:r>
              <w:rPr>
                <w:rFonts w:hint="default"/>
                <w:color w:val="auto"/>
              </w:rPr>
              <w:t>按照相关职能部门的要求，加强对已登记的中转储存危险废物的监管制度、台账制度，实施信息化监控</w:t>
            </w:r>
            <w:r>
              <w:rPr>
                <w:rFonts w:hint="eastAsia"/>
                <w:color w:val="auto"/>
                <w:lang w:eastAsia="zh-CN"/>
              </w:rPr>
              <w:t>；</w:t>
            </w:r>
          </w:p>
          <w:p>
            <w:pPr>
              <w:bidi w:val="0"/>
              <w:rPr>
                <w:rFonts w:hint="eastAsia"/>
                <w:color w:val="auto"/>
                <w:lang w:eastAsia="zh-CN"/>
              </w:rPr>
            </w:pPr>
            <w:r>
              <w:rPr>
                <w:rFonts w:hint="eastAsia"/>
                <w:color w:val="auto"/>
                <w:lang w:eastAsia="zh-CN"/>
              </w:rPr>
              <w:t>⑧</w:t>
            </w:r>
            <w:r>
              <w:rPr>
                <w:rFonts w:hint="default"/>
                <w:color w:val="auto"/>
              </w:rPr>
              <w:t>加强上岗培训工作。管理和操作人员必须在上岗前进行专业技能培训，实行持证上岗。严格执行培训考核制度，不合格人员决不允许上岗操作。</w:t>
            </w:r>
          </w:p>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）危险废物转移管理要求</w:t>
            </w:r>
          </w:p>
          <w:p>
            <w:pPr>
              <w:bidi w:val="0"/>
              <w:rPr>
                <w:rFonts w:hint="eastAsia"/>
                <w:color w:val="auto"/>
                <w:lang w:eastAsia="zh-CN"/>
              </w:rPr>
            </w:pPr>
            <w:r>
              <w:rPr>
                <w:rFonts w:hint="default"/>
                <w:color w:val="auto"/>
              </w:rPr>
              <w:t>收集储存的危险废物应严格按照《</w:t>
            </w:r>
            <w:r>
              <w:rPr>
                <w:rFonts w:hint="eastAsia"/>
                <w:color w:val="auto"/>
              </w:rPr>
              <w:t>危险废物转移管理办法</w:t>
            </w:r>
            <w:r>
              <w:rPr>
                <w:rFonts w:hint="default"/>
                <w:color w:val="auto"/>
              </w:rPr>
              <w:t>》</w:t>
            </w:r>
            <w:r>
              <w:rPr>
                <w:rFonts w:hint="eastAsia"/>
                <w:color w:val="auto"/>
                <w:lang w:eastAsia="zh-CN"/>
              </w:rPr>
              <w:t>（</w:t>
            </w:r>
            <w:r>
              <w:rPr>
                <w:rFonts w:hint="default"/>
                <w:color w:val="auto"/>
              </w:rPr>
              <w:t>部令 第23号</w:t>
            </w:r>
            <w:r>
              <w:rPr>
                <w:rFonts w:hint="eastAsia"/>
                <w:color w:val="auto"/>
                <w:lang w:eastAsia="zh-CN"/>
              </w:rPr>
              <w:t>）</w:t>
            </w:r>
            <w:r>
              <w:rPr>
                <w:rFonts w:hint="default"/>
                <w:color w:val="auto"/>
              </w:rPr>
              <w:t>中的有关要求管理。</w:t>
            </w:r>
            <w:r>
              <w:rPr>
                <w:rFonts w:hint="eastAsia"/>
                <w:color w:val="auto"/>
                <w:lang w:eastAsia="zh-CN"/>
              </w:rPr>
              <w:t>移出人的要求：</w:t>
            </w:r>
          </w:p>
          <w:p>
            <w:pPr>
              <w:bidi w:val="0"/>
              <w:rPr>
                <w:rFonts w:hint="eastAsia"/>
                <w:color w:val="auto"/>
                <w:lang w:eastAsia="zh-CN"/>
              </w:rPr>
            </w:pPr>
            <w:r>
              <w:rPr>
                <w:rFonts w:hint="eastAsia"/>
                <w:color w:val="auto"/>
                <w:lang w:eastAsia="zh-CN"/>
              </w:rPr>
              <w:t>①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pPr>
              <w:bidi w:val="0"/>
              <w:rPr>
                <w:rFonts w:hint="eastAsia"/>
                <w:color w:val="auto"/>
                <w:lang w:eastAsia="zh-CN"/>
              </w:rPr>
            </w:pPr>
            <w:r>
              <w:rPr>
                <w:rFonts w:hint="eastAsia"/>
                <w:color w:val="auto"/>
                <w:lang w:eastAsia="zh-CN"/>
              </w:rPr>
              <w:t>②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bidi w:val="0"/>
              <w:rPr>
                <w:rFonts w:hint="eastAsia"/>
                <w:color w:val="auto"/>
                <w:lang w:eastAsia="zh-CN"/>
              </w:rPr>
            </w:pPr>
            <w:r>
              <w:rPr>
                <w:rFonts w:hint="eastAsia"/>
                <w:color w:val="auto"/>
                <w:lang w:eastAsia="zh-CN"/>
              </w:rPr>
              <w:t>③对承运人或者接受人的主体资格和技术能力进行核实，依法签订书面合同，并在合同中约定运输、贮存、利用、处置危险废物的污染防治要求及相关责任；</w:t>
            </w:r>
          </w:p>
          <w:p>
            <w:pPr>
              <w:bidi w:val="0"/>
              <w:rPr>
                <w:rFonts w:hint="eastAsia"/>
                <w:color w:val="auto"/>
                <w:lang w:eastAsia="zh-CN"/>
              </w:rPr>
            </w:pPr>
            <w:r>
              <w:rPr>
                <w:rFonts w:hint="eastAsia"/>
                <w:color w:val="auto"/>
                <w:lang w:eastAsia="zh-CN"/>
              </w:rPr>
              <w:t>④制定危险废物管理计划，明确拟转移危险废物的种类、重量（数量）和流向等信息；</w:t>
            </w:r>
          </w:p>
          <w:p>
            <w:pPr>
              <w:bidi w:val="0"/>
              <w:rPr>
                <w:rFonts w:hint="eastAsia"/>
                <w:color w:val="auto"/>
                <w:lang w:eastAsia="zh-CN"/>
              </w:rPr>
            </w:pPr>
            <w:r>
              <w:rPr>
                <w:rFonts w:hint="eastAsia"/>
                <w:color w:val="auto"/>
                <w:lang w:eastAsia="zh-CN"/>
              </w:rPr>
              <w:t>⑤建立危险废物管理台账，对转移的危险废物进行计量称重，如实记录、妥善保管转移危险废物的种类、重量（数量）和接受人等相关信息；</w:t>
            </w:r>
          </w:p>
          <w:p>
            <w:pPr>
              <w:bidi w:val="0"/>
              <w:rPr>
                <w:rFonts w:hint="eastAsia"/>
                <w:color w:val="auto"/>
                <w:lang w:eastAsia="zh-CN"/>
              </w:rPr>
            </w:pPr>
            <w:r>
              <w:rPr>
                <w:rFonts w:hint="eastAsia"/>
                <w:color w:val="auto"/>
                <w:lang w:eastAsia="zh-CN"/>
              </w:rPr>
              <w:t>⑥填写、运行危险废物转移联单，在危险废物转移联单中如实填写移出人、承运人、接受人信息，转移危险废物的种类、重量（数量）、危险特性等信息，以及突发环境事件的防范措施等；</w:t>
            </w:r>
          </w:p>
          <w:p>
            <w:pPr>
              <w:bidi w:val="0"/>
              <w:rPr>
                <w:rFonts w:hint="eastAsia"/>
                <w:color w:val="auto"/>
                <w:lang w:eastAsia="zh-CN"/>
              </w:rPr>
            </w:pPr>
            <w:r>
              <w:rPr>
                <w:rFonts w:hint="eastAsia"/>
                <w:color w:val="auto"/>
                <w:lang w:eastAsia="zh-CN"/>
              </w:rPr>
              <w:t>⑦及时核实接受人贮存、利用或者处置相关危险废物情况；</w:t>
            </w:r>
          </w:p>
          <w:p>
            <w:pPr>
              <w:bidi w:val="0"/>
              <w:rPr>
                <w:rFonts w:hint="eastAsia"/>
                <w:color w:val="auto"/>
                <w:lang w:eastAsia="zh-CN"/>
              </w:rPr>
            </w:pPr>
            <w:r>
              <w:rPr>
                <w:rFonts w:hint="eastAsia"/>
                <w:color w:val="auto"/>
                <w:lang w:eastAsia="zh-CN"/>
              </w:rPr>
              <w:t>⑧履行法律法规规定的其他义务；</w:t>
            </w:r>
          </w:p>
          <w:p>
            <w:pPr>
              <w:bidi w:val="0"/>
              <w:rPr>
                <w:rFonts w:hint="default"/>
                <w:color w:val="auto"/>
              </w:rPr>
            </w:pPr>
            <w:r>
              <w:rPr>
                <w:rFonts w:hint="eastAsia"/>
                <w:color w:val="auto"/>
                <w:lang w:eastAsia="zh-CN"/>
              </w:rPr>
              <w:t>⑨移出人应当按照国家有关要求开展危险废物鉴别。禁止将危险废物以副产品等名义提供或者委托给无危险废物经营许可证的单位或者其他生产经营者从事收集、贮存、利用、处置活动。</w:t>
            </w:r>
          </w:p>
          <w:bookmarkEnd w:id="52"/>
          <w:bookmarkEnd w:id="53"/>
          <w:bookmarkEnd w:id="54"/>
          <w:bookmarkEnd w:id="55"/>
          <w:p>
            <w:pPr>
              <w:pStyle w:val="5"/>
              <w:numPr>
                <w:ilvl w:val="0"/>
                <w:numId w:val="9"/>
              </w:numPr>
              <w:rPr>
                <w:rFonts w:hint="eastAsia"/>
                <w:color w:val="auto"/>
                <w:lang w:eastAsia="zh-CN"/>
              </w:rPr>
            </w:pPr>
            <w:r>
              <w:rPr>
                <w:rFonts w:hint="eastAsia"/>
                <w:color w:val="auto"/>
                <w:lang w:eastAsia="zh-CN"/>
              </w:rPr>
              <w:t>地下水、土壤的保护措施</w:t>
            </w:r>
          </w:p>
          <w:p>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建立和完善污水的收集设施，加强日常环境管理，采取防腐蚀措施，严格管道控制跑、冒、滴、漏现象；对危险固废间采取防雨、防渗、防腐等措施，重点区域地面采取防腐防渗措施，危险废物贮存库按《危险废物贮存污染控制标准》（</w:t>
            </w:r>
            <w:r>
              <w:rPr>
                <w:rFonts w:hint="default"/>
                <w:color w:val="auto"/>
                <w:lang w:val="en-US" w:eastAsia="zh-CN"/>
              </w:rPr>
              <w:t>GB18597-20</w:t>
            </w:r>
            <w:r>
              <w:rPr>
                <w:rFonts w:hint="eastAsia"/>
                <w:color w:val="auto"/>
                <w:lang w:val="en-US" w:eastAsia="zh-CN"/>
              </w:rPr>
              <w:t>23）进行设计。</w:t>
            </w:r>
          </w:p>
          <w:p>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为有效预防土壤、地下水污染，本项目采取分区防渗措施。本项目按重点防渗区、一般防渗区和简单防渗区分区域进行防渗处理。</w:t>
            </w:r>
          </w:p>
          <w:p>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重点防渗区包括危险废物贮存库；一般防渗区包括工业循环水池、生活污水防渗化粪池；简单防渗区包括</w:t>
            </w:r>
            <w:r>
              <w:rPr>
                <w:rFonts w:hint="eastAsia"/>
                <w:color w:val="auto"/>
                <w:lang w:eastAsia="zh-CN"/>
              </w:rPr>
              <w:t>道路、</w:t>
            </w:r>
            <w:r>
              <w:rPr>
                <w:rFonts w:hint="eastAsia"/>
                <w:color w:val="auto"/>
                <w:lang w:val="en-US" w:eastAsia="zh-CN"/>
              </w:rPr>
              <w:t>生活区，仅做一般地面硬化。</w:t>
            </w:r>
          </w:p>
          <w:p>
            <w:pPr>
              <w:pStyle w:val="7"/>
              <w:keepNext w:val="0"/>
              <w:keepLines w:val="0"/>
              <w:suppressLineNumbers w:val="0"/>
              <w:bidi w:val="0"/>
              <w:spacing w:before="0" w:beforeAutospacing="0" w:after="0" w:afterAutospacing="0"/>
              <w:ind w:left="0" w:right="0"/>
              <w:rPr>
                <w:rFonts w:hint="default"/>
                <w:color w:val="auto"/>
              </w:rPr>
            </w:pPr>
            <w:r>
              <w:rPr>
                <w:rFonts w:hint="eastAsia"/>
                <w:color w:val="auto"/>
              </w:rPr>
              <w:t>表</w:t>
            </w:r>
            <w:r>
              <w:rPr>
                <w:rFonts w:hint="eastAsia"/>
                <w:color w:val="auto"/>
                <w:lang w:val="en-US" w:eastAsia="zh-CN"/>
              </w:rPr>
              <w:t>5-3</w:t>
            </w:r>
            <w:r>
              <w:rPr>
                <w:rFonts w:hint="default"/>
                <w:color w:val="auto"/>
              </w:rPr>
              <w:t xml:space="preserve">               </w:t>
            </w:r>
            <w:r>
              <w:rPr>
                <w:rFonts w:hint="eastAsia"/>
                <w:color w:val="auto"/>
              </w:rPr>
              <w:t>项目污染地下水途径及防治措施一览表</w:t>
            </w:r>
          </w:p>
          <w:tbl>
            <w:tblPr>
              <w:tblStyle w:val="30"/>
              <w:tblW w:w="7458"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527"/>
              <w:gridCol w:w="1457"/>
              <w:gridCol w:w="2491"/>
              <w:gridCol w:w="2983"/>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5" w:hRule="atLeast"/>
                <w:jc w:val="center"/>
              </w:trPr>
              <w:tc>
                <w:tcPr>
                  <w:tcW w:w="527" w:type="dxa"/>
                  <w:tcBorders>
                    <w:top w:val="single" w:color="auto" w:sz="12" w:space="0"/>
                    <w:left w:val="nil"/>
                    <w:bottom w:val="single" w:color="auto" w:sz="6" w:space="0"/>
                    <w:right w:val="single" w:color="auto" w:sz="6" w:space="0"/>
                  </w:tcBorders>
                  <w:shd w:val="clear" w:color="auto" w:fill="auto"/>
                  <w:vAlign w:val="center"/>
                </w:tcPr>
                <w:p>
                  <w:pPr>
                    <w:pStyle w:val="89"/>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序号</w:t>
                  </w:r>
                </w:p>
              </w:tc>
              <w:tc>
                <w:tcPr>
                  <w:tcW w:w="1457"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89"/>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类别</w:t>
                  </w:r>
                </w:p>
              </w:tc>
              <w:tc>
                <w:tcPr>
                  <w:tcW w:w="2491"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89"/>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项目</w:t>
                  </w:r>
                </w:p>
              </w:tc>
              <w:tc>
                <w:tcPr>
                  <w:tcW w:w="2983" w:type="dxa"/>
                  <w:tcBorders>
                    <w:top w:val="single" w:color="auto" w:sz="12" w:space="0"/>
                    <w:left w:val="single" w:color="auto" w:sz="6" w:space="0"/>
                    <w:bottom w:val="single" w:color="auto" w:sz="6" w:space="0"/>
                    <w:right w:val="nil"/>
                  </w:tcBorders>
                  <w:shd w:val="clear" w:color="auto" w:fill="auto"/>
                  <w:vAlign w:val="center"/>
                </w:tcPr>
                <w:p>
                  <w:pPr>
                    <w:pStyle w:val="89"/>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保护措施</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157" w:hRule="atLeast"/>
                <w:jc w:val="center"/>
              </w:trPr>
              <w:tc>
                <w:tcPr>
                  <w:tcW w:w="527" w:type="dxa"/>
                  <w:tcBorders>
                    <w:top w:val="single" w:color="auto" w:sz="6" w:space="0"/>
                    <w:left w:val="nil"/>
                    <w:bottom w:val="single" w:color="auto" w:sz="6" w:space="0"/>
                    <w:right w:val="single" w:color="auto" w:sz="6" w:space="0"/>
                  </w:tcBorders>
                  <w:shd w:val="clear" w:color="auto" w:fill="auto"/>
                  <w:vAlign w:val="center"/>
                </w:tcPr>
                <w:p>
                  <w:pPr>
                    <w:pStyle w:val="8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p>
              </w:tc>
              <w:tc>
                <w:tcPr>
                  <w:tcW w:w="145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9"/>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重点防渗区</w:t>
                  </w:r>
                </w:p>
              </w:tc>
              <w:tc>
                <w:tcPr>
                  <w:tcW w:w="249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9"/>
                    <w:rPr>
                      <w:rFonts w:hint="eastAsia" w:ascii="Times New Roman" w:hAnsi="Times New Roman" w:eastAsia="宋体" w:cs="Times New Roman"/>
                      <w:color w:val="auto"/>
                      <w:lang w:val="en-US" w:eastAsia="zh-CN"/>
                    </w:rPr>
                  </w:pPr>
                  <w:r>
                    <w:rPr>
                      <w:rFonts w:hint="eastAsia" w:cs="Times New Roman"/>
                      <w:color w:val="auto"/>
                      <w:lang w:eastAsia="zh-CN"/>
                    </w:rPr>
                    <w:t>危险废物贮存库</w:t>
                  </w:r>
                </w:p>
              </w:tc>
              <w:tc>
                <w:tcPr>
                  <w:tcW w:w="2983" w:type="dxa"/>
                  <w:tcBorders>
                    <w:top w:val="single" w:color="auto" w:sz="6" w:space="0"/>
                    <w:left w:val="single" w:color="auto" w:sz="6" w:space="0"/>
                    <w:bottom w:val="single" w:color="auto" w:sz="6" w:space="0"/>
                    <w:right w:val="nil"/>
                  </w:tcBorders>
                  <w:shd w:val="clear" w:color="auto" w:fill="auto"/>
                  <w:vAlign w:val="center"/>
                </w:tcPr>
                <w:p>
                  <w:pPr>
                    <w:pStyle w:val="7"/>
                    <w:bidi w:val="0"/>
                    <w:ind w:firstLine="420" w:firstLineChars="200"/>
                    <w:rPr>
                      <w:rFonts w:hint="default" w:ascii="Times New Roman" w:hAnsi="Times New Roman" w:eastAsia="宋体" w:cs="Times New Roman"/>
                      <w:b w:val="0"/>
                      <w:bCs/>
                      <w:color w:val="auto"/>
                      <w:kern w:val="2"/>
                      <w:sz w:val="21"/>
                      <w:szCs w:val="28"/>
                      <w:lang w:val="en-US" w:eastAsia="zh-CN" w:bidi="ar-SA"/>
                    </w:rPr>
                  </w:pPr>
                  <w:r>
                    <w:rPr>
                      <w:rFonts w:hint="eastAsia"/>
                      <w:b w:val="0"/>
                      <w:color w:val="auto"/>
                      <w:lang w:val="en-US" w:eastAsia="zh-CN"/>
                    </w:rPr>
                    <w:t>防渗层为至少1m厚黏土层（渗透系数不大于</w:t>
                  </w:r>
                  <w:r>
                    <w:rPr>
                      <w:rFonts w:hint="default"/>
                      <w:b w:val="0"/>
                      <w:color w:val="auto"/>
                      <w:lang w:val="en-US" w:eastAsia="zh-CN"/>
                    </w:rPr>
                    <w:t>10</w:t>
                  </w:r>
                  <w:r>
                    <w:rPr>
                      <w:rFonts w:hint="default"/>
                      <w:b w:val="0"/>
                      <w:color w:val="auto"/>
                      <w:vertAlign w:val="superscript"/>
                      <w:lang w:val="en-US" w:eastAsia="zh-CN"/>
                    </w:rPr>
                    <w:t xml:space="preserve">-7 </w:t>
                  </w:r>
                  <w:r>
                    <w:rPr>
                      <w:rFonts w:hint="eastAsia"/>
                      <w:b w:val="0"/>
                      <w:color w:val="auto"/>
                      <w:lang w:val="en-US" w:eastAsia="zh-CN"/>
                    </w:rPr>
                    <w:t>cm/s），或至少2mm厚高密度聚乙烯膜等人工防渗材料（渗透系数不大于10</w:t>
                  </w:r>
                  <w:r>
                    <w:rPr>
                      <w:rFonts w:hint="eastAsia"/>
                      <w:b w:val="0"/>
                      <w:color w:val="auto"/>
                      <w:vertAlign w:val="superscript"/>
                      <w:lang w:val="en-US" w:eastAsia="zh-CN"/>
                    </w:rPr>
                    <w:t>-10</w:t>
                  </w:r>
                  <w:r>
                    <w:rPr>
                      <w:rFonts w:hint="eastAsia"/>
                      <w:b w:val="0"/>
                      <w:color w:val="auto"/>
                      <w:lang w:val="en-US" w:eastAsia="zh-CN"/>
                    </w:rPr>
                    <w:t>cms），或其他防渗性能等效的材料，执行GB18597；或达到等效黏土防渗层Mb≥6m，K≤1</w:t>
                  </w:r>
                  <w:r>
                    <w:rPr>
                      <w:rFonts w:hint="default"/>
                      <w:b w:val="0"/>
                      <w:color w:val="auto"/>
                      <w:lang w:val="en-US" w:eastAsia="zh-CN"/>
                    </w:rPr>
                    <w:t>×10</w:t>
                  </w:r>
                  <w:r>
                    <w:rPr>
                      <w:rFonts w:hint="default"/>
                      <w:b w:val="0"/>
                      <w:color w:val="auto"/>
                      <w:vertAlign w:val="superscript"/>
                      <w:lang w:val="en-US" w:eastAsia="zh-CN"/>
                    </w:rPr>
                    <w:t xml:space="preserve">-7 </w:t>
                  </w:r>
                  <w:r>
                    <w:rPr>
                      <w:rFonts w:hint="default"/>
                      <w:b w:val="0"/>
                      <w:color w:val="auto"/>
                      <w:lang w:val="en-US" w:eastAsia="zh-CN"/>
                    </w:rPr>
                    <w:t>cm/s</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353" w:hRule="atLeast"/>
                <w:jc w:val="center"/>
              </w:trPr>
              <w:tc>
                <w:tcPr>
                  <w:tcW w:w="527" w:type="dxa"/>
                  <w:tcBorders>
                    <w:top w:val="single" w:color="auto" w:sz="6" w:space="0"/>
                    <w:left w:val="nil"/>
                    <w:bottom w:val="single" w:color="auto" w:sz="6" w:space="0"/>
                    <w:right w:val="single" w:color="auto" w:sz="6" w:space="0"/>
                  </w:tcBorders>
                  <w:shd w:val="clear" w:color="auto" w:fill="auto"/>
                  <w:vAlign w:val="center"/>
                </w:tcPr>
                <w:p>
                  <w:pPr>
                    <w:pStyle w:val="8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45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一般防渗区</w:t>
                  </w:r>
                </w:p>
              </w:tc>
              <w:tc>
                <w:tcPr>
                  <w:tcW w:w="249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9"/>
                    <w:rPr>
                      <w:rFonts w:hint="eastAsia" w:ascii="Times New Roman" w:hAnsi="Times New Roman" w:eastAsia="宋体" w:cs="Times New Roman"/>
                      <w:color w:val="auto"/>
                      <w:lang w:eastAsia="zh-CN"/>
                    </w:rPr>
                  </w:pPr>
                  <w:r>
                    <w:rPr>
                      <w:rFonts w:hint="eastAsia"/>
                      <w:color w:val="auto"/>
                      <w:lang w:val="en-US" w:eastAsia="zh-CN"/>
                    </w:rPr>
                    <w:t>工业循环水池、生活污水防渗化粪池</w:t>
                  </w:r>
                </w:p>
              </w:tc>
              <w:tc>
                <w:tcPr>
                  <w:tcW w:w="2983" w:type="dxa"/>
                  <w:tcBorders>
                    <w:top w:val="single" w:color="auto" w:sz="6" w:space="0"/>
                    <w:left w:val="single" w:color="auto" w:sz="6" w:space="0"/>
                    <w:bottom w:val="single" w:color="auto" w:sz="6" w:space="0"/>
                    <w:right w:val="nil"/>
                  </w:tcBorders>
                  <w:shd w:val="clear" w:color="auto" w:fill="auto"/>
                  <w:vAlign w:val="center"/>
                </w:tcPr>
                <w:p>
                  <w:pPr>
                    <w:pStyle w:val="7"/>
                    <w:bidi w:val="0"/>
                    <w:ind w:firstLine="420" w:firstLineChars="200"/>
                    <w:rPr>
                      <w:rFonts w:hint="eastAsia" w:ascii="Times New Roman" w:hAnsi="Times New Roman" w:eastAsia="宋体" w:cs="Times New Roman"/>
                      <w:b w:val="0"/>
                      <w:bCs/>
                      <w:color w:val="auto"/>
                      <w:kern w:val="2"/>
                      <w:sz w:val="21"/>
                      <w:szCs w:val="28"/>
                      <w:lang w:val="en-US" w:eastAsia="zh-CN" w:bidi="ar-SA"/>
                    </w:rPr>
                  </w:pPr>
                  <w:r>
                    <w:rPr>
                      <w:rFonts w:hint="eastAsia"/>
                      <w:b w:val="0"/>
                      <w:color w:val="auto"/>
                      <w:lang w:val="en-US" w:eastAsia="zh-CN"/>
                    </w:rPr>
                    <w:t>地面采用黏土铺底，再铺上10～15cm的抗渗混凝土进行硬化，达到等效黏土防渗层Mb≥1.5m，K≤1</w:t>
                  </w:r>
                  <w:r>
                    <w:rPr>
                      <w:rFonts w:hint="default"/>
                      <w:b w:val="0"/>
                      <w:color w:val="auto"/>
                      <w:lang w:val="en-US" w:eastAsia="zh-CN"/>
                    </w:rPr>
                    <w:t>×10</w:t>
                  </w:r>
                  <w:r>
                    <w:rPr>
                      <w:rFonts w:hint="default"/>
                      <w:b w:val="0"/>
                      <w:color w:val="auto"/>
                      <w:vertAlign w:val="superscript"/>
                      <w:lang w:val="en-US" w:eastAsia="zh-CN"/>
                    </w:rPr>
                    <w:t xml:space="preserve">-7 </w:t>
                  </w:r>
                  <w:r>
                    <w:rPr>
                      <w:rFonts w:hint="default"/>
                      <w:b w:val="0"/>
                      <w:color w:val="auto"/>
                      <w:lang w:val="en-US" w:eastAsia="zh-CN"/>
                    </w:rPr>
                    <w:t xml:space="preserve"> cm/s</w:t>
                  </w:r>
                  <w:r>
                    <w:rPr>
                      <w:rFonts w:hint="eastAsia"/>
                      <w:b w:val="0"/>
                      <w:color w:val="auto"/>
                      <w:lang w:val="en-US" w:eastAsia="zh-CN"/>
                    </w:rPr>
                    <w:t>；或参照GB16889执行</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2" w:hRule="atLeast"/>
                <w:jc w:val="center"/>
              </w:trPr>
              <w:tc>
                <w:tcPr>
                  <w:tcW w:w="527" w:type="dxa"/>
                  <w:tcBorders>
                    <w:top w:val="single" w:color="auto" w:sz="6" w:space="0"/>
                    <w:left w:val="nil"/>
                    <w:bottom w:val="single" w:color="auto" w:sz="12" w:space="0"/>
                    <w:right w:val="single" w:color="auto" w:sz="6" w:space="0"/>
                  </w:tcBorders>
                  <w:shd w:val="clear" w:color="auto" w:fill="auto"/>
                  <w:vAlign w:val="center"/>
                </w:tcPr>
                <w:p>
                  <w:pPr>
                    <w:pStyle w:val="8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457" w:type="dxa"/>
                  <w:tcBorders>
                    <w:top w:val="single" w:color="auto" w:sz="6" w:space="0"/>
                    <w:left w:val="single" w:color="auto" w:sz="6" w:space="0"/>
                    <w:bottom w:val="single" w:color="auto" w:sz="12" w:space="0"/>
                    <w:right w:val="single" w:color="auto" w:sz="6" w:space="0"/>
                  </w:tcBorders>
                  <w:shd w:val="clear" w:color="auto" w:fill="auto"/>
                  <w:vAlign w:val="center"/>
                </w:tcPr>
                <w:p>
                  <w:pPr>
                    <w:pStyle w:val="8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简单防渗区</w:t>
                  </w:r>
                </w:p>
              </w:tc>
              <w:tc>
                <w:tcPr>
                  <w:tcW w:w="2491" w:type="dxa"/>
                  <w:tcBorders>
                    <w:top w:val="single" w:color="auto" w:sz="6" w:space="0"/>
                    <w:left w:val="single" w:color="auto" w:sz="6" w:space="0"/>
                    <w:bottom w:val="single" w:color="auto" w:sz="12" w:space="0"/>
                    <w:right w:val="single" w:color="auto" w:sz="6" w:space="0"/>
                  </w:tcBorders>
                  <w:shd w:val="clear" w:color="auto" w:fill="auto"/>
                  <w:vAlign w:val="center"/>
                </w:tcPr>
                <w:p>
                  <w:pPr>
                    <w:pStyle w:val="8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生活区、管道</w:t>
                  </w:r>
                </w:p>
              </w:tc>
              <w:tc>
                <w:tcPr>
                  <w:tcW w:w="2983" w:type="dxa"/>
                  <w:tcBorders>
                    <w:top w:val="single" w:color="auto" w:sz="6" w:space="0"/>
                    <w:left w:val="single" w:color="auto" w:sz="6" w:space="0"/>
                    <w:bottom w:val="single" w:color="auto" w:sz="12" w:space="0"/>
                    <w:right w:val="nil"/>
                  </w:tcBorders>
                  <w:shd w:val="clear" w:color="auto" w:fill="auto"/>
                  <w:vAlign w:val="center"/>
                </w:tcPr>
                <w:p>
                  <w:pPr>
                    <w:pStyle w:val="7"/>
                    <w:bidi w:val="0"/>
                    <w:ind w:firstLine="420" w:firstLineChars="200"/>
                    <w:rPr>
                      <w:rFonts w:hint="default" w:ascii="Times New Roman" w:hAnsi="Times New Roman" w:eastAsia="宋体" w:cs="Times New Roman"/>
                      <w:b w:val="0"/>
                      <w:bCs/>
                      <w:color w:val="auto"/>
                      <w:kern w:val="2"/>
                      <w:sz w:val="21"/>
                      <w:szCs w:val="28"/>
                      <w:lang w:val="en-US" w:eastAsia="zh-CN" w:bidi="ar-SA"/>
                    </w:rPr>
                  </w:pPr>
                  <w:r>
                    <w:rPr>
                      <w:rFonts w:hint="eastAsia"/>
                      <w:b w:val="0"/>
                      <w:color w:val="auto"/>
                      <w:lang w:val="en-US" w:eastAsia="zh-CN"/>
                    </w:rPr>
                    <w:t>一般</w:t>
                  </w:r>
                  <w:r>
                    <w:rPr>
                      <w:rFonts w:hint="default"/>
                      <w:b w:val="0"/>
                      <w:color w:val="auto"/>
                      <w:lang w:val="en-US" w:eastAsia="zh-CN"/>
                    </w:rPr>
                    <w:t>地面硬化</w:t>
                  </w:r>
                </w:p>
              </w:tc>
            </w:tr>
          </w:tbl>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color w:val="auto"/>
                <w:lang w:val="en-US" w:eastAsia="zh-CN"/>
              </w:rPr>
            </w:pPr>
            <w:r>
              <w:rPr>
                <w:rFonts w:hint="eastAsia"/>
                <w:color w:val="auto"/>
                <w:lang w:val="en-US" w:eastAsia="zh-CN"/>
              </w:rPr>
              <w:t>综上，本项目在采取完善的防渗措施后，可有效阻止污染物下渗，从水文地质角度分析，本项目建设运行对地下水、土壤环境影响程度较小。</w:t>
            </w:r>
          </w:p>
          <w:p>
            <w:pPr>
              <w:pStyle w:val="5"/>
              <w:rPr>
                <w:rFonts w:hint="eastAsia"/>
                <w:color w:val="auto"/>
                <w:lang w:eastAsia="zh-CN"/>
              </w:rPr>
            </w:pPr>
            <w:r>
              <w:rPr>
                <w:rFonts w:hint="eastAsia"/>
                <w:color w:val="auto"/>
                <w:lang w:val="en-US" w:eastAsia="zh-CN"/>
              </w:rPr>
              <w:t>7、</w:t>
            </w:r>
            <w:r>
              <w:rPr>
                <w:rFonts w:hint="eastAsia"/>
                <w:color w:val="auto"/>
                <w:lang w:eastAsia="zh-CN"/>
              </w:rPr>
              <w:t>闭矿的生态恢复措施</w:t>
            </w:r>
          </w:p>
          <w:p>
            <w:pPr>
              <w:bidi w:val="0"/>
              <w:rPr>
                <w:rFonts w:hint="eastAsia"/>
                <w:color w:val="auto"/>
                <w:lang w:eastAsia="zh-CN"/>
              </w:rPr>
            </w:pPr>
            <w:r>
              <w:rPr>
                <w:rFonts w:hint="eastAsia"/>
                <w:color w:val="auto"/>
                <w:lang w:eastAsia="zh-CN"/>
              </w:rPr>
              <w:t>根据《</w:t>
            </w:r>
            <w:r>
              <w:rPr>
                <w:rFonts w:hint="eastAsia"/>
                <w:color w:val="auto"/>
                <w:lang w:val="en-US" w:eastAsia="zh-CN"/>
              </w:rPr>
              <w:t>新疆富华石业有限公司新疆焉耆县霍拉山14号花岗岩矿矿产资源开发利用与生态保护修复方案</w:t>
            </w:r>
            <w:r>
              <w:rPr>
                <w:rFonts w:hint="eastAsia"/>
                <w:color w:val="auto"/>
                <w:lang w:eastAsia="zh-CN"/>
              </w:rPr>
              <w:t>》，本项目闭矿区采取如下措施：</w:t>
            </w:r>
          </w:p>
          <w:p>
            <w:pPr>
              <w:numPr>
                <w:ilvl w:val="0"/>
                <w:numId w:val="10"/>
              </w:numPr>
              <w:bidi w:val="0"/>
              <w:rPr>
                <w:rFonts w:hint="eastAsia"/>
                <w:color w:val="auto"/>
                <w:lang w:eastAsia="zh-CN"/>
              </w:rPr>
            </w:pPr>
            <w:r>
              <w:rPr>
                <w:rFonts w:hint="eastAsia"/>
                <w:color w:val="auto"/>
                <w:lang w:eastAsia="zh-CN"/>
              </w:rPr>
              <w:t>采矿场恢复</w:t>
            </w:r>
          </w:p>
          <w:p>
            <w:pPr>
              <w:bidi w:val="0"/>
              <w:rPr>
                <w:rFonts w:hint="eastAsia"/>
                <w:color w:val="auto"/>
              </w:rPr>
            </w:pPr>
            <w:r>
              <w:rPr>
                <w:rFonts w:hint="eastAsia"/>
                <w:color w:val="auto"/>
              </w:rPr>
              <w:t>地质灾害防治：</w:t>
            </w:r>
            <w:r>
              <w:rPr>
                <w:color w:val="auto"/>
              </w:rPr>
              <w:t>生产期间对露天采矿场边坡的危岩和浮石及时进行清理；严格按照设计露天采矿场的边坡角、台阶高度及平台宽度进行开采；在露天采矿场外围5米外设置铁丝围栏，悬挂警示牌；做好边坡稳定性监测，一旦发现坡面或附近地面有开裂或其它险情，须及时预警并上报，以便采取合理的处理措施，消除隐患</w:t>
            </w:r>
            <w:r>
              <w:rPr>
                <w:rFonts w:hint="eastAsia"/>
                <w:color w:val="auto"/>
              </w:rPr>
              <w:t>。</w:t>
            </w:r>
          </w:p>
          <w:p>
            <w:pPr>
              <w:bidi w:val="0"/>
              <w:rPr>
                <w:rFonts w:hint="eastAsia" w:eastAsia="宋体"/>
                <w:color w:val="auto"/>
                <w:lang w:eastAsia="zh-CN"/>
              </w:rPr>
            </w:pPr>
            <w:r>
              <w:rPr>
                <w:rFonts w:hint="eastAsia"/>
                <w:color w:val="auto"/>
              </w:rPr>
              <w:t>地形地貌景观、土地资源破坏防治：严格按设计的开采境界采矿，合理控制破坏土地范围；严格按照分期分段开采的原则执行，废石回填与周边地形地貌景观相协调；对无法回填的边坡进行修整，清理浮石；对回填后的采坑底部进行平整，</w:t>
            </w:r>
            <w:r>
              <w:rPr>
                <w:rFonts w:hint="eastAsia"/>
                <w:color w:val="auto"/>
                <w:lang w:eastAsia="zh-CN"/>
              </w:rPr>
              <w:t>剥离表土回填，采取人工撒播草籽恢复地表植被，植草坪、撒播草籽安排在秋季进行，利用冬季降雪融水及春季降雨进行萌发，可恢复原状原有地貌，</w:t>
            </w:r>
            <w:r>
              <w:rPr>
                <w:rFonts w:hint="eastAsia"/>
                <w:color w:val="auto"/>
              </w:rPr>
              <w:t>使其与周围环境相协调</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办公生活区</w:t>
            </w:r>
            <w:r>
              <w:rPr>
                <w:rFonts w:hint="eastAsia"/>
                <w:color w:val="auto"/>
                <w:lang w:eastAsia="zh-CN"/>
              </w:rPr>
              <w:t>的恢复</w:t>
            </w:r>
          </w:p>
          <w:p>
            <w:pPr>
              <w:bidi w:val="0"/>
              <w:rPr>
                <w:rFonts w:hint="eastAsia"/>
                <w:color w:val="auto"/>
              </w:rPr>
            </w:pPr>
            <w:r>
              <w:rPr>
                <w:rFonts w:hint="eastAsia"/>
                <w:color w:val="auto"/>
              </w:rPr>
              <w:t>面积</w:t>
            </w:r>
            <w:r>
              <w:rPr>
                <w:rFonts w:hint="eastAsia"/>
                <w:color w:val="auto"/>
                <w:lang w:val="en-US" w:eastAsia="zh-CN"/>
              </w:rPr>
              <w:t>0.3公顷</w:t>
            </w:r>
            <w:r>
              <w:rPr>
                <w:rFonts w:hint="eastAsia"/>
                <w:color w:val="auto"/>
              </w:rPr>
              <w:t>，主要地质环境问题：地面建筑对地形地貌景观的破坏，压占土地资源。防治措施如下：</w:t>
            </w:r>
          </w:p>
          <w:p>
            <w:pPr>
              <w:bidi w:val="0"/>
              <w:rPr>
                <w:rFonts w:hint="eastAsia"/>
                <w:color w:val="auto"/>
              </w:rPr>
            </w:pPr>
            <w:r>
              <w:rPr>
                <w:rFonts w:hint="eastAsia"/>
                <w:color w:val="auto"/>
                <w:lang w:eastAsia="zh-CN"/>
              </w:rPr>
              <w:t>①</w:t>
            </w:r>
            <w:r>
              <w:rPr>
                <w:rFonts w:hint="eastAsia"/>
                <w:color w:val="auto"/>
              </w:rPr>
              <w:t xml:space="preserve">矿山生产期间应保护生活区卫生环境，杜绝乱扔垃圾，乱排污物； </w:t>
            </w:r>
          </w:p>
          <w:p>
            <w:pPr>
              <w:bidi w:val="0"/>
              <w:rPr>
                <w:rFonts w:hint="eastAsia"/>
                <w:color w:val="auto"/>
              </w:rPr>
            </w:pPr>
            <w:r>
              <w:rPr>
                <w:rFonts w:hint="eastAsia"/>
                <w:color w:val="auto"/>
                <w:lang w:eastAsia="zh-CN"/>
              </w:rPr>
              <w:t>②</w:t>
            </w:r>
            <w:r>
              <w:rPr>
                <w:rFonts w:hint="eastAsia"/>
                <w:color w:val="auto"/>
              </w:rPr>
              <w:t>及时清运生活垃圾；</w:t>
            </w:r>
          </w:p>
          <w:p>
            <w:pPr>
              <w:bidi w:val="0"/>
              <w:rPr>
                <w:rFonts w:hint="eastAsia"/>
                <w:color w:val="auto"/>
              </w:rPr>
            </w:pPr>
            <w:r>
              <w:rPr>
                <w:rFonts w:hint="eastAsia"/>
                <w:color w:val="auto"/>
                <w:lang w:eastAsia="zh-CN"/>
              </w:rPr>
              <w:t>③</w:t>
            </w:r>
            <w:r>
              <w:rPr>
                <w:rFonts w:hint="eastAsia"/>
                <w:color w:val="auto"/>
              </w:rPr>
              <w:t>矿山闭坑后将地面设施全部拆除，可利用材料外运回收，建筑垃圾拉运至采坑回填；</w:t>
            </w:r>
          </w:p>
          <w:p>
            <w:pPr>
              <w:bidi w:val="0"/>
              <w:rPr>
                <w:rFonts w:hint="eastAsia"/>
                <w:color w:val="auto"/>
              </w:rPr>
            </w:pPr>
            <w:r>
              <w:rPr>
                <w:rFonts w:hint="eastAsia"/>
                <w:color w:val="auto"/>
                <w:lang w:eastAsia="zh-CN"/>
              </w:rPr>
              <w:t>④剥离表土回填，采取人工撒播草籽恢复地表植被，植草坪、撒播草籽安排在秋季进行，利用冬季降雪融水及春季降雨进行萌发，</w:t>
            </w:r>
            <w:r>
              <w:rPr>
                <w:rFonts w:hint="eastAsia"/>
                <w:color w:val="auto"/>
              </w:rPr>
              <w:t>尽量恢复原有地形地貌景观。</w:t>
            </w:r>
          </w:p>
          <w:p>
            <w:pPr>
              <w:bidi w:val="0"/>
              <w:rPr>
                <w:rFonts w:hint="eastAsia" w:eastAsia="宋体"/>
                <w:color w:val="auto"/>
                <w:lang w:eastAsia="zh-CN"/>
              </w:rPr>
            </w:pPr>
            <w:r>
              <w:rPr>
                <w:rFonts w:hint="eastAsia"/>
                <w:color w:val="auto"/>
                <w:lang w:val="en-US" w:eastAsia="zh-CN"/>
              </w:rPr>
              <w:t>（3）废石堆放场</w:t>
            </w:r>
            <w:r>
              <w:rPr>
                <w:rFonts w:hint="eastAsia"/>
                <w:color w:val="auto"/>
                <w:lang w:eastAsia="zh-CN"/>
              </w:rPr>
              <w:t>的恢复</w:t>
            </w:r>
          </w:p>
          <w:p>
            <w:pPr>
              <w:bidi w:val="0"/>
              <w:rPr>
                <w:rFonts w:hint="eastAsia"/>
                <w:color w:val="auto"/>
              </w:rPr>
            </w:pPr>
            <w:r>
              <w:rPr>
                <w:rFonts w:hint="eastAsia"/>
                <w:color w:val="auto"/>
                <w:lang w:eastAsia="zh-CN"/>
              </w:rPr>
              <w:t>废石堆放场</w:t>
            </w:r>
            <w:r>
              <w:rPr>
                <w:rFonts w:hint="eastAsia"/>
                <w:color w:val="auto"/>
              </w:rPr>
              <w:t>对地形地貌影响较严重，对土地资源造成压占损毁。</w:t>
            </w:r>
          </w:p>
          <w:p>
            <w:pPr>
              <w:bidi w:val="0"/>
              <w:rPr>
                <w:rFonts w:hint="eastAsia"/>
                <w:color w:val="auto"/>
                <w:lang w:val="en-US" w:eastAsia="zh-CN"/>
              </w:rPr>
            </w:pPr>
            <w:r>
              <w:rPr>
                <w:rFonts w:hint="eastAsia"/>
                <w:color w:val="auto"/>
              </w:rPr>
              <w:t>严格按设计的堆放高度、坡度进行堆存，合理控制破坏土地范围；矿山闭坑后将废石进行回填，</w:t>
            </w:r>
            <w:r>
              <w:rPr>
                <w:rFonts w:hint="eastAsia"/>
                <w:color w:val="auto"/>
                <w:lang w:eastAsia="zh-CN"/>
              </w:rPr>
              <w:t>剥离表土回填，采取人工撒播草籽恢复地表植被，种植草坪、撒播草籽安排在秋季进行，利用冬季降雪融水及春季降雨进行萌发，</w:t>
            </w:r>
            <w:r>
              <w:rPr>
                <w:rFonts w:hint="eastAsia"/>
                <w:color w:val="auto"/>
              </w:rPr>
              <w:t>尽量恢复原有地形地貌景观。</w:t>
            </w:r>
          </w:p>
          <w:p>
            <w:pPr>
              <w:numPr>
                <w:ilvl w:val="0"/>
                <w:numId w:val="0"/>
              </w:numPr>
              <w:bidi w:val="0"/>
              <w:ind w:leftChars="200"/>
              <w:rPr>
                <w:rFonts w:hint="eastAsia"/>
                <w:color w:val="auto"/>
                <w:lang w:val="en-US" w:eastAsia="zh-CN"/>
              </w:rPr>
            </w:pPr>
            <w:r>
              <w:rPr>
                <w:rFonts w:hint="eastAsia"/>
                <w:color w:val="auto"/>
                <w:lang w:val="en-US" w:eastAsia="zh-CN"/>
              </w:rPr>
              <w:t>（4）荒料堆场</w:t>
            </w:r>
          </w:p>
          <w:p>
            <w:pPr>
              <w:bidi w:val="0"/>
              <w:rPr>
                <w:rFonts w:hint="eastAsia"/>
                <w:color w:val="auto"/>
              </w:rPr>
            </w:pPr>
            <w:r>
              <w:rPr>
                <w:rFonts w:hint="eastAsia"/>
                <w:color w:val="auto"/>
                <w:lang w:eastAsia="zh-CN"/>
              </w:rPr>
              <w:t>荒料堆场</w:t>
            </w:r>
            <w:r>
              <w:rPr>
                <w:rFonts w:hint="eastAsia"/>
                <w:color w:val="auto"/>
              </w:rPr>
              <w:t>对地形地貌影响较严重，对土地资源造成压占损毁</w:t>
            </w:r>
            <w:r>
              <w:rPr>
                <w:rFonts w:hint="eastAsia"/>
                <w:color w:val="auto"/>
                <w:lang w:eastAsia="zh-CN"/>
              </w:rPr>
              <w:t>，</w:t>
            </w:r>
            <w:r>
              <w:rPr>
                <w:rFonts w:hint="eastAsia"/>
                <w:color w:val="auto"/>
              </w:rPr>
              <w:t>防治措施如下：</w:t>
            </w:r>
          </w:p>
          <w:p>
            <w:pPr>
              <w:bidi w:val="0"/>
              <w:rPr>
                <w:rFonts w:hint="eastAsia"/>
                <w:color w:val="auto"/>
              </w:rPr>
            </w:pPr>
            <w:r>
              <w:rPr>
                <w:rFonts w:hint="eastAsia"/>
                <w:color w:val="auto"/>
                <w:lang w:val="en-US" w:eastAsia="zh-CN"/>
              </w:rPr>
              <w:t>①</w:t>
            </w:r>
            <w:r>
              <w:rPr>
                <w:rFonts w:hint="eastAsia"/>
                <w:color w:val="auto"/>
              </w:rPr>
              <w:t>生产期间场地内荒料及时清运、售卖；</w:t>
            </w:r>
          </w:p>
          <w:p>
            <w:pPr>
              <w:bidi w:val="0"/>
              <w:rPr>
                <w:rFonts w:hint="eastAsia"/>
                <w:color w:val="auto"/>
              </w:rPr>
            </w:pPr>
            <w:r>
              <w:rPr>
                <w:rFonts w:hint="eastAsia"/>
                <w:color w:val="auto"/>
                <w:lang w:eastAsia="zh-CN"/>
              </w:rPr>
              <w:t>②</w:t>
            </w:r>
            <w:r>
              <w:rPr>
                <w:rFonts w:hint="eastAsia"/>
                <w:color w:val="auto"/>
              </w:rPr>
              <w:t>合理控制破坏土地范围，</w:t>
            </w:r>
            <w:r>
              <w:rPr>
                <w:rFonts w:hint="eastAsia"/>
                <w:color w:val="auto"/>
                <w:lang w:eastAsia="zh-CN"/>
              </w:rPr>
              <w:t>剥离表土回填，采取人工撒播草籽恢复地表植被，植草坪、撒播草籽安排在秋季进行，利用冬季降雪融水及春季降雨进行萌发，</w:t>
            </w:r>
            <w:r>
              <w:rPr>
                <w:rFonts w:hint="eastAsia"/>
                <w:color w:val="auto"/>
              </w:rPr>
              <w:t>尽量恢复原有地形地貌景观。</w:t>
            </w:r>
          </w:p>
          <w:p>
            <w:pPr>
              <w:bidi w:val="0"/>
              <w:rPr>
                <w:rFonts w:hint="eastAsia" w:eastAsia="宋体"/>
                <w:color w:val="auto"/>
                <w:lang w:eastAsia="zh-CN"/>
              </w:rPr>
            </w:pPr>
            <w:r>
              <w:rPr>
                <w:rFonts w:hint="eastAsia"/>
                <w:color w:val="auto"/>
                <w:lang w:val="en-US" w:eastAsia="zh-CN"/>
              </w:rPr>
              <w:t>（5）</w:t>
            </w:r>
            <w:r>
              <w:rPr>
                <w:rFonts w:hint="eastAsia"/>
                <w:color w:val="auto"/>
              </w:rPr>
              <w:t>矿山道路</w:t>
            </w:r>
            <w:r>
              <w:rPr>
                <w:rFonts w:hint="eastAsia"/>
                <w:color w:val="auto"/>
                <w:lang w:eastAsia="zh-CN"/>
              </w:rPr>
              <w:t>的恢复</w:t>
            </w:r>
          </w:p>
          <w:p>
            <w:pPr>
              <w:bidi w:val="0"/>
              <w:rPr>
                <w:rFonts w:hint="eastAsia"/>
                <w:color w:val="auto"/>
              </w:rPr>
            </w:pPr>
            <w:r>
              <w:rPr>
                <w:rFonts w:hint="eastAsia"/>
                <w:color w:val="auto"/>
              </w:rPr>
              <w:t>碎石土路面，对地形地貌影响较严重，对土地资源造成压占损毁。主要防治措施：</w:t>
            </w:r>
          </w:p>
          <w:p>
            <w:pPr>
              <w:bidi w:val="0"/>
              <w:rPr>
                <w:rFonts w:hint="eastAsia"/>
                <w:color w:val="auto"/>
              </w:rPr>
            </w:pPr>
            <w:r>
              <w:rPr>
                <w:rFonts w:hint="eastAsia"/>
                <w:color w:val="auto"/>
                <w:lang w:eastAsia="zh-CN"/>
              </w:rPr>
              <w:t>①</w:t>
            </w:r>
            <w:r>
              <w:rPr>
                <w:rFonts w:hint="eastAsia"/>
                <w:color w:val="auto"/>
              </w:rPr>
              <w:t>生产期间保持道路畅通，清理路面废石，保证路面平整；</w:t>
            </w:r>
          </w:p>
          <w:p>
            <w:pPr>
              <w:bidi w:val="0"/>
              <w:rPr>
                <w:rFonts w:hint="eastAsia"/>
                <w:color w:val="auto"/>
              </w:rPr>
            </w:pPr>
            <w:r>
              <w:rPr>
                <w:rFonts w:hint="eastAsia"/>
                <w:color w:val="auto"/>
                <w:lang w:eastAsia="zh-CN"/>
              </w:rPr>
              <w:t>②</w:t>
            </w:r>
            <w:r>
              <w:rPr>
                <w:rFonts w:hint="eastAsia"/>
                <w:color w:val="auto"/>
              </w:rPr>
              <w:t>急弯处、陡坡处设置警示标志，提醒驾驶员减速慢行；</w:t>
            </w:r>
          </w:p>
          <w:p>
            <w:pPr>
              <w:bidi w:val="0"/>
              <w:rPr>
                <w:rFonts w:hint="eastAsia"/>
                <w:color w:val="auto"/>
              </w:rPr>
            </w:pPr>
            <w:r>
              <w:rPr>
                <w:rFonts w:hint="eastAsia"/>
                <w:color w:val="auto"/>
                <w:lang w:eastAsia="zh-CN"/>
              </w:rPr>
              <w:t>③</w:t>
            </w:r>
            <w:r>
              <w:rPr>
                <w:rFonts w:hint="eastAsia"/>
                <w:color w:val="auto"/>
              </w:rPr>
              <w:t>进入露天采矿场入口处设置警示牌，提醒车辆、行人注意避让；</w:t>
            </w:r>
          </w:p>
          <w:p>
            <w:pPr>
              <w:bidi w:val="0"/>
              <w:rPr>
                <w:rFonts w:hint="eastAsia"/>
                <w:color w:val="auto"/>
              </w:rPr>
            </w:pPr>
            <w:r>
              <w:rPr>
                <w:rFonts w:hint="eastAsia"/>
                <w:color w:val="auto"/>
                <w:lang w:eastAsia="zh-CN"/>
              </w:rPr>
              <w:t>④</w:t>
            </w:r>
            <w:r>
              <w:rPr>
                <w:rFonts w:hint="eastAsia"/>
                <w:color w:val="auto"/>
              </w:rPr>
              <w:t>理控制破坏土地范围，</w:t>
            </w:r>
            <w:r>
              <w:rPr>
                <w:rFonts w:hint="eastAsia"/>
                <w:color w:val="auto"/>
                <w:lang w:eastAsia="zh-CN"/>
              </w:rPr>
              <w:t>剥离表土回填，采取人工撒播草籽恢复地表植被，植草坪、撒播草籽安排在秋季进行，利用冬季降雪融水及春季降雨进行萌发，</w:t>
            </w:r>
            <w:r>
              <w:rPr>
                <w:rFonts w:hint="eastAsia"/>
                <w:color w:val="auto"/>
              </w:rPr>
              <w:t>尽量恢复原有地形地貌景观。</w:t>
            </w:r>
          </w:p>
          <w:p>
            <w:pPr>
              <w:bidi w:val="0"/>
              <w:rPr>
                <w:rFonts w:hint="eastAsia"/>
                <w:color w:val="auto"/>
                <w:lang w:eastAsia="zh-CN"/>
              </w:rPr>
            </w:pPr>
            <w:r>
              <w:rPr>
                <w:rFonts w:hint="eastAsia"/>
                <w:color w:val="auto"/>
                <w:lang w:eastAsia="zh-CN"/>
              </w:rPr>
              <w:t>综上所述，采取以上措施可以</w:t>
            </w:r>
            <w:r>
              <w:rPr>
                <w:rFonts w:hint="eastAsia"/>
                <w:color w:val="auto"/>
              </w:rPr>
              <w:t>恢复原有生态系统功能及生物多样性</w:t>
            </w:r>
            <w:r>
              <w:rPr>
                <w:rFonts w:hint="eastAsia"/>
                <w:color w:val="auto"/>
                <w:lang w:eastAsia="zh-CN"/>
              </w:rPr>
              <w:t>。</w:t>
            </w:r>
          </w:p>
          <w:p>
            <w:pPr>
              <w:pStyle w:val="5"/>
              <w:rPr>
                <w:color w:val="auto"/>
              </w:rPr>
            </w:pPr>
            <w:r>
              <w:rPr>
                <w:rFonts w:hint="eastAsia"/>
                <w:color w:val="auto"/>
                <w:lang w:val="en-US" w:eastAsia="zh-CN"/>
              </w:rPr>
              <w:t>8、</w:t>
            </w:r>
            <w:r>
              <w:rPr>
                <w:color w:val="auto"/>
              </w:rPr>
              <w:t>水土保持措施</w:t>
            </w:r>
          </w:p>
          <w:p>
            <w:pPr>
              <w:ind w:firstLine="480"/>
              <w:rPr>
                <w:color w:val="auto"/>
              </w:rPr>
            </w:pPr>
            <w:r>
              <w:rPr>
                <w:rFonts w:hint="eastAsia"/>
                <w:color w:val="auto"/>
              </w:rPr>
              <w:t>矿区</w:t>
            </w:r>
            <w:r>
              <w:rPr>
                <w:color w:val="auto"/>
              </w:rPr>
              <w:t>服务期结束以后，彻底清理迹地废料，将</w:t>
            </w:r>
            <w:r>
              <w:rPr>
                <w:rFonts w:hint="eastAsia"/>
                <w:color w:val="auto"/>
              </w:rPr>
              <w:t>废石</w:t>
            </w:r>
            <w:r>
              <w:rPr>
                <w:color w:val="auto"/>
              </w:rPr>
              <w:t>回填于</w:t>
            </w:r>
            <w:r>
              <w:rPr>
                <w:rFonts w:hint="eastAsia"/>
                <w:color w:val="auto"/>
              </w:rPr>
              <w:t>矿坑中</w:t>
            </w:r>
            <w:r>
              <w:rPr>
                <w:color w:val="auto"/>
              </w:rPr>
              <w:t>，同时对</w:t>
            </w:r>
            <w:r>
              <w:rPr>
                <w:rFonts w:hint="eastAsia"/>
                <w:color w:val="auto"/>
                <w:lang w:eastAsia="zh-CN"/>
              </w:rPr>
              <w:t>生活区</w:t>
            </w:r>
            <w:r>
              <w:rPr>
                <w:color w:val="auto"/>
              </w:rPr>
              <w:t>房屋</w:t>
            </w:r>
            <w:r>
              <w:rPr>
                <w:rFonts w:hint="eastAsia"/>
                <w:color w:val="auto"/>
              </w:rPr>
              <w:t>进行</w:t>
            </w:r>
            <w:r>
              <w:rPr>
                <w:color w:val="auto"/>
              </w:rPr>
              <w:t>拆除，将各种设备清运，对压占的</w:t>
            </w:r>
            <w:r>
              <w:rPr>
                <w:rFonts w:hint="eastAsia"/>
                <w:color w:val="auto"/>
              </w:rPr>
              <w:t>土</w:t>
            </w:r>
            <w:r>
              <w:rPr>
                <w:color w:val="auto"/>
              </w:rPr>
              <w:t>地采取平整措施。同时按照水土保持设施建设应遵循与主体工程同时设计、同时施工、同时投入的原则。应严格执行水土保持措施，加强建设管理，把植被破坏减少到最低程度，工作面结束后，可以进行</w:t>
            </w:r>
            <w:r>
              <w:rPr>
                <w:rFonts w:hint="eastAsia"/>
                <w:color w:val="auto"/>
              </w:rPr>
              <w:t>植被</w:t>
            </w:r>
            <w:r>
              <w:rPr>
                <w:color w:val="auto"/>
              </w:rPr>
              <w:t>恢复的地方应尽量进行植被恢复和修复工作，尽可能减少水土流失和土壤侵蚀。项目建设施工时还应避开雨期，减少水土流失现象。</w:t>
            </w:r>
          </w:p>
          <w:p>
            <w:pPr>
              <w:ind w:firstLine="480"/>
              <w:rPr>
                <w:color w:val="auto"/>
              </w:rPr>
            </w:pPr>
            <w:r>
              <w:rPr>
                <w:color w:val="auto"/>
              </w:rPr>
              <w:t>（1）</w:t>
            </w:r>
            <w:r>
              <w:rPr>
                <w:color w:val="auto"/>
                <w:spacing w:val="-6"/>
              </w:rPr>
              <w:t>严格在规定范围内进行基础设施建设和开采，禁止随意扩大建设和开采区域。</w:t>
            </w:r>
          </w:p>
          <w:p>
            <w:pPr>
              <w:ind w:firstLine="480"/>
              <w:rPr>
                <w:color w:val="auto"/>
              </w:rPr>
            </w:pPr>
            <w:r>
              <w:rPr>
                <w:color w:val="auto"/>
              </w:rPr>
              <w:t>（2）加强运矿道路维护，严格控制道路宽度，严格按照规定线路行驶，避免因碾压失稳路缘，造成水土流失。</w:t>
            </w:r>
          </w:p>
          <w:p>
            <w:pPr>
              <w:ind w:firstLine="480"/>
              <w:rPr>
                <w:color w:val="auto"/>
              </w:rPr>
            </w:pPr>
            <w:r>
              <w:rPr>
                <w:color w:val="auto"/>
              </w:rPr>
              <w:t>（3）在矿区开采前应首先划定开采边界，对矿区范围采用铁丝围栏围挡，在划定的开采范围进行稳定边坡开采，但在开采过程中不可避免会形成陡坡，陡坡易造成小范围的坍塌和水土流失，建设单位应对已开采时形成的陡坡采取</w:t>
            </w:r>
            <w:r>
              <w:rPr>
                <w:rFonts w:hint="eastAsia"/>
                <w:color w:val="auto"/>
                <w:lang w:eastAsia="zh-CN"/>
              </w:rPr>
              <w:t>稳固</w:t>
            </w:r>
            <w:r>
              <w:rPr>
                <w:color w:val="auto"/>
              </w:rPr>
              <w:t>工程措施</w:t>
            </w:r>
            <w:r>
              <w:rPr>
                <w:rFonts w:hint="eastAsia"/>
                <w:color w:val="auto"/>
                <w:lang w:eastAsia="zh-CN"/>
              </w:rPr>
              <w:t>，</w:t>
            </w:r>
            <w:r>
              <w:rPr>
                <w:color w:val="auto"/>
              </w:rPr>
              <w:t>避免水土流失。</w:t>
            </w:r>
          </w:p>
          <w:p>
            <w:pPr>
              <w:ind w:firstLine="480"/>
              <w:rPr>
                <w:rStyle w:val="63"/>
                <w:rFonts w:hint="default" w:ascii="Times New Roman" w:hAnsi="Times New Roman"/>
                <w:color w:val="auto"/>
                <w:sz w:val="24"/>
                <w:szCs w:val="24"/>
              </w:rPr>
            </w:pPr>
            <w:bookmarkStart w:id="56" w:name="_Toc9868267"/>
            <w:bookmarkStart w:id="57" w:name="_Toc29988270"/>
            <w:r>
              <w:rPr>
                <w:rStyle w:val="63"/>
                <w:rFonts w:hint="default" w:ascii="Times New Roman" w:hAnsi="Times New Roman"/>
                <w:color w:val="auto"/>
                <w:sz w:val="24"/>
                <w:szCs w:val="24"/>
              </w:rPr>
              <w:t>（4）废石场恢复：在开采服务年限到期，矿</w:t>
            </w:r>
            <w:r>
              <w:rPr>
                <w:rStyle w:val="63"/>
                <w:rFonts w:hint="default"/>
                <w:color w:val="auto"/>
                <w:sz w:val="24"/>
                <w:szCs w:val="24"/>
              </w:rPr>
              <w:t>区</w:t>
            </w:r>
            <w:r>
              <w:rPr>
                <w:rStyle w:val="63"/>
                <w:rFonts w:hint="default" w:ascii="Times New Roman" w:hAnsi="Times New Roman"/>
                <w:color w:val="auto"/>
                <w:sz w:val="24"/>
                <w:szCs w:val="24"/>
              </w:rPr>
              <w:t>停止使用后，需对废石场进行恢复，将废石进行回填采坑，增加边坡稳定性。</w:t>
            </w:r>
          </w:p>
          <w:p>
            <w:pPr>
              <w:pStyle w:val="24"/>
              <w:spacing w:after="0" w:line="360" w:lineRule="auto"/>
              <w:ind w:firstLine="480"/>
              <w:rPr>
                <w:rStyle w:val="63"/>
                <w:rFonts w:hint="default" w:ascii="Times New Roman" w:hAnsi="Times New Roman"/>
                <w:color w:val="auto"/>
                <w:sz w:val="24"/>
                <w:szCs w:val="24"/>
              </w:rPr>
            </w:pPr>
            <w:r>
              <w:rPr>
                <w:color w:val="auto"/>
              </w:rPr>
              <w:t>（5）临时措施：</w:t>
            </w:r>
            <w:r>
              <w:rPr>
                <w:rStyle w:val="63"/>
                <w:rFonts w:hint="default" w:ascii="Times New Roman" w:hAnsi="Times New Roman"/>
                <w:color w:val="auto"/>
                <w:sz w:val="24"/>
                <w:szCs w:val="24"/>
              </w:rPr>
              <w:t>要求</w:t>
            </w:r>
            <w:r>
              <w:rPr>
                <w:rStyle w:val="63"/>
                <w:rFonts w:hint="eastAsia"/>
                <w:color w:val="auto"/>
                <w:sz w:val="24"/>
                <w:szCs w:val="24"/>
                <w:lang w:eastAsia="zh-CN"/>
              </w:rPr>
              <w:t>在</w:t>
            </w:r>
            <w:r>
              <w:rPr>
                <w:rStyle w:val="63"/>
                <w:rFonts w:hint="default" w:ascii="Times New Roman" w:hAnsi="Times New Roman"/>
                <w:color w:val="auto"/>
                <w:sz w:val="24"/>
                <w:szCs w:val="24"/>
              </w:rPr>
              <w:t>采场的开采边界增设项目的安全警示标志和铁丝围栏，严禁</w:t>
            </w:r>
            <w:r>
              <w:rPr>
                <w:rStyle w:val="63"/>
                <w:rFonts w:hint="eastAsia"/>
                <w:color w:val="auto"/>
                <w:sz w:val="24"/>
                <w:szCs w:val="24"/>
                <w:lang w:val="en-US" w:eastAsia="zh-CN"/>
              </w:rPr>
              <w:t>无</w:t>
            </w:r>
            <w:r>
              <w:rPr>
                <w:rStyle w:val="63"/>
                <w:rFonts w:hint="default" w:ascii="Times New Roman" w:hAnsi="Times New Roman"/>
                <w:color w:val="auto"/>
                <w:sz w:val="24"/>
                <w:szCs w:val="24"/>
              </w:rPr>
              <w:t>关人员靠近采场边缘，防止发生安全事故。</w:t>
            </w:r>
          </w:p>
          <w:p>
            <w:pPr>
              <w:bidi w:val="0"/>
              <w:rPr>
                <w:rFonts w:hint="default"/>
                <w:color w:val="auto"/>
              </w:rPr>
            </w:pPr>
            <w:r>
              <w:rPr>
                <w:rFonts w:hint="default"/>
                <w:color w:val="auto"/>
              </w:rPr>
              <w:t>（6）</w:t>
            </w:r>
            <w:r>
              <w:rPr>
                <w:rFonts w:hint="eastAsia"/>
                <w:color w:val="auto"/>
                <w:lang w:eastAsia="zh-CN"/>
              </w:rPr>
              <w:t>采场周边设置</w:t>
            </w:r>
            <w:r>
              <w:rPr>
                <w:rFonts w:hint="eastAsia"/>
                <w:color w:val="auto"/>
                <w:lang w:val="en-US" w:eastAsia="zh-CN"/>
              </w:rPr>
              <w:t>截排水沟和蓄水池，有效减少水土流失。</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委托具有水土保持资质单位编制矿区开采的水土保持方案，进行水土保持设计。</w:t>
            </w:r>
          </w:p>
          <w:p>
            <w:pPr>
              <w:pStyle w:val="5"/>
              <w:widowControl/>
              <w:rPr>
                <w:color w:val="auto"/>
                <w:szCs w:val="24"/>
              </w:rPr>
            </w:pPr>
            <w:r>
              <w:rPr>
                <w:rFonts w:hint="eastAsia"/>
                <w:color w:val="auto"/>
                <w:szCs w:val="24"/>
                <w:lang w:val="en-US" w:eastAsia="zh-CN"/>
              </w:rPr>
              <w:t>9</w:t>
            </w:r>
            <w:r>
              <w:rPr>
                <w:color w:val="auto"/>
                <w:szCs w:val="24"/>
              </w:rPr>
              <w:t>、</w:t>
            </w:r>
            <w:r>
              <w:rPr>
                <w:rFonts w:hint="eastAsia"/>
                <w:color w:val="auto"/>
                <w:szCs w:val="24"/>
                <w:lang w:eastAsia="zh-CN"/>
              </w:rPr>
              <w:t>防沙固沙</w:t>
            </w:r>
            <w:r>
              <w:rPr>
                <w:rFonts w:hint="eastAsia"/>
                <w:color w:val="auto"/>
                <w:szCs w:val="24"/>
              </w:rPr>
              <w:t>措施</w:t>
            </w:r>
          </w:p>
          <w:p>
            <w:pPr>
              <w:widowControl/>
              <w:ind w:firstLine="480"/>
              <w:jc w:val="left"/>
              <w:rPr>
                <w:color w:val="auto"/>
              </w:rPr>
            </w:pPr>
            <w:r>
              <w:rPr>
                <w:color w:val="auto"/>
                <w:kern w:val="0"/>
                <w:lang w:bidi="ar"/>
              </w:rPr>
              <w:t>在</w:t>
            </w:r>
            <w:r>
              <w:rPr>
                <w:rFonts w:hint="eastAsia"/>
                <w:color w:val="auto"/>
                <w:kern w:val="0"/>
                <w:lang w:bidi="ar"/>
              </w:rPr>
              <w:t>运营期</w:t>
            </w:r>
            <w:r>
              <w:rPr>
                <w:color w:val="auto"/>
                <w:kern w:val="0"/>
                <w:lang w:bidi="ar"/>
              </w:rPr>
              <w:t>采取一定的治理措施，可以有效</w:t>
            </w:r>
            <w:r>
              <w:rPr>
                <w:rFonts w:hint="eastAsia"/>
                <w:color w:val="auto"/>
                <w:kern w:val="0"/>
                <w:lang w:eastAsia="zh-CN" w:bidi="ar"/>
              </w:rPr>
              <w:t>地</w:t>
            </w:r>
            <w:r>
              <w:rPr>
                <w:color w:val="auto"/>
                <w:kern w:val="0"/>
                <w:lang w:bidi="ar"/>
              </w:rPr>
              <w:t>减轻对环境的影响。本项目应采取以下措施：</w:t>
            </w:r>
          </w:p>
          <w:p>
            <w:pPr>
              <w:ind w:firstLine="480"/>
              <w:rPr>
                <w:color w:val="auto"/>
              </w:rPr>
            </w:pPr>
            <w:r>
              <w:rPr>
                <w:rFonts w:hint="eastAsia"/>
                <w:color w:val="auto"/>
              </w:rPr>
              <w:t>（1）根据矿区开采顺序，边开采边填埋、平整场地，清除场地矿区内凹凸不平，减少风</w:t>
            </w:r>
            <w:r>
              <w:rPr>
                <w:color w:val="auto"/>
              </w:rPr>
              <w:t>蚀扬尘</w:t>
            </w:r>
            <w:r>
              <w:rPr>
                <w:rFonts w:hint="eastAsia"/>
                <w:color w:val="auto"/>
              </w:rPr>
              <w:t>。</w:t>
            </w:r>
          </w:p>
          <w:p>
            <w:pPr>
              <w:ind w:firstLine="480"/>
              <w:rPr>
                <w:color w:val="auto"/>
              </w:rPr>
            </w:pPr>
            <w:r>
              <w:rPr>
                <w:rFonts w:hint="eastAsia"/>
                <w:color w:val="auto"/>
              </w:rPr>
              <w:t>（2）矿山剥离的</w:t>
            </w:r>
            <w:r>
              <w:rPr>
                <w:rFonts w:hint="eastAsia"/>
                <w:color w:val="auto"/>
                <w:lang w:eastAsia="zh-CN"/>
              </w:rPr>
              <w:t>表土</w:t>
            </w:r>
            <w:r>
              <w:rPr>
                <w:rFonts w:hint="eastAsia"/>
                <w:color w:val="auto"/>
              </w:rPr>
              <w:t>，</w:t>
            </w:r>
            <w:r>
              <w:rPr>
                <w:rFonts w:hint="default" w:ascii="Times New Roman" w:hAnsi="Times New Roman" w:eastAsia="宋体" w:cs="Times New Roman"/>
                <w:color w:val="auto"/>
                <w:sz w:val="24"/>
                <w:szCs w:val="24"/>
                <w:lang w:val="en-US" w:eastAsia="zh-CN"/>
              </w:rPr>
              <w:t>表层土壤应分层堆放，</w:t>
            </w:r>
            <w:r>
              <w:rPr>
                <w:rFonts w:hint="eastAsia" w:ascii="Times New Roman" w:hAnsi="Times New Roman" w:eastAsia="宋体" w:cs="Times New Roman"/>
                <w:color w:val="auto"/>
                <w:sz w:val="24"/>
                <w:szCs w:val="24"/>
                <w:lang w:val="en-US" w:eastAsia="zh-CN"/>
              </w:rPr>
              <w:t>表层植被进行养护</w:t>
            </w:r>
            <w:r>
              <w:rPr>
                <w:rFonts w:hint="eastAsia" w:ascii="Times New Roman" w:hAnsi="Times New Roman" w:cs="Times New Roman"/>
                <w:color w:val="auto"/>
                <w:sz w:val="24"/>
                <w:szCs w:val="24"/>
                <w:lang w:val="en-US" w:eastAsia="zh-CN"/>
              </w:rPr>
              <w:t>，</w:t>
            </w:r>
            <w:r>
              <w:rPr>
                <w:rFonts w:hint="eastAsia"/>
                <w:color w:val="auto"/>
              </w:rPr>
              <w:t>集中堆放至废石场，对废石场的表面</w:t>
            </w:r>
            <w:r>
              <w:rPr>
                <w:color w:val="auto"/>
              </w:rPr>
              <w:t>压紧夯实</w:t>
            </w:r>
            <w:r>
              <w:rPr>
                <w:rFonts w:hint="eastAsia"/>
                <w:color w:val="auto"/>
              </w:rPr>
              <w:t>，定期洒水，表面做硬化处理，减少风蚀。</w:t>
            </w:r>
          </w:p>
          <w:p>
            <w:pPr>
              <w:ind w:firstLine="480"/>
              <w:rPr>
                <w:color w:val="auto"/>
              </w:rPr>
            </w:pPr>
            <w:r>
              <w:rPr>
                <w:rFonts w:hint="eastAsia"/>
                <w:color w:val="auto"/>
              </w:rPr>
              <w:t>（3）在开采及运输过程中，采用洒水降尘，降低扬尘产生。</w:t>
            </w:r>
          </w:p>
          <w:p>
            <w:pPr>
              <w:bidi w:val="0"/>
              <w:rPr>
                <w:color w:val="auto"/>
              </w:rPr>
            </w:pPr>
            <w:r>
              <w:rPr>
                <w:rFonts w:hint="eastAsia"/>
                <w:color w:val="auto"/>
              </w:rPr>
              <w:t>（4）</w:t>
            </w:r>
            <w:r>
              <w:rPr>
                <w:color w:val="auto"/>
              </w:rPr>
              <w:t>强化</w:t>
            </w:r>
            <w:r>
              <w:rPr>
                <w:rFonts w:hint="eastAsia"/>
                <w:color w:val="auto"/>
              </w:rPr>
              <w:t>开采</w:t>
            </w:r>
            <w:r>
              <w:rPr>
                <w:color w:val="auto"/>
              </w:rPr>
              <w:t>管理，</w:t>
            </w:r>
            <w:r>
              <w:rPr>
                <w:rFonts w:hint="eastAsia"/>
                <w:color w:val="auto"/>
              </w:rPr>
              <w:t>严禁越界和超范围开采，</w:t>
            </w:r>
            <w:r>
              <w:rPr>
                <w:color w:val="auto"/>
              </w:rPr>
              <w:t>加强施工人员</w:t>
            </w:r>
            <w:r>
              <w:rPr>
                <w:rFonts w:hint="eastAsia"/>
                <w:color w:val="auto"/>
                <w:lang w:eastAsia="zh-CN"/>
              </w:rPr>
              <w:t>防沙固沙</w:t>
            </w:r>
            <w:r>
              <w:rPr>
                <w:color w:val="auto"/>
              </w:rPr>
              <w:t>的环境保护意识和知识，杜绝因对人员的流动管理不善及作业方式不合理而产生对区域土地环境的</w:t>
            </w:r>
            <w:r>
              <w:rPr>
                <w:rFonts w:hint="eastAsia"/>
                <w:color w:val="auto"/>
                <w:lang w:eastAsia="zh-CN"/>
              </w:rPr>
              <w:t>人为</w:t>
            </w:r>
            <w:r>
              <w:rPr>
                <w:color w:val="auto"/>
              </w:rPr>
              <w:t>影响和破坏</w:t>
            </w:r>
            <w:r>
              <w:rPr>
                <w:rFonts w:hint="eastAsia"/>
                <w:color w:val="auto"/>
              </w:rPr>
              <w:t>。</w:t>
            </w:r>
          </w:p>
          <w:p>
            <w:pPr>
              <w:pStyle w:val="5"/>
              <w:widowControl/>
              <w:rPr>
                <w:rFonts w:hint="eastAsia" w:eastAsia="宋体"/>
                <w:color w:val="auto"/>
                <w:szCs w:val="24"/>
                <w:lang w:eastAsia="zh-CN"/>
              </w:rPr>
            </w:pPr>
            <w:r>
              <w:rPr>
                <w:rFonts w:hint="eastAsia"/>
                <w:color w:val="auto"/>
                <w:szCs w:val="24"/>
                <w:lang w:val="en-US" w:eastAsia="zh-CN"/>
              </w:rPr>
              <w:t>10</w:t>
            </w:r>
            <w:r>
              <w:rPr>
                <w:rFonts w:hint="eastAsia"/>
                <w:color w:val="auto"/>
                <w:szCs w:val="24"/>
              </w:rPr>
              <w:t>、</w:t>
            </w:r>
            <w:r>
              <w:rPr>
                <w:color w:val="auto"/>
                <w:szCs w:val="24"/>
              </w:rPr>
              <w:t>环境风险</w:t>
            </w:r>
            <w:bookmarkEnd w:id="56"/>
            <w:bookmarkEnd w:id="57"/>
            <w:r>
              <w:rPr>
                <w:rFonts w:hint="eastAsia"/>
                <w:color w:val="auto"/>
                <w:szCs w:val="24"/>
                <w:lang w:eastAsia="zh-CN"/>
              </w:rPr>
              <w:t>防范措施</w:t>
            </w:r>
          </w:p>
          <w:p>
            <w:pPr>
              <w:bidi w:val="0"/>
              <w:rPr>
                <w:rFonts w:hint="eastAsia"/>
                <w:color w:val="auto"/>
                <w:lang w:eastAsia="zh-CN"/>
              </w:rPr>
            </w:pPr>
            <w:r>
              <w:rPr>
                <w:rFonts w:hint="eastAsia"/>
                <w:color w:val="auto"/>
                <w:lang w:eastAsia="zh-CN"/>
              </w:rPr>
              <w:t>①制定值班制度，安排指定值班人员检查，防止风险物质发生泄漏；</w:t>
            </w:r>
          </w:p>
          <w:p>
            <w:pPr>
              <w:bidi w:val="0"/>
              <w:rPr>
                <w:rFonts w:hint="eastAsia"/>
                <w:color w:val="auto"/>
                <w:lang w:eastAsia="zh-CN"/>
              </w:rPr>
            </w:pPr>
            <w:r>
              <w:rPr>
                <w:rFonts w:hint="eastAsia"/>
                <w:color w:val="auto"/>
                <w:lang w:eastAsia="zh-CN"/>
              </w:rPr>
              <w:t>②制定应急监测方案，可与有监测资质的单位签订委托监测协议；</w:t>
            </w:r>
          </w:p>
          <w:p>
            <w:pPr>
              <w:bidi w:val="0"/>
              <w:rPr>
                <w:rFonts w:hint="eastAsia" w:eastAsia="宋体"/>
                <w:color w:val="auto"/>
                <w:lang w:eastAsia="zh-CN"/>
              </w:rPr>
            </w:pPr>
            <w:r>
              <w:rPr>
                <w:rFonts w:hint="eastAsia"/>
                <w:color w:val="auto"/>
                <w:lang w:eastAsia="zh-CN"/>
              </w:rPr>
              <w:t>③编写应急预案，设置必要的应急物资，包括：应急通讯、清理收集泄漏物质的铲子、吸油泵、消防沙、灭火器、收集桶、劳保用品等，</w:t>
            </w:r>
            <w:r>
              <w:rPr>
                <w:color w:val="auto"/>
              </w:rPr>
              <w:t>配备足够数量的应急物资</w:t>
            </w:r>
            <w:r>
              <w:rPr>
                <w:rFonts w:hint="eastAsia"/>
                <w:color w:val="auto"/>
                <w:lang w:eastAsia="zh-CN"/>
              </w:rPr>
              <w:t>；</w:t>
            </w:r>
          </w:p>
          <w:p>
            <w:pPr>
              <w:bidi w:val="0"/>
              <w:rPr>
                <w:rFonts w:hint="eastAsia"/>
                <w:color w:val="auto"/>
                <w:lang w:eastAsia="zh-CN"/>
              </w:rPr>
            </w:pPr>
            <w:r>
              <w:rPr>
                <w:rFonts w:hint="eastAsia"/>
                <w:color w:val="auto"/>
                <w:lang w:eastAsia="zh-CN"/>
              </w:rPr>
              <w:t>④</w:t>
            </w:r>
            <w:r>
              <w:rPr>
                <w:rFonts w:hint="eastAsia"/>
                <w:color w:val="auto"/>
                <w:lang w:val="en-US" w:eastAsia="zh-CN"/>
              </w:rPr>
              <w:t>建立安全责任制，制定安全的规章制度、安全操作规程。如风险收集过程中必须有全套切实可行的安全操作规程，有专人负责检查安全操作规程的执行、安全设备及防护设备的使用情况；</w:t>
            </w:r>
            <w:r>
              <w:rPr>
                <w:rFonts w:hint="default"/>
                <w:color w:val="auto"/>
                <w:lang w:val="en-US" w:eastAsia="zh-CN"/>
              </w:rPr>
              <w:t>并且设置火灾自动报警系统，一旦发生火灾能够及时采取措施</w:t>
            </w:r>
            <w:r>
              <w:rPr>
                <w:rFonts w:hint="eastAsia"/>
                <w:color w:val="auto"/>
                <w:lang w:val="en-US" w:eastAsia="zh-CN"/>
              </w:rPr>
              <w:t>；危险废物收集现场禁止吸烟、进食、饮水；危险废物收集完毕，应洗澡换衣；单独存放被危险废物污染的衣服，洗后备用；收集车间配备急救设备和药品；作业人员应学会自救和互救。</w:t>
            </w:r>
          </w:p>
          <w:p>
            <w:pPr>
              <w:bidi w:val="0"/>
              <w:rPr>
                <w:rFonts w:hint="default"/>
                <w:color w:val="auto"/>
                <w:lang w:val="en-US" w:eastAsia="zh-CN"/>
              </w:rPr>
            </w:pPr>
            <w:r>
              <w:rPr>
                <w:rFonts w:hint="eastAsia"/>
                <w:color w:val="auto"/>
                <w:lang w:val="en-US" w:eastAsia="zh-CN"/>
              </w:rPr>
              <w:t>⑤危险废物贮存库设置围堰</w:t>
            </w:r>
            <w:r>
              <w:rPr>
                <w:rFonts w:hint="default"/>
                <w:color w:val="auto"/>
                <w:lang w:val="en-US" w:eastAsia="zh-CN"/>
              </w:rPr>
              <w:t>，用于事故状况下危险废物的泄漏液体收集，以免事故状态下污染周围的土壤和地下水环境。</w:t>
            </w:r>
          </w:p>
          <w:p>
            <w:pPr>
              <w:bidi w:val="0"/>
              <w:rPr>
                <w:rFonts w:hint="eastAsia"/>
                <w:color w:val="auto"/>
                <w:lang w:val="en-US" w:eastAsia="zh-CN"/>
              </w:rPr>
            </w:pPr>
            <w:r>
              <w:rPr>
                <w:rFonts w:hint="eastAsia"/>
                <w:color w:val="auto"/>
                <w:lang w:val="en-US" w:eastAsia="zh-CN"/>
              </w:rPr>
              <w:t>⑥对在岗工人及邻近有关人员进行普及性自我救护教育，一旦发生事故迅速进行自我救护，同时还要加强防护器材的维修保养，保证器材处于备用状态。</w:t>
            </w:r>
          </w:p>
          <w:p>
            <w:pPr>
              <w:bidi w:val="0"/>
              <w:rPr>
                <w:rFonts w:hint="default"/>
                <w:color w:val="auto"/>
                <w:lang w:val="en-US" w:eastAsia="zh-CN"/>
              </w:rPr>
            </w:pPr>
            <w:r>
              <w:rPr>
                <w:rFonts w:hint="eastAsia"/>
                <w:color w:val="auto"/>
                <w:lang w:val="en-US" w:eastAsia="zh-CN"/>
              </w:rPr>
              <w:t>⑦</w:t>
            </w:r>
            <w:r>
              <w:rPr>
                <w:rFonts w:hint="default"/>
                <w:color w:val="auto"/>
                <w:lang w:val="en-US" w:eastAsia="zh-CN"/>
              </w:rPr>
              <w:t>各种固体危险废物在场内按指定区域分别堆存，并设置明显的危险废物标识，盛装危险废物的容器上必须粘贴符合《危险废物储存污染控制标准》附录A所示的标签。散落的固体危险废物及时回收，并清扫干净。</w:t>
            </w:r>
          </w:p>
          <w:p>
            <w:pPr>
              <w:bidi w:val="0"/>
              <w:rPr>
                <w:rFonts w:hint="default"/>
                <w:color w:val="auto"/>
                <w:lang w:val="en-US" w:eastAsia="zh-CN"/>
              </w:rPr>
            </w:pPr>
            <w:r>
              <w:rPr>
                <w:rFonts w:hint="eastAsia"/>
                <w:color w:val="auto"/>
                <w:lang w:val="en-US" w:eastAsia="zh-CN"/>
              </w:rPr>
              <w:t>⑧</w:t>
            </w:r>
            <w:r>
              <w:rPr>
                <w:rFonts w:hint="default"/>
                <w:color w:val="auto"/>
                <w:lang w:val="en-US" w:eastAsia="zh-CN"/>
              </w:rPr>
              <w:t>严禁火源进入危险废物贮存库对明火严格控制，明火发生源为火柴、打火机等。</w:t>
            </w:r>
          </w:p>
          <w:p>
            <w:pPr>
              <w:bidi w:val="0"/>
              <w:rPr>
                <w:color w:val="auto"/>
              </w:rPr>
            </w:pPr>
            <w:r>
              <w:rPr>
                <w:rFonts w:hint="eastAsia"/>
                <w:color w:val="auto"/>
                <w:lang w:eastAsia="zh-CN"/>
              </w:rPr>
              <w:t>⑨危险废物贮存库为重点防渗区，应采取混凝土硬化地面并涂刷2层防渗胶层防渗，确保防渗性能与6.0m厚黏土层（渗透系数K≤1×10</w:t>
            </w:r>
            <w:r>
              <w:rPr>
                <w:rFonts w:hint="eastAsia"/>
                <w:color w:val="auto"/>
                <w:vertAlign w:val="superscript"/>
                <w:lang w:eastAsia="zh-CN"/>
              </w:rPr>
              <w:t>-7</w:t>
            </w:r>
            <w:r>
              <w:rPr>
                <w:rFonts w:hint="eastAsia"/>
                <w:color w:val="auto"/>
                <w:lang w:eastAsia="zh-CN"/>
              </w:rPr>
              <w:t>cm/s）等效。</w:t>
            </w:r>
            <w:r>
              <w:rPr>
                <w:color w:val="auto"/>
              </w:rPr>
              <w:t xml:space="preserve"> </w:t>
            </w:r>
          </w:p>
          <w:p>
            <w:pPr>
              <w:pStyle w:val="5"/>
              <w:bidi w:val="0"/>
              <w:rPr>
                <w:rFonts w:hint="eastAsia"/>
                <w:color w:val="auto"/>
                <w:lang w:val="en-US" w:eastAsia="zh-CN"/>
              </w:rPr>
            </w:pPr>
            <w:r>
              <w:rPr>
                <w:rFonts w:hint="eastAsia"/>
                <w:color w:val="auto"/>
                <w:lang w:val="en-US" w:eastAsia="zh-CN"/>
              </w:rPr>
              <w:t>11、排污口规范化</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（1）排污口管理</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（2）环境保护图形标志</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在固体废物贮存处置场、噪声产生点应设置环境保护图形标志，图形符号分为提示图形和警告图形符号两种，分别按《</w:t>
            </w:r>
            <w:r>
              <w:rPr>
                <w:rFonts w:hint="eastAsia"/>
                <w:color w:val="auto"/>
                <w:lang w:val="en-US" w:eastAsia="zh-CN"/>
              </w:rPr>
              <w:fldChar w:fldCharType="begin"/>
            </w:r>
            <w:r>
              <w:rPr>
                <w:rFonts w:hint="eastAsia"/>
                <w:color w:val="auto"/>
                <w:lang w:val="en-US" w:eastAsia="zh-CN"/>
              </w:rPr>
              <w:instrText xml:space="preserve"> HYPERLINK "http://std.sacinfo.org.cn/home/javascript:;" </w:instrText>
            </w:r>
            <w:r>
              <w:rPr>
                <w:rFonts w:hint="eastAsia"/>
                <w:color w:val="auto"/>
                <w:lang w:val="en-US" w:eastAsia="zh-CN"/>
              </w:rPr>
              <w:fldChar w:fldCharType="separate"/>
            </w:r>
            <w:r>
              <w:rPr>
                <w:rFonts w:hint="eastAsia"/>
                <w:color w:val="auto"/>
                <w:lang w:val="en-US" w:eastAsia="zh-CN"/>
              </w:rPr>
              <w:t>环境保护图形标志 排放口（源）</w:t>
            </w:r>
            <w:r>
              <w:rPr>
                <w:rFonts w:hint="eastAsia"/>
                <w:color w:val="auto"/>
                <w:lang w:val="en-US" w:eastAsia="zh-CN"/>
              </w:rPr>
              <w:fldChar w:fldCharType="end"/>
            </w:r>
            <w:r>
              <w:rPr>
                <w:rFonts w:hint="eastAsia"/>
                <w:color w:val="auto"/>
                <w:lang w:val="en-US" w:eastAsia="zh-CN"/>
              </w:rPr>
              <w:t>》（GB15562.1-1995）《</w:t>
            </w:r>
            <w:r>
              <w:rPr>
                <w:rFonts w:hint="eastAsia"/>
                <w:color w:val="auto"/>
                <w:lang w:val="en-US" w:eastAsia="zh-CN"/>
              </w:rPr>
              <w:fldChar w:fldCharType="begin"/>
            </w:r>
            <w:r>
              <w:rPr>
                <w:rFonts w:hint="eastAsia"/>
                <w:color w:val="auto"/>
                <w:lang w:val="en-US" w:eastAsia="zh-CN"/>
              </w:rPr>
              <w:instrText xml:space="preserve"> HYPERLINK "http://std.sacinfo.org.cn/home/javascript:;" </w:instrText>
            </w:r>
            <w:r>
              <w:rPr>
                <w:rFonts w:hint="eastAsia"/>
                <w:color w:val="auto"/>
                <w:lang w:val="en-US" w:eastAsia="zh-CN"/>
              </w:rPr>
              <w:fldChar w:fldCharType="separate"/>
            </w:r>
            <w:r>
              <w:rPr>
                <w:rFonts w:hint="eastAsia"/>
                <w:color w:val="auto"/>
                <w:lang w:val="en-US" w:eastAsia="zh-CN"/>
              </w:rPr>
              <w:t>环境保护图形标志固体废物堆放（填埋）场</w:t>
            </w:r>
            <w:r>
              <w:rPr>
                <w:rFonts w:hint="eastAsia"/>
                <w:color w:val="auto"/>
                <w:lang w:val="en-US" w:eastAsia="zh-CN"/>
              </w:rPr>
              <w:fldChar w:fldCharType="end"/>
            </w:r>
            <w:r>
              <w:rPr>
                <w:rFonts w:hint="eastAsia"/>
                <w:color w:val="auto"/>
                <w:lang w:val="en-US" w:eastAsia="zh-CN"/>
              </w:rPr>
              <w:t>》（GB15562.2-1995）《危险废物识别标志设置技术规范》（HJ1276-2022）执行。环境保护图形符号见表5-4。</w:t>
            </w:r>
          </w:p>
          <w:p>
            <w:pPr>
              <w:pStyle w:val="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表5-4                         环境保护图形符号一览表</w:t>
            </w:r>
          </w:p>
          <w:tbl>
            <w:tblPr>
              <w:tblStyle w:val="3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0"/>
              <w:gridCol w:w="1623"/>
              <w:gridCol w:w="1662"/>
              <w:gridCol w:w="1240"/>
              <w:gridCol w:w="25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41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序号</w:t>
                  </w:r>
                </w:p>
              </w:tc>
              <w:tc>
                <w:tcPr>
                  <w:tcW w:w="162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提示图形符号</w:t>
                  </w:r>
                </w:p>
              </w:tc>
              <w:tc>
                <w:tcPr>
                  <w:tcW w:w="166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警告图形符号</w:t>
                  </w:r>
                </w:p>
              </w:tc>
              <w:tc>
                <w:tcPr>
                  <w:tcW w:w="124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名称</w:t>
                  </w:r>
                </w:p>
              </w:tc>
              <w:tc>
                <w:tcPr>
                  <w:tcW w:w="254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2" w:hRule="atLeast"/>
              </w:trPr>
              <w:tc>
                <w:tcPr>
                  <w:tcW w:w="41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1</w:t>
                  </w:r>
                </w:p>
              </w:tc>
              <w:tc>
                <w:tcPr>
                  <w:tcW w:w="162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drawing>
                      <wp:inline distT="0" distB="0" distL="114300" distR="114300">
                        <wp:extent cx="897255" cy="912495"/>
                        <wp:effectExtent l="0" t="0" r="17145"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6"/>
                                <a:stretch>
                                  <a:fillRect/>
                                </a:stretch>
                              </pic:blipFill>
                              <pic:spPr>
                                <a:xfrm>
                                  <a:off x="0" y="0"/>
                                  <a:ext cx="897255" cy="912495"/>
                                </a:xfrm>
                                <a:prstGeom prst="rect">
                                  <a:avLst/>
                                </a:prstGeom>
                                <a:noFill/>
                                <a:ln>
                                  <a:noFill/>
                                </a:ln>
                              </pic:spPr>
                            </pic:pic>
                          </a:graphicData>
                        </a:graphic>
                      </wp:inline>
                    </w:drawing>
                  </w:r>
                </w:p>
              </w:tc>
              <w:tc>
                <w:tcPr>
                  <w:tcW w:w="166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drawing>
                      <wp:inline distT="0" distB="0" distL="114300" distR="114300">
                        <wp:extent cx="1035050" cy="877570"/>
                        <wp:effectExtent l="0" t="0" r="12700" b="1778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7"/>
                                <a:stretch>
                                  <a:fillRect/>
                                </a:stretch>
                              </pic:blipFill>
                              <pic:spPr>
                                <a:xfrm>
                                  <a:off x="0" y="0"/>
                                  <a:ext cx="1035050" cy="877570"/>
                                </a:xfrm>
                                <a:prstGeom prst="rect">
                                  <a:avLst/>
                                </a:prstGeom>
                                <a:noFill/>
                                <a:ln>
                                  <a:noFill/>
                                </a:ln>
                              </pic:spPr>
                            </pic:pic>
                          </a:graphicData>
                        </a:graphic>
                      </wp:inline>
                    </w:drawing>
                  </w:r>
                </w:p>
              </w:tc>
              <w:tc>
                <w:tcPr>
                  <w:tcW w:w="124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污水排放口</w:t>
                  </w:r>
                </w:p>
              </w:tc>
              <w:tc>
                <w:tcPr>
                  <w:tcW w:w="254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表示污水向外环境排放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41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b w:val="0"/>
                      <w:bCs/>
                      <w:color w:val="auto"/>
                      <w:lang w:val="en-US" w:eastAsia="zh-CN"/>
                    </w:rPr>
                  </w:pPr>
                  <w:r>
                    <w:rPr>
                      <w:rFonts w:hint="eastAsia"/>
                      <w:b w:val="0"/>
                      <w:bCs/>
                      <w:color w:val="auto"/>
                      <w:lang w:val="en-US" w:eastAsia="zh-CN"/>
                    </w:rPr>
                    <w:t>2</w:t>
                  </w:r>
                </w:p>
              </w:tc>
              <w:tc>
                <w:tcPr>
                  <w:tcW w:w="162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drawing>
                      <wp:inline distT="0" distB="0" distL="114300" distR="114300">
                        <wp:extent cx="1006475" cy="1005840"/>
                        <wp:effectExtent l="0" t="0" r="3175"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8"/>
                                <a:stretch>
                                  <a:fillRect/>
                                </a:stretch>
                              </pic:blipFill>
                              <pic:spPr>
                                <a:xfrm>
                                  <a:off x="0" y="0"/>
                                  <a:ext cx="1006475" cy="1005840"/>
                                </a:xfrm>
                                <a:prstGeom prst="rect">
                                  <a:avLst/>
                                </a:prstGeom>
                                <a:noFill/>
                                <a:ln>
                                  <a:noFill/>
                                </a:ln>
                              </pic:spPr>
                            </pic:pic>
                          </a:graphicData>
                        </a:graphic>
                      </wp:inline>
                    </w:drawing>
                  </w:r>
                </w:p>
              </w:tc>
              <w:tc>
                <w:tcPr>
                  <w:tcW w:w="166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drawing>
                      <wp:inline distT="0" distB="0" distL="114300" distR="114300">
                        <wp:extent cx="1008380" cy="817880"/>
                        <wp:effectExtent l="0" t="0" r="1270" b="12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9"/>
                                <a:stretch>
                                  <a:fillRect/>
                                </a:stretch>
                              </pic:blipFill>
                              <pic:spPr>
                                <a:xfrm>
                                  <a:off x="0" y="0"/>
                                  <a:ext cx="1008380" cy="817880"/>
                                </a:xfrm>
                                <a:prstGeom prst="rect">
                                  <a:avLst/>
                                </a:prstGeom>
                                <a:noFill/>
                                <a:ln>
                                  <a:noFill/>
                                </a:ln>
                              </pic:spPr>
                            </pic:pic>
                          </a:graphicData>
                        </a:graphic>
                      </wp:inline>
                    </w:drawing>
                  </w:r>
                </w:p>
              </w:tc>
              <w:tc>
                <w:tcPr>
                  <w:tcW w:w="124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一般固体废物</w:t>
                  </w:r>
                </w:p>
              </w:tc>
              <w:tc>
                <w:tcPr>
                  <w:tcW w:w="254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表示一般固体废物贮存、处置场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26" w:hRule="atLeast"/>
              </w:trPr>
              <w:tc>
                <w:tcPr>
                  <w:tcW w:w="41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b w:val="0"/>
                      <w:bCs/>
                      <w:color w:val="auto"/>
                      <w:lang w:val="en-US" w:eastAsia="zh-CN"/>
                    </w:rPr>
                  </w:pPr>
                  <w:r>
                    <w:rPr>
                      <w:rFonts w:hint="eastAsia"/>
                      <w:b w:val="0"/>
                      <w:bCs/>
                      <w:color w:val="auto"/>
                      <w:lang w:val="en-US" w:eastAsia="zh-CN"/>
                    </w:rPr>
                    <w:t>3</w:t>
                  </w:r>
                </w:p>
              </w:tc>
              <w:tc>
                <w:tcPr>
                  <w:tcW w:w="162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drawing>
                      <wp:inline distT="0" distB="0" distL="114300" distR="114300">
                        <wp:extent cx="1005840" cy="914400"/>
                        <wp:effectExtent l="0" t="0" r="381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0"/>
                                <a:stretch>
                                  <a:fillRect/>
                                </a:stretch>
                              </pic:blipFill>
                              <pic:spPr>
                                <a:xfrm>
                                  <a:off x="0" y="0"/>
                                  <a:ext cx="1005840" cy="914400"/>
                                </a:xfrm>
                                <a:prstGeom prst="rect">
                                  <a:avLst/>
                                </a:prstGeom>
                                <a:noFill/>
                                <a:ln>
                                  <a:noFill/>
                                </a:ln>
                              </pic:spPr>
                            </pic:pic>
                          </a:graphicData>
                        </a:graphic>
                      </wp:inline>
                    </w:drawing>
                  </w:r>
                </w:p>
              </w:tc>
              <w:tc>
                <w:tcPr>
                  <w:tcW w:w="166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drawing>
                      <wp:inline distT="0" distB="0" distL="114300" distR="114300">
                        <wp:extent cx="1003935" cy="821690"/>
                        <wp:effectExtent l="0" t="0" r="5715" b="1651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1"/>
                                <a:stretch>
                                  <a:fillRect/>
                                </a:stretch>
                              </pic:blipFill>
                              <pic:spPr>
                                <a:xfrm>
                                  <a:off x="0" y="0"/>
                                  <a:ext cx="1003935" cy="821690"/>
                                </a:xfrm>
                                <a:prstGeom prst="rect">
                                  <a:avLst/>
                                </a:prstGeom>
                                <a:noFill/>
                                <a:ln>
                                  <a:noFill/>
                                </a:ln>
                              </pic:spPr>
                            </pic:pic>
                          </a:graphicData>
                        </a:graphic>
                      </wp:inline>
                    </w:drawing>
                  </w:r>
                </w:p>
              </w:tc>
              <w:tc>
                <w:tcPr>
                  <w:tcW w:w="124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噪声源</w:t>
                  </w:r>
                </w:p>
              </w:tc>
              <w:tc>
                <w:tcPr>
                  <w:tcW w:w="254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b w:val="0"/>
                      <w:bCs/>
                      <w:color w:val="auto"/>
                      <w:lang w:val="en-US" w:eastAsia="zh-CN"/>
                    </w:rPr>
                    <w:t>表示噪声向外环境排放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41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eastAsia"/>
                      <w:b w:val="0"/>
                      <w:bCs/>
                      <w:color w:val="auto"/>
                      <w:lang w:val="en-US" w:eastAsia="zh-CN"/>
                    </w:rPr>
                    <w:t>4</w:t>
                  </w:r>
                </w:p>
              </w:tc>
              <w:tc>
                <w:tcPr>
                  <w:tcW w:w="162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p>
              </w:tc>
              <w:tc>
                <w:tcPr>
                  <w:tcW w:w="166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default"/>
                      <w:color w:val="auto"/>
                    </w:rPr>
                    <w:drawing>
                      <wp:inline distT="0" distB="0" distL="114300" distR="114300">
                        <wp:extent cx="1144905" cy="1012825"/>
                        <wp:effectExtent l="0" t="0" r="1714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1144905" cy="1012825"/>
                                </a:xfrm>
                                <a:prstGeom prst="rect">
                                  <a:avLst/>
                                </a:prstGeom>
                                <a:noFill/>
                                <a:ln>
                                  <a:noFill/>
                                </a:ln>
                              </pic:spPr>
                            </pic:pic>
                          </a:graphicData>
                        </a:graphic>
                      </wp:inline>
                    </w:drawing>
                  </w:r>
                </w:p>
              </w:tc>
              <w:tc>
                <w:tcPr>
                  <w:tcW w:w="1240"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b w:val="0"/>
                      <w:bCs/>
                      <w:color w:val="auto"/>
                      <w:lang w:val="en-US" w:eastAsia="zh-CN"/>
                    </w:rPr>
                  </w:pPr>
                  <w:r>
                    <w:rPr>
                      <w:rFonts w:hint="eastAsia"/>
                      <w:b w:val="0"/>
                      <w:bCs/>
                      <w:color w:val="auto"/>
                      <w:lang w:val="en-US" w:eastAsia="zh-CN"/>
                    </w:rPr>
                    <w:t>危险废物贮存库</w:t>
                  </w:r>
                </w:p>
              </w:tc>
              <w:tc>
                <w:tcPr>
                  <w:tcW w:w="254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val="0"/>
                      <w:bCs/>
                      <w:color w:val="auto"/>
                      <w:lang w:val="en-US" w:eastAsia="zh-CN"/>
                    </w:rPr>
                  </w:pPr>
                  <w:r>
                    <w:rPr>
                      <w:rFonts w:hint="eastAsia"/>
                      <w:b w:val="0"/>
                      <w:bCs/>
                      <w:color w:val="auto"/>
                      <w:lang w:val="en-US" w:eastAsia="zh-CN"/>
                    </w:rPr>
                    <w:t>表示危险废物贮存、处置场</w:t>
                  </w:r>
                </w:p>
              </w:tc>
            </w:tr>
          </w:tbl>
          <w:p>
            <w:pPr>
              <w:ind w:firstLine="480"/>
              <w:rPr>
                <w:rFonts w:ascii="宋体" w:hAnsi="宋体" w:cs="宋体"/>
                <w:bCs/>
                <w:color w:val="auto"/>
                <w:spacing w:val="1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2" w:type="dxa"/>
            <w:vAlign w:val="center"/>
          </w:tcPr>
          <w:p>
            <w:pPr>
              <w:ind w:firstLine="0" w:firstLineChars="0"/>
              <w:rPr>
                <w:rFonts w:ascii="宋体" w:hAnsi="宋体" w:cs="宋体"/>
                <w:bCs/>
                <w:color w:val="auto"/>
                <w:spacing w:val="10"/>
              </w:rPr>
            </w:pPr>
            <w:r>
              <w:rPr>
                <w:rFonts w:hint="eastAsia" w:ascii="宋体" w:hAnsi="宋体"/>
                <w:bCs/>
                <w:color w:val="auto"/>
              </w:rPr>
              <w:t>其他</w:t>
            </w:r>
          </w:p>
        </w:tc>
        <w:tc>
          <w:tcPr>
            <w:tcW w:w="7697" w:type="dxa"/>
          </w:tcPr>
          <w:p>
            <w:pPr>
              <w:pStyle w:val="5"/>
              <w:rPr>
                <w:color w:val="auto"/>
              </w:rPr>
            </w:pPr>
            <w:r>
              <w:rPr>
                <w:rFonts w:hint="eastAsia"/>
                <w:color w:val="auto"/>
              </w:rPr>
              <w:t>1</w:t>
            </w:r>
            <w:r>
              <w:rPr>
                <w:color w:val="auto"/>
              </w:rPr>
              <w:t>、退役期环境影响分析</w:t>
            </w:r>
          </w:p>
          <w:p>
            <w:pPr>
              <w:pStyle w:val="5"/>
              <w:rPr>
                <w:color w:val="auto"/>
              </w:rPr>
            </w:pPr>
            <w:r>
              <w:rPr>
                <w:color w:val="auto"/>
              </w:rPr>
              <w:t>1.1服务期满后对生态环境的影响</w:t>
            </w:r>
          </w:p>
          <w:p>
            <w:pPr>
              <w:ind w:firstLine="480"/>
              <w:rPr>
                <w:color w:val="auto"/>
              </w:rPr>
            </w:pPr>
            <w:bookmarkStart w:id="58" w:name="_Toc331685754"/>
            <w:bookmarkStart w:id="59" w:name="_Toc347826876"/>
            <w:bookmarkStart w:id="60" w:name="_Toc306486319"/>
            <w:bookmarkStart w:id="61" w:name="_Toc337134728"/>
            <w:r>
              <w:rPr>
                <w:color w:val="auto"/>
              </w:rPr>
              <w:t>服务期满后对生态环境的影响主要表现在以下几方面：</w:t>
            </w:r>
          </w:p>
          <w:p>
            <w:pPr>
              <w:ind w:firstLine="480"/>
              <w:rPr>
                <w:color w:val="auto"/>
              </w:rPr>
            </w:pPr>
            <w:r>
              <w:rPr>
                <w:rFonts w:hint="eastAsia"/>
                <w:color w:val="auto"/>
              </w:rPr>
              <w:t>（1）</w:t>
            </w:r>
            <w:r>
              <w:rPr>
                <w:color w:val="auto"/>
              </w:rPr>
              <w:t>无用的地表建（构）筑物不及时拆除，继续占用土地，不但影响景观，也影响天然植被的恢复。</w:t>
            </w:r>
          </w:p>
          <w:p>
            <w:pPr>
              <w:ind w:firstLine="480"/>
              <w:rPr>
                <w:rFonts w:hint="eastAsia"/>
                <w:color w:val="auto"/>
                <w:lang w:eastAsia="zh-CN"/>
              </w:rPr>
            </w:pPr>
            <w:r>
              <w:rPr>
                <w:rFonts w:hint="eastAsia"/>
                <w:color w:val="auto"/>
              </w:rPr>
              <w:t>（2）采矿活动严重损毁原始地形地貌，破坏原有岩土体结构，使岩体抗蚀性降低，原始土壤结构遭受巨大破坏</w:t>
            </w:r>
            <w:r>
              <w:rPr>
                <w:rFonts w:hint="eastAsia"/>
                <w:color w:val="auto"/>
                <w:lang w:eastAsia="zh-CN"/>
              </w:rPr>
              <w:t>。</w:t>
            </w:r>
          </w:p>
          <w:p>
            <w:pPr>
              <w:ind w:firstLine="48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地表不能及时进行平整，影响天然植被的</w:t>
            </w:r>
            <w:r>
              <w:rPr>
                <w:rFonts w:hint="eastAsia"/>
                <w:color w:val="auto"/>
              </w:rPr>
              <w:t>自然</w:t>
            </w:r>
            <w:r>
              <w:rPr>
                <w:color w:val="auto"/>
              </w:rPr>
              <w:t>恢复时间及恢复程度。</w:t>
            </w:r>
          </w:p>
          <w:p>
            <w:pPr>
              <w:bidi w:val="0"/>
              <w:rPr>
                <w:color w:val="auto"/>
              </w:rPr>
            </w:pPr>
            <w:r>
              <w:rPr>
                <w:rFonts w:hint="eastAsia"/>
                <w:color w:val="auto"/>
              </w:rPr>
              <w:t>（</w:t>
            </w:r>
            <w:r>
              <w:rPr>
                <w:rFonts w:hint="eastAsia"/>
                <w:color w:val="auto"/>
                <w:lang w:val="en-US" w:eastAsia="zh-CN"/>
              </w:rPr>
              <w:t>4</w:t>
            </w:r>
            <w:r>
              <w:rPr>
                <w:rFonts w:hint="eastAsia"/>
                <w:color w:val="auto"/>
              </w:rPr>
              <w:t>）</w:t>
            </w:r>
            <w:r>
              <w:rPr>
                <w:color w:val="auto"/>
              </w:rPr>
              <w:t>矿区开采破坏了开采境界内的地形、地貌</w:t>
            </w:r>
            <w:r>
              <w:rPr>
                <w:rFonts w:hint="eastAsia"/>
                <w:color w:val="auto"/>
                <w:lang w:eastAsia="zh-CN"/>
              </w:rPr>
              <w:t>、植被</w:t>
            </w:r>
            <w:r>
              <w:rPr>
                <w:color w:val="auto"/>
              </w:rPr>
              <w:t>。矿区开采完毕后无法恢复到原有的地貌形态，露天采坑对原生地形地貌景观造成一定影响。</w:t>
            </w:r>
          </w:p>
          <w:p>
            <w:pPr>
              <w:ind w:firstLine="480"/>
              <w:rPr>
                <w:color w:val="auto"/>
              </w:rPr>
            </w:pPr>
            <w:r>
              <w:rPr>
                <w:rFonts w:hint="eastAsia"/>
                <w:color w:val="auto"/>
              </w:rPr>
              <w:t>（4）</w:t>
            </w:r>
            <w:r>
              <w:rPr>
                <w:color w:val="auto"/>
              </w:rPr>
              <w:t>闭矿期的矿区景观格局基本与运营后期是一致的，由于人为因素的干扰，增加了原有景观基质的异质性，导致景观格局破碎化程度增加，对生态过程会产生一定的负面作用。</w:t>
            </w:r>
          </w:p>
          <w:p>
            <w:pPr>
              <w:ind w:firstLine="504"/>
              <w:rPr>
                <w:color w:val="auto"/>
              </w:rPr>
            </w:pPr>
            <w:r>
              <w:rPr>
                <w:color w:val="auto"/>
              </w:rPr>
              <w:t>根据项目生态整治规划，在设计初期制定生态恢复方案，在营运过程中将采取边开发边治理措施，确保土地复垦规划、水土保持工程和生物措施的逐步实施，采取以上措施后，项目区生态环境将逐步得到改善和恢复。</w:t>
            </w:r>
          </w:p>
          <w:p>
            <w:pPr>
              <w:pStyle w:val="5"/>
              <w:rPr>
                <w:color w:val="auto"/>
              </w:rPr>
            </w:pPr>
            <w:r>
              <w:rPr>
                <w:color w:val="auto"/>
              </w:rPr>
              <w:t>1.2服务期满后对地质环境的影响</w:t>
            </w:r>
          </w:p>
          <w:p>
            <w:pPr>
              <w:ind w:firstLine="480"/>
              <w:rPr>
                <w:color w:val="auto"/>
              </w:rPr>
            </w:pPr>
            <w:r>
              <w:rPr>
                <w:color w:val="auto"/>
              </w:rPr>
              <w:t>矿区开采活动破坏了矿区原有的地形，打破了原有的力学平衡状态，可能诱发地质灾害的发生，主要区域是采矿场</w:t>
            </w:r>
            <w:r>
              <w:rPr>
                <w:rFonts w:hint="eastAsia"/>
                <w:color w:val="auto"/>
              </w:rPr>
              <w:t>、废石场</w:t>
            </w:r>
            <w:r>
              <w:rPr>
                <w:color w:val="auto"/>
              </w:rPr>
              <w:t>。</w:t>
            </w:r>
            <w:r>
              <w:rPr>
                <w:rFonts w:hint="eastAsia"/>
                <w:color w:val="auto"/>
              </w:rPr>
              <w:t>根据矿产资源开发利用方案和矿区地质环境条件的分析，露天采矿场和废石堆放场引发崩塌地质灾害的可能性中等，危害程度中等，危险性中等。</w:t>
            </w:r>
          </w:p>
          <w:p>
            <w:pPr>
              <w:pStyle w:val="5"/>
              <w:rPr>
                <w:color w:val="auto"/>
              </w:rPr>
            </w:pPr>
            <w:r>
              <w:rPr>
                <w:color w:val="auto"/>
              </w:rPr>
              <w:t>1.3服务期满后空气环境影响分析</w:t>
            </w:r>
            <w:bookmarkEnd w:id="58"/>
            <w:bookmarkEnd w:id="59"/>
            <w:bookmarkEnd w:id="60"/>
            <w:bookmarkEnd w:id="61"/>
          </w:p>
          <w:p>
            <w:pPr>
              <w:autoSpaceDE w:val="0"/>
              <w:autoSpaceDN w:val="0"/>
              <w:ind w:firstLine="480"/>
              <w:rPr>
                <w:color w:val="auto"/>
              </w:rPr>
            </w:pPr>
            <w:r>
              <w:rPr>
                <w:color w:val="auto"/>
              </w:rPr>
              <w:t>（1）设备在分拆</w:t>
            </w:r>
            <w:r>
              <w:rPr>
                <w:rFonts w:hint="eastAsia"/>
                <w:color w:val="auto"/>
                <w:lang w:eastAsia="zh-CN"/>
              </w:rPr>
              <w:t>、矿坑回填</w:t>
            </w:r>
            <w:r>
              <w:rPr>
                <w:color w:val="auto"/>
              </w:rPr>
              <w:t>的过程中，会产生一定量的扬尘，其属于无组织排放，且工期短，故产生的扬尘对大气环境较小。</w:t>
            </w:r>
          </w:p>
          <w:p>
            <w:pPr>
              <w:autoSpaceDE w:val="0"/>
              <w:autoSpaceDN w:val="0"/>
              <w:ind w:firstLine="480"/>
              <w:rPr>
                <w:color w:val="auto"/>
              </w:rPr>
            </w:pPr>
            <w:r>
              <w:rPr>
                <w:color w:val="auto"/>
              </w:rPr>
              <w:t>（2）构筑物在拆除的过程中会产生扬尘，为瞬时无组织排放源，故应在拆除过程中，采用洒水降尘，可降低扬尘瞬时排放对大气环境的影响。</w:t>
            </w:r>
          </w:p>
          <w:p>
            <w:pPr>
              <w:pStyle w:val="5"/>
              <w:rPr>
                <w:color w:val="auto"/>
              </w:rPr>
            </w:pPr>
            <w:bookmarkStart w:id="62" w:name="_Toc337134729"/>
            <w:bookmarkStart w:id="63" w:name="_Toc331685755"/>
            <w:bookmarkStart w:id="64" w:name="_Toc347826877"/>
            <w:bookmarkStart w:id="65" w:name="_Toc306486320"/>
            <w:r>
              <w:rPr>
                <w:color w:val="auto"/>
              </w:rPr>
              <w:t>1.4服务期满后水环境影响分析</w:t>
            </w:r>
            <w:bookmarkEnd w:id="62"/>
            <w:bookmarkEnd w:id="63"/>
            <w:bookmarkEnd w:id="64"/>
            <w:bookmarkEnd w:id="65"/>
          </w:p>
          <w:p>
            <w:pPr>
              <w:autoSpaceDE w:val="0"/>
              <w:autoSpaceDN w:val="0"/>
              <w:ind w:firstLine="480"/>
              <w:rPr>
                <w:color w:val="auto"/>
              </w:rPr>
            </w:pPr>
            <w:r>
              <w:rPr>
                <w:color w:val="auto"/>
              </w:rPr>
              <w:t>构筑物在拆除过程中不会产生生产废水，</w:t>
            </w:r>
            <w:r>
              <w:rPr>
                <w:rFonts w:hint="eastAsia"/>
                <w:color w:val="auto"/>
              </w:rPr>
              <w:t>不会对</w:t>
            </w:r>
            <w:r>
              <w:rPr>
                <w:color w:val="auto"/>
              </w:rPr>
              <w:t>当地水环境产生影响。</w:t>
            </w:r>
          </w:p>
          <w:p>
            <w:pPr>
              <w:pStyle w:val="5"/>
              <w:rPr>
                <w:color w:val="auto"/>
              </w:rPr>
            </w:pPr>
            <w:r>
              <w:rPr>
                <w:color w:val="auto"/>
              </w:rPr>
              <w:t>1.5服务期满后噪声环境影响分析</w:t>
            </w:r>
          </w:p>
          <w:p>
            <w:pPr>
              <w:autoSpaceDE w:val="0"/>
              <w:autoSpaceDN w:val="0"/>
              <w:ind w:firstLine="480"/>
              <w:rPr>
                <w:color w:val="auto"/>
              </w:rPr>
            </w:pPr>
            <w:r>
              <w:rPr>
                <w:color w:val="auto"/>
              </w:rPr>
              <w:t>设备及构筑物在分拆的过程中，会产生瞬时的噪声，但其分拆过程在白天进行，故对周围声环境影响较小。</w:t>
            </w:r>
          </w:p>
          <w:p>
            <w:pPr>
              <w:pStyle w:val="5"/>
              <w:rPr>
                <w:color w:val="auto"/>
              </w:rPr>
            </w:pPr>
            <w:bookmarkStart w:id="66" w:name="_Toc337134730"/>
            <w:bookmarkStart w:id="67" w:name="_Toc331685756"/>
            <w:bookmarkStart w:id="68" w:name="_Toc306486321"/>
            <w:bookmarkStart w:id="69" w:name="_Toc347826878"/>
            <w:r>
              <w:rPr>
                <w:color w:val="auto"/>
              </w:rPr>
              <w:t>1.6服务期满后景观影响分析</w:t>
            </w:r>
            <w:bookmarkEnd w:id="66"/>
            <w:bookmarkEnd w:id="67"/>
            <w:bookmarkEnd w:id="68"/>
            <w:bookmarkEnd w:id="69"/>
          </w:p>
          <w:p>
            <w:pPr>
              <w:ind w:firstLine="480"/>
              <w:rPr>
                <w:color w:val="auto"/>
              </w:rPr>
            </w:pPr>
            <w:r>
              <w:rPr>
                <w:color w:val="auto"/>
              </w:rPr>
              <w:t>建设单位在矿区服务期满后应及时拆除一切无用建（构）筑物，清除固废，平整场地，恢复地貌，然</w:t>
            </w:r>
            <w:r>
              <w:rPr>
                <w:rFonts w:hint="eastAsia"/>
                <w:color w:val="auto"/>
              </w:rPr>
              <w:t>后“封育”</w:t>
            </w:r>
            <w:r>
              <w:rPr>
                <w:color w:val="auto"/>
              </w:rPr>
              <w:t>恢复天然植被。</w:t>
            </w:r>
          </w:p>
          <w:p>
            <w:pPr>
              <w:ind w:firstLine="480"/>
              <w:outlineLvl w:val="2"/>
              <w:rPr>
                <w:color w:val="auto"/>
              </w:rPr>
            </w:pPr>
            <w:r>
              <w:rPr>
                <w:color w:val="auto"/>
              </w:rPr>
              <w:t>措施：</w:t>
            </w:r>
          </w:p>
          <w:p>
            <w:pPr>
              <w:ind w:firstLine="480"/>
              <w:rPr>
                <w:color w:val="auto"/>
              </w:rPr>
            </w:pPr>
            <w:r>
              <w:rPr>
                <w:color w:val="auto"/>
              </w:rPr>
              <w:t>（1）在矿区服务期满后，采矿</w:t>
            </w:r>
            <w:r>
              <w:rPr>
                <w:rFonts w:hint="eastAsia"/>
                <w:color w:val="auto"/>
                <w:lang w:eastAsia="zh-CN"/>
              </w:rPr>
              <w:t>生活区</w:t>
            </w:r>
            <w:r>
              <w:rPr>
                <w:color w:val="auto"/>
              </w:rPr>
              <w:t>、</w:t>
            </w:r>
            <w:r>
              <w:rPr>
                <w:rFonts w:hint="eastAsia"/>
                <w:color w:val="auto"/>
              </w:rPr>
              <w:t>堆场</w:t>
            </w:r>
            <w:r>
              <w:rPr>
                <w:color w:val="auto"/>
              </w:rPr>
              <w:t>等区域应及时拆除一切无用建（构）筑物，清除固废，平整场地，并将固体废弃物进行清淤，减轻坡面的径流侵蚀力，恢复其土地原貌。</w:t>
            </w:r>
          </w:p>
          <w:p>
            <w:pPr>
              <w:ind w:firstLine="480"/>
              <w:rPr>
                <w:color w:val="auto"/>
              </w:rPr>
            </w:pPr>
            <w:r>
              <w:rPr>
                <w:color w:val="auto"/>
              </w:rPr>
              <w:t>（2）矿区开采完毕后采取遮挡和防护措施，并设立警示牌。</w:t>
            </w:r>
          </w:p>
          <w:p>
            <w:pPr>
              <w:ind w:firstLine="480"/>
              <w:rPr>
                <w:color w:val="auto"/>
              </w:rPr>
            </w:pPr>
            <w:r>
              <w:rPr>
                <w:color w:val="auto"/>
              </w:rPr>
              <w:t>（3）闭矿期后要及时平整场地，</w:t>
            </w:r>
            <w:r>
              <w:rPr>
                <w:rFonts w:hint="eastAsia"/>
                <w:color w:val="auto"/>
              </w:rPr>
              <w:t>剥离表土回填，采取人工撒播草籽恢复地表植被，植草坪、撒播草籽安排在秋季进行，利用冬季降雪融水及春季降雨进行萌发，</w:t>
            </w:r>
            <w:r>
              <w:rPr>
                <w:color w:val="auto"/>
              </w:rPr>
              <w:t>防治水土流失及风蚀扬尘。</w:t>
            </w:r>
          </w:p>
          <w:p>
            <w:pPr>
              <w:ind w:firstLine="480"/>
              <w:rPr>
                <w:color w:val="auto"/>
              </w:rPr>
            </w:pPr>
            <w:r>
              <w:rPr>
                <w:color w:val="auto"/>
              </w:rPr>
              <w:t>（4）对形成的露天采坑尽可能进行回填，永久性坡面进行稳定化处理，防治水土流失和滑坡。</w:t>
            </w:r>
          </w:p>
          <w:p>
            <w:pPr>
              <w:pStyle w:val="5"/>
              <w:rPr>
                <w:color w:val="auto"/>
              </w:rPr>
            </w:pPr>
            <w:r>
              <w:rPr>
                <w:rFonts w:hint="eastAsia"/>
                <w:color w:val="auto"/>
              </w:rPr>
              <w:t>2</w:t>
            </w:r>
            <w:r>
              <w:rPr>
                <w:color w:val="auto"/>
              </w:rPr>
              <w:t>、土地复垦可行性及评价</w:t>
            </w:r>
          </w:p>
          <w:p>
            <w:pPr>
              <w:pStyle w:val="5"/>
              <w:rPr>
                <w:color w:val="auto"/>
              </w:rPr>
            </w:pPr>
            <w:r>
              <w:rPr>
                <w:rFonts w:hint="eastAsia"/>
                <w:color w:val="auto"/>
              </w:rPr>
              <w:t>2.1</w:t>
            </w:r>
            <w:r>
              <w:rPr>
                <w:color w:val="auto"/>
              </w:rPr>
              <w:t>拟破坏土地预测</w:t>
            </w:r>
          </w:p>
          <w:p>
            <w:pPr>
              <w:keepNext w:val="0"/>
              <w:keepLines w:val="0"/>
              <w:widowControl/>
              <w:suppressLineNumbers w:val="0"/>
              <w:jc w:val="left"/>
              <w:rPr>
                <w:color w:val="auto"/>
              </w:rPr>
            </w:pPr>
            <w:r>
              <w:rPr>
                <w:color w:val="auto"/>
              </w:rPr>
              <w:t>根据</w:t>
            </w:r>
            <w:r>
              <w:rPr>
                <w:rFonts w:hint="eastAsia"/>
                <w:color w:val="auto"/>
              </w:rPr>
              <w:t>矿区</w:t>
            </w:r>
            <w:r>
              <w:rPr>
                <w:color w:val="auto"/>
              </w:rPr>
              <w:t>开采方式和工艺流程，矿区今后采矿将形成的露天采坑挖损土地面积较大，占用和破坏土地面积大，规模大，对土地占用破坏程</w:t>
            </w:r>
            <w:r>
              <w:rPr>
                <w:rFonts w:hint="eastAsia"/>
                <w:color w:val="auto"/>
              </w:rPr>
              <w:t>度“</w:t>
            </w:r>
            <w:r>
              <w:rPr>
                <w:rFonts w:hint="eastAsia"/>
                <w:color w:val="auto"/>
                <w:lang w:eastAsia="zh-CN"/>
              </w:rPr>
              <w:t>重度</w:t>
            </w:r>
            <w:r>
              <w:rPr>
                <w:rFonts w:hint="eastAsia"/>
                <w:color w:val="auto"/>
              </w:rPr>
              <w:t>”</w:t>
            </w:r>
            <w:r>
              <w:rPr>
                <w:color w:val="auto"/>
              </w:rPr>
              <w:t>。其它</w:t>
            </w:r>
            <w:r>
              <w:rPr>
                <w:rFonts w:hint="eastAsia"/>
                <w:color w:val="auto"/>
              </w:rPr>
              <w:t>矿区道路、废石场、</w:t>
            </w:r>
            <w:r>
              <w:rPr>
                <w:rFonts w:hint="eastAsia"/>
                <w:color w:val="auto"/>
                <w:lang w:eastAsia="zh-CN"/>
              </w:rPr>
              <w:t>荒料</w:t>
            </w:r>
            <w:r>
              <w:rPr>
                <w:rFonts w:hint="eastAsia"/>
                <w:color w:val="auto"/>
              </w:rPr>
              <w:t>堆场等临时</w:t>
            </w:r>
            <w:r>
              <w:rPr>
                <w:color w:val="auto"/>
              </w:rPr>
              <w:t>占用及破坏土地</w:t>
            </w:r>
            <w:r>
              <w:rPr>
                <w:rFonts w:hint="eastAsia"/>
                <w:color w:val="auto"/>
              </w:rPr>
              <w:t>破坏</w:t>
            </w:r>
            <w:r>
              <w:rPr>
                <w:color w:val="auto"/>
              </w:rPr>
              <w:t>程度</w:t>
            </w:r>
            <w:r>
              <w:rPr>
                <w:rFonts w:hint="eastAsia"/>
                <w:color w:val="auto"/>
              </w:rPr>
              <w:t>“</w:t>
            </w:r>
            <w:r>
              <w:rPr>
                <w:rFonts w:hint="eastAsia"/>
                <w:color w:val="auto"/>
                <w:lang w:eastAsia="zh-CN"/>
              </w:rPr>
              <w:t>中度</w:t>
            </w:r>
            <w:r>
              <w:rPr>
                <w:rFonts w:hint="eastAsia"/>
                <w:color w:val="auto"/>
              </w:rPr>
              <w:t>”。拟损毁土地面积</w:t>
            </w:r>
            <w:r>
              <w:rPr>
                <w:rFonts w:hint="eastAsia"/>
                <w:color w:val="auto"/>
                <w:lang w:val="en-US" w:eastAsia="zh-CN"/>
              </w:rPr>
              <w:t>24.67公顷</w:t>
            </w:r>
            <w:r>
              <w:rPr>
                <w:rFonts w:hint="eastAsia"/>
                <w:color w:val="auto"/>
              </w:rPr>
              <w:t>，</w:t>
            </w:r>
            <w:r>
              <w:rPr>
                <w:rFonts w:hint="eastAsia"/>
                <w:color w:val="auto"/>
                <w:lang w:eastAsia="zh-CN"/>
              </w:rPr>
              <w:t>根据《</w:t>
            </w:r>
            <w:r>
              <w:rPr>
                <w:rFonts w:hint="eastAsia"/>
                <w:color w:val="auto"/>
                <w:lang w:val="en-US" w:eastAsia="zh-CN"/>
              </w:rPr>
              <w:t>新疆富华石业有限公司新疆焉耆县霍拉山14号花岗岩矿矿产资源开发利用与生态保护修复方案</w:t>
            </w:r>
            <w:r>
              <w:rPr>
                <w:rFonts w:hint="eastAsia"/>
                <w:color w:val="auto"/>
                <w:lang w:eastAsia="zh-CN"/>
              </w:rPr>
              <w:t>》可知，</w:t>
            </w:r>
            <w:r>
              <w:rPr>
                <w:rFonts w:hint="eastAsia"/>
                <w:color w:val="auto"/>
              </w:rPr>
              <w:t>复垦</w:t>
            </w:r>
            <w:r>
              <w:rPr>
                <w:rFonts w:hint="eastAsia"/>
                <w:color w:val="auto"/>
                <w:lang w:eastAsia="zh-CN"/>
              </w:rPr>
              <w:t>职责</w:t>
            </w:r>
            <w:r>
              <w:rPr>
                <w:rFonts w:hint="eastAsia"/>
                <w:color w:val="auto"/>
              </w:rPr>
              <w:t>范围面积</w:t>
            </w:r>
            <w:r>
              <w:rPr>
                <w:rFonts w:hint="eastAsia"/>
                <w:color w:val="auto"/>
                <w:lang w:val="en-US" w:eastAsia="zh-CN"/>
              </w:rPr>
              <w:t>24.67公顷</w:t>
            </w:r>
            <w:r>
              <w:rPr>
                <w:rFonts w:hint="eastAsia"/>
                <w:color w:val="auto"/>
              </w:rPr>
              <w:t>，详见表</w:t>
            </w:r>
            <w:r>
              <w:rPr>
                <w:rFonts w:hint="eastAsia"/>
                <w:color w:val="auto"/>
                <w:lang w:val="en-US" w:eastAsia="zh-CN"/>
              </w:rPr>
              <w:t>5-5</w:t>
            </w:r>
            <w:r>
              <w:rPr>
                <w:rFonts w:hint="eastAsia"/>
                <w:color w:val="auto"/>
              </w:rPr>
              <w:t>。</w:t>
            </w:r>
          </w:p>
          <w:p>
            <w:pPr>
              <w:pStyle w:val="7"/>
              <w:bidi w:val="0"/>
              <w:rPr>
                <w:color w:val="auto"/>
              </w:rPr>
            </w:pPr>
            <w:r>
              <w:rPr>
                <w:rFonts w:hint="eastAsia"/>
                <w:color w:val="auto"/>
              </w:rPr>
              <w:t>表</w:t>
            </w:r>
            <w:r>
              <w:rPr>
                <w:rFonts w:hint="eastAsia"/>
                <w:color w:val="auto"/>
                <w:lang w:val="en-US" w:eastAsia="zh-CN"/>
              </w:rPr>
              <w:t>5-5</w:t>
            </w:r>
            <w:r>
              <w:rPr>
                <w:rFonts w:hint="eastAsia"/>
                <w:color w:val="auto"/>
              </w:rPr>
              <w:t xml:space="preserve">         </w:t>
            </w:r>
            <w:r>
              <w:rPr>
                <w:rFonts w:hint="eastAsia"/>
                <w:color w:val="auto"/>
                <w:lang w:val="en-US" w:eastAsia="zh-CN"/>
              </w:rPr>
              <w:t xml:space="preserve">        </w:t>
            </w:r>
            <w:r>
              <w:rPr>
                <w:rFonts w:hint="eastAsia"/>
                <w:color w:val="auto"/>
              </w:rPr>
              <w:t xml:space="preserve"> 复垦区及复垦责任范围统计表</w:t>
            </w:r>
          </w:p>
          <w:tbl>
            <w:tblPr>
              <w:tblStyle w:val="8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68"/>
              <w:gridCol w:w="1424"/>
              <w:gridCol w:w="1421"/>
              <w:gridCol w:w="1042"/>
              <w:gridCol w:w="722"/>
              <w:gridCol w:w="628"/>
              <w:gridCol w:w="1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vMerge w:val="restart"/>
                  <w:tcBorders>
                    <w:tl2br w:val="nil"/>
                    <w:tr2bl w:val="nil"/>
                  </w:tcBorders>
                  <w:vAlign w:val="top"/>
                </w:tcPr>
                <w:p>
                  <w:pPr>
                    <w:pStyle w:val="2"/>
                    <w:bidi w:val="0"/>
                    <w:rPr>
                      <w:color w:val="auto"/>
                    </w:rPr>
                  </w:pPr>
                  <w:r>
                    <w:rPr>
                      <w:color w:val="auto"/>
                    </w:rPr>
                    <w:t>损毁单元</w:t>
                  </w:r>
                </w:p>
              </w:tc>
              <w:tc>
                <w:tcPr>
                  <w:tcW w:w="1902" w:type="pct"/>
                  <w:gridSpan w:val="2"/>
                  <w:tcBorders>
                    <w:tl2br w:val="nil"/>
                    <w:tr2bl w:val="nil"/>
                  </w:tcBorders>
                  <w:vAlign w:val="top"/>
                </w:tcPr>
                <w:p>
                  <w:pPr>
                    <w:pStyle w:val="2"/>
                    <w:bidi w:val="0"/>
                    <w:rPr>
                      <w:color w:val="auto"/>
                    </w:rPr>
                  </w:pPr>
                  <w:r>
                    <w:rPr>
                      <w:color w:val="auto"/>
                    </w:rPr>
                    <w:t>土地损毁时序</w:t>
                  </w:r>
                </w:p>
              </w:tc>
              <w:tc>
                <w:tcPr>
                  <w:tcW w:w="697" w:type="pct"/>
                  <w:vMerge w:val="restart"/>
                  <w:tcBorders>
                    <w:tl2br w:val="nil"/>
                    <w:tr2bl w:val="nil"/>
                  </w:tcBorders>
                  <w:vAlign w:val="top"/>
                </w:tcPr>
                <w:p>
                  <w:pPr>
                    <w:pStyle w:val="2"/>
                    <w:bidi w:val="0"/>
                    <w:rPr>
                      <w:color w:val="auto"/>
                    </w:rPr>
                  </w:pPr>
                  <w:r>
                    <w:rPr>
                      <w:color w:val="auto"/>
                    </w:rPr>
                    <w:t>损毁面积 （公顷）</w:t>
                  </w:r>
                </w:p>
              </w:tc>
              <w:tc>
                <w:tcPr>
                  <w:tcW w:w="483" w:type="pct"/>
                  <w:vMerge w:val="restart"/>
                  <w:tcBorders>
                    <w:tl2br w:val="nil"/>
                    <w:tr2bl w:val="nil"/>
                  </w:tcBorders>
                  <w:vAlign w:val="top"/>
                </w:tcPr>
                <w:p>
                  <w:pPr>
                    <w:pStyle w:val="2"/>
                    <w:bidi w:val="0"/>
                    <w:rPr>
                      <w:color w:val="auto"/>
                    </w:rPr>
                  </w:pPr>
                  <w:r>
                    <w:rPr>
                      <w:color w:val="auto"/>
                    </w:rPr>
                    <w:t>损毁</w:t>
                  </w:r>
                </w:p>
                <w:p>
                  <w:pPr>
                    <w:pStyle w:val="2"/>
                    <w:bidi w:val="0"/>
                    <w:rPr>
                      <w:color w:val="auto"/>
                    </w:rPr>
                  </w:pPr>
                  <w:r>
                    <w:rPr>
                      <w:color w:val="auto"/>
                    </w:rPr>
                    <w:t>形式</w:t>
                  </w:r>
                </w:p>
              </w:tc>
              <w:tc>
                <w:tcPr>
                  <w:tcW w:w="420" w:type="pct"/>
                  <w:vMerge w:val="restart"/>
                  <w:tcBorders>
                    <w:tl2br w:val="nil"/>
                    <w:tr2bl w:val="nil"/>
                  </w:tcBorders>
                  <w:vAlign w:val="top"/>
                </w:tcPr>
                <w:p>
                  <w:pPr>
                    <w:pStyle w:val="2"/>
                    <w:bidi w:val="0"/>
                    <w:rPr>
                      <w:color w:val="auto"/>
                    </w:rPr>
                  </w:pPr>
                  <w:r>
                    <w:rPr>
                      <w:color w:val="auto"/>
                    </w:rPr>
                    <w:t>损毁 程度</w:t>
                  </w:r>
                </w:p>
              </w:tc>
              <w:tc>
                <w:tcPr>
                  <w:tcW w:w="714" w:type="pct"/>
                  <w:vMerge w:val="restart"/>
                  <w:tcBorders>
                    <w:tl2br w:val="nil"/>
                    <w:tr2bl w:val="nil"/>
                  </w:tcBorders>
                  <w:vAlign w:val="top"/>
                </w:tcPr>
                <w:p>
                  <w:pPr>
                    <w:pStyle w:val="2"/>
                    <w:bidi w:val="0"/>
                    <w:rPr>
                      <w:color w:val="auto"/>
                    </w:rPr>
                  </w:pPr>
                  <w:r>
                    <w:rPr>
                      <w:color w:val="auto"/>
                    </w:rPr>
                    <w:t>是否纳入 复垦范围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vMerge w:val="continue"/>
                  <w:tcBorders>
                    <w:tl2br w:val="nil"/>
                    <w:tr2bl w:val="nil"/>
                  </w:tcBorders>
                  <w:vAlign w:val="top"/>
                </w:tcPr>
                <w:p>
                  <w:pPr>
                    <w:pStyle w:val="2"/>
                    <w:bidi w:val="0"/>
                    <w:rPr>
                      <w:color w:val="auto"/>
                    </w:rPr>
                  </w:pPr>
                </w:p>
              </w:tc>
              <w:tc>
                <w:tcPr>
                  <w:tcW w:w="951" w:type="pct"/>
                  <w:tcBorders>
                    <w:tl2br w:val="nil"/>
                    <w:tr2bl w:val="nil"/>
                  </w:tcBorders>
                  <w:vAlign w:val="top"/>
                </w:tcPr>
                <w:p>
                  <w:pPr>
                    <w:pStyle w:val="2"/>
                    <w:bidi w:val="0"/>
                    <w:rPr>
                      <w:color w:val="auto"/>
                    </w:rPr>
                  </w:pPr>
                  <w:r>
                    <w:rPr>
                      <w:color w:val="auto"/>
                    </w:rPr>
                    <w:t>已损毁（公顷）</w:t>
                  </w:r>
                </w:p>
              </w:tc>
              <w:tc>
                <w:tcPr>
                  <w:tcW w:w="950" w:type="pct"/>
                  <w:tcBorders>
                    <w:tl2br w:val="nil"/>
                    <w:tr2bl w:val="nil"/>
                  </w:tcBorders>
                  <w:vAlign w:val="top"/>
                </w:tcPr>
                <w:p>
                  <w:pPr>
                    <w:pStyle w:val="2"/>
                    <w:bidi w:val="0"/>
                    <w:rPr>
                      <w:color w:val="auto"/>
                    </w:rPr>
                  </w:pPr>
                  <w:r>
                    <w:rPr>
                      <w:color w:val="auto"/>
                    </w:rPr>
                    <w:t>拟损毁（公顷）</w:t>
                  </w:r>
                </w:p>
              </w:tc>
              <w:tc>
                <w:tcPr>
                  <w:tcW w:w="697" w:type="pct"/>
                  <w:vMerge w:val="continue"/>
                  <w:tcBorders>
                    <w:tl2br w:val="nil"/>
                    <w:tr2bl w:val="nil"/>
                  </w:tcBorders>
                  <w:vAlign w:val="top"/>
                </w:tcPr>
                <w:p>
                  <w:pPr>
                    <w:pStyle w:val="2"/>
                    <w:bidi w:val="0"/>
                    <w:rPr>
                      <w:color w:val="auto"/>
                    </w:rPr>
                  </w:pPr>
                </w:p>
              </w:tc>
              <w:tc>
                <w:tcPr>
                  <w:tcW w:w="483" w:type="pct"/>
                  <w:vMerge w:val="continue"/>
                  <w:tcBorders>
                    <w:tl2br w:val="nil"/>
                    <w:tr2bl w:val="nil"/>
                  </w:tcBorders>
                  <w:vAlign w:val="top"/>
                </w:tcPr>
                <w:p>
                  <w:pPr>
                    <w:pStyle w:val="2"/>
                    <w:bidi w:val="0"/>
                    <w:rPr>
                      <w:color w:val="auto"/>
                    </w:rPr>
                  </w:pPr>
                </w:p>
              </w:tc>
              <w:tc>
                <w:tcPr>
                  <w:tcW w:w="420" w:type="pct"/>
                  <w:vMerge w:val="continue"/>
                  <w:tcBorders>
                    <w:tl2br w:val="nil"/>
                    <w:tr2bl w:val="nil"/>
                  </w:tcBorders>
                  <w:vAlign w:val="top"/>
                </w:tcPr>
                <w:p>
                  <w:pPr>
                    <w:pStyle w:val="2"/>
                    <w:bidi w:val="0"/>
                    <w:rPr>
                      <w:color w:val="auto"/>
                    </w:rPr>
                  </w:pPr>
                </w:p>
              </w:tc>
              <w:tc>
                <w:tcPr>
                  <w:tcW w:w="714" w:type="pct"/>
                  <w:vMerge w:val="continue"/>
                  <w:tcBorders>
                    <w:tl2br w:val="nil"/>
                    <w:tr2bl w:val="nil"/>
                  </w:tcBorders>
                  <w:vAlign w:val="top"/>
                </w:tcPr>
                <w:p>
                  <w:pPr>
                    <w:pStyle w:val="2"/>
                    <w:bidi w:val="0"/>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color w:val="auto"/>
                    </w:rPr>
                  </w:pPr>
                  <w:r>
                    <w:rPr>
                      <w:color w:val="auto"/>
                    </w:rPr>
                    <w:t>露天采矿场</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11.31</w:t>
                  </w:r>
                </w:p>
              </w:tc>
              <w:tc>
                <w:tcPr>
                  <w:tcW w:w="697" w:type="pct"/>
                  <w:tcBorders>
                    <w:tl2br w:val="nil"/>
                    <w:tr2bl w:val="nil"/>
                  </w:tcBorders>
                  <w:vAlign w:val="top"/>
                </w:tcPr>
                <w:p>
                  <w:pPr>
                    <w:pStyle w:val="2"/>
                    <w:bidi w:val="0"/>
                    <w:rPr>
                      <w:color w:val="auto"/>
                    </w:rPr>
                  </w:pPr>
                  <w:r>
                    <w:rPr>
                      <w:color w:val="auto"/>
                    </w:rPr>
                    <w:t>11.31</w:t>
                  </w:r>
                </w:p>
              </w:tc>
              <w:tc>
                <w:tcPr>
                  <w:tcW w:w="483" w:type="pct"/>
                  <w:tcBorders>
                    <w:tl2br w:val="nil"/>
                    <w:tr2bl w:val="nil"/>
                  </w:tcBorders>
                  <w:vAlign w:val="top"/>
                </w:tcPr>
                <w:p>
                  <w:pPr>
                    <w:pStyle w:val="2"/>
                    <w:bidi w:val="0"/>
                    <w:rPr>
                      <w:color w:val="auto"/>
                    </w:rPr>
                  </w:pPr>
                  <w:r>
                    <w:rPr>
                      <w:color w:val="auto"/>
                    </w:rPr>
                    <w:t>挖损</w:t>
                  </w:r>
                </w:p>
              </w:tc>
              <w:tc>
                <w:tcPr>
                  <w:tcW w:w="420" w:type="pct"/>
                  <w:tcBorders>
                    <w:tl2br w:val="nil"/>
                    <w:tr2bl w:val="nil"/>
                  </w:tcBorders>
                  <w:vAlign w:val="top"/>
                </w:tcPr>
                <w:p>
                  <w:pPr>
                    <w:pStyle w:val="2"/>
                    <w:bidi w:val="0"/>
                    <w:rPr>
                      <w:color w:val="auto"/>
                    </w:rPr>
                  </w:pPr>
                  <w:r>
                    <w:rPr>
                      <w:color w:val="auto"/>
                    </w:rPr>
                    <w:t>重度</w:t>
                  </w:r>
                </w:p>
              </w:tc>
              <w:tc>
                <w:tcPr>
                  <w:tcW w:w="714" w:type="pct"/>
                  <w:tcBorders>
                    <w:tl2br w:val="nil"/>
                    <w:tr2bl w:val="nil"/>
                  </w:tcBorders>
                  <w:vAlign w:val="top"/>
                </w:tcPr>
                <w:p>
                  <w:pPr>
                    <w:pStyle w:val="2"/>
                    <w:bidi w:val="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color w:val="auto"/>
                    </w:rPr>
                  </w:pPr>
                  <w:r>
                    <w:rPr>
                      <w:color w:val="auto"/>
                    </w:rPr>
                    <w:t>废石堆放场</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10.08</w:t>
                  </w:r>
                </w:p>
              </w:tc>
              <w:tc>
                <w:tcPr>
                  <w:tcW w:w="697" w:type="pct"/>
                  <w:tcBorders>
                    <w:tl2br w:val="nil"/>
                    <w:tr2bl w:val="nil"/>
                  </w:tcBorders>
                  <w:vAlign w:val="top"/>
                </w:tcPr>
                <w:p>
                  <w:pPr>
                    <w:pStyle w:val="2"/>
                    <w:bidi w:val="0"/>
                    <w:rPr>
                      <w:color w:val="auto"/>
                    </w:rPr>
                  </w:pPr>
                  <w:r>
                    <w:rPr>
                      <w:color w:val="auto"/>
                    </w:rPr>
                    <w:t>10.08</w:t>
                  </w:r>
                </w:p>
              </w:tc>
              <w:tc>
                <w:tcPr>
                  <w:tcW w:w="483" w:type="pct"/>
                  <w:tcBorders>
                    <w:tl2br w:val="nil"/>
                    <w:tr2bl w:val="nil"/>
                  </w:tcBorders>
                  <w:vAlign w:val="top"/>
                </w:tcPr>
                <w:p>
                  <w:pPr>
                    <w:pStyle w:val="2"/>
                    <w:bidi w:val="0"/>
                    <w:rPr>
                      <w:color w:val="auto"/>
                    </w:rPr>
                  </w:pPr>
                  <w:r>
                    <w:rPr>
                      <w:color w:val="auto"/>
                    </w:rPr>
                    <w:t>压占</w:t>
                  </w:r>
                </w:p>
              </w:tc>
              <w:tc>
                <w:tcPr>
                  <w:tcW w:w="420" w:type="pct"/>
                  <w:tcBorders>
                    <w:tl2br w:val="nil"/>
                    <w:tr2bl w:val="nil"/>
                  </w:tcBorders>
                  <w:vAlign w:val="top"/>
                </w:tcPr>
                <w:p>
                  <w:pPr>
                    <w:pStyle w:val="2"/>
                    <w:bidi w:val="0"/>
                    <w:rPr>
                      <w:color w:val="auto"/>
                    </w:rPr>
                  </w:pPr>
                  <w:r>
                    <w:rPr>
                      <w:color w:val="auto"/>
                    </w:rPr>
                    <w:t>中度</w:t>
                  </w:r>
                </w:p>
              </w:tc>
              <w:tc>
                <w:tcPr>
                  <w:tcW w:w="714" w:type="pct"/>
                  <w:tcBorders>
                    <w:tl2br w:val="nil"/>
                    <w:tr2bl w:val="nil"/>
                  </w:tcBorders>
                  <w:vAlign w:val="top"/>
                </w:tcPr>
                <w:p>
                  <w:pPr>
                    <w:pStyle w:val="2"/>
                    <w:bidi w:val="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color w:val="auto"/>
                    </w:rPr>
                  </w:pPr>
                  <w:r>
                    <w:rPr>
                      <w:color w:val="auto"/>
                    </w:rPr>
                    <w:t>矿部生活区</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0.3</w:t>
                  </w:r>
                </w:p>
              </w:tc>
              <w:tc>
                <w:tcPr>
                  <w:tcW w:w="697" w:type="pct"/>
                  <w:tcBorders>
                    <w:tl2br w:val="nil"/>
                    <w:tr2bl w:val="nil"/>
                  </w:tcBorders>
                  <w:vAlign w:val="top"/>
                </w:tcPr>
                <w:p>
                  <w:pPr>
                    <w:pStyle w:val="2"/>
                    <w:bidi w:val="0"/>
                    <w:rPr>
                      <w:color w:val="auto"/>
                    </w:rPr>
                  </w:pPr>
                  <w:r>
                    <w:rPr>
                      <w:color w:val="auto"/>
                    </w:rPr>
                    <w:t>0.3</w:t>
                  </w:r>
                </w:p>
              </w:tc>
              <w:tc>
                <w:tcPr>
                  <w:tcW w:w="483" w:type="pct"/>
                  <w:tcBorders>
                    <w:tl2br w:val="nil"/>
                    <w:tr2bl w:val="nil"/>
                  </w:tcBorders>
                  <w:vAlign w:val="top"/>
                </w:tcPr>
                <w:p>
                  <w:pPr>
                    <w:pStyle w:val="2"/>
                    <w:bidi w:val="0"/>
                    <w:rPr>
                      <w:color w:val="auto"/>
                    </w:rPr>
                  </w:pPr>
                  <w:r>
                    <w:rPr>
                      <w:color w:val="auto"/>
                    </w:rPr>
                    <w:t>压占</w:t>
                  </w:r>
                </w:p>
              </w:tc>
              <w:tc>
                <w:tcPr>
                  <w:tcW w:w="420" w:type="pct"/>
                  <w:tcBorders>
                    <w:tl2br w:val="nil"/>
                    <w:tr2bl w:val="nil"/>
                  </w:tcBorders>
                  <w:vAlign w:val="top"/>
                </w:tcPr>
                <w:p>
                  <w:pPr>
                    <w:pStyle w:val="2"/>
                    <w:bidi w:val="0"/>
                    <w:rPr>
                      <w:color w:val="auto"/>
                    </w:rPr>
                  </w:pPr>
                  <w:r>
                    <w:rPr>
                      <w:color w:val="auto"/>
                    </w:rPr>
                    <w:t>中度</w:t>
                  </w:r>
                </w:p>
              </w:tc>
              <w:tc>
                <w:tcPr>
                  <w:tcW w:w="714" w:type="pct"/>
                  <w:tcBorders>
                    <w:tl2br w:val="nil"/>
                    <w:tr2bl w:val="nil"/>
                  </w:tcBorders>
                  <w:vAlign w:val="top"/>
                </w:tcPr>
                <w:p>
                  <w:pPr>
                    <w:pStyle w:val="2"/>
                    <w:bidi w:val="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rFonts w:hint="default" w:eastAsia="宋体"/>
                      <w:color w:val="auto"/>
                      <w:lang w:val="en-US" w:eastAsia="zh-CN"/>
                    </w:rPr>
                  </w:pPr>
                  <w:r>
                    <w:rPr>
                      <w:rFonts w:hint="eastAsia"/>
                      <w:color w:val="auto"/>
                      <w:lang w:val="en-US" w:eastAsia="zh-CN"/>
                    </w:rPr>
                    <w:t>荒料堆场</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0.6</w:t>
                  </w:r>
                </w:p>
              </w:tc>
              <w:tc>
                <w:tcPr>
                  <w:tcW w:w="697" w:type="pct"/>
                  <w:tcBorders>
                    <w:tl2br w:val="nil"/>
                    <w:tr2bl w:val="nil"/>
                  </w:tcBorders>
                  <w:vAlign w:val="top"/>
                </w:tcPr>
                <w:p>
                  <w:pPr>
                    <w:pStyle w:val="2"/>
                    <w:bidi w:val="0"/>
                    <w:rPr>
                      <w:color w:val="auto"/>
                    </w:rPr>
                  </w:pPr>
                  <w:r>
                    <w:rPr>
                      <w:color w:val="auto"/>
                    </w:rPr>
                    <w:t>0.6</w:t>
                  </w:r>
                </w:p>
              </w:tc>
              <w:tc>
                <w:tcPr>
                  <w:tcW w:w="483" w:type="pct"/>
                  <w:tcBorders>
                    <w:tl2br w:val="nil"/>
                    <w:tr2bl w:val="nil"/>
                  </w:tcBorders>
                  <w:vAlign w:val="top"/>
                </w:tcPr>
                <w:p>
                  <w:pPr>
                    <w:pStyle w:val="2"/>
                    <w:bidi w:val="0"/>
                    <w:rPr>
                      <w:color w:val="auto"/>
                    </w:rPr>
                  </w:pPr>
                  <w:r>
                    <w:rPr>
                      <w:color w:val="auto"/>
                    </w:rPr>
                    <w:t>压占</w:t>
                  </w:r>
                </w:p>
              </w:tc>
              <w:tc>
                <w:tcPr>
                  <w:tcW w:w="420" w:type="pct"/>
                  <w:tcBorders>
                    <w:tl2br w:val="nil"/>
                    <w:tr2bl w:val="nil"/>
                  </w:tcBorders>
                  <w:vAlign w:val="top"/>
                </w:tcPr>
                <w:p>
                  <w:pPr>
                    <w:pStyle w:val="2"/>
                    <w:bidi w:val="0"/>
                    <w:rPr>
                      <w:color w:val="auto"/>
                    </w:rPr>
                  </w:pPr>
                  <w:r>
                    <w:rPr>
                      <w:color w:val="auto"/>
                    </w:rPr>
                    <w:t>中度</w:t>
                  </w:r>
                </w:p>
              </w:tc>
              <w:tc>
                <w:tcPr>
                  <w:tcW w:w="714" w:type="pct"/>
                  <w:tcBorders>
                    <w:tl2br w:val="nil"/>
                    <w:tr2bl w:val="nil"/>
                  </w:tcBorders>
                  <w:vAlign w:val="top"/>
                </w:tcPr>
                <w:p>
                  <w:pPr>
                    <w:pStyle w:val="2"/>
                    <w:bidi w:val="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color w:val="auto"/>
                    </w:rPr>
                  </w:pPr>
                  <w:r>
                    <w:rPr>
                      <w:color w:val="auto"/>
                    </w:rPr>
                    <w:t>表土堆放场</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1.1</w:t>
                  </w:r>
                </w:p>
              </w:tc>
              <w:tc>
                <w:tcPr>
                  <w:tcW w:w="697" w:type="pct"/>
                  <w:tcBorders>
                    <w:tl2br w:val="nil"/>
                    <w:tr2bl w:val="nil"/>
                  </w:tcBorders>
                  <w:vAlign w:val="top"/>
                </w:tcPr>
                <w:p>
                  <w:pPr>
                    <w:pStyle w:val="2"/>
                    <w:bidi w:val="0"/>
                    <w:rPr>
                      <w:color w:val="auto"/>
                    </w:rPr>
                  </w:pPr>
                  <w:r>
                    <w:rPr>
                      <w:color w:val="auto"/>
                    </w:rPr>
                    <w:t>1.1</w:t>
                  </w:r>
                </w:p>
              </w:tc>
              <w:tc>
                <w:tcPr>
                  <w:tcW w:w="483" w:type="pct"/>
                  <w:tcBorders>
                    <w:tl2br w:val="nil"/>
                    <w:tr2bl w:val="nil"/>
                  </w:tcBorders>
                  <w:vAlign w:val="top"/>
                </w:tcPr>
                <w:p>
                  <w:pPr>
                    <w:pStyle w:val="2"/>
                    <w:bidi w:val="0"/>
                    <w:rPr>
                      <w:color w:val="auto"/>
                    </w:rPr>
                  </w:pPr>
                  <w:r>
                    <w:rPr>
                      <w:color w:val="auto"/>
                    </w:rPr>
                    <w:t>压占</w:t>
                  </w:r>
                </w:p>
              </w:tc>
              <w:tc>
                <w:tcPr>
                  <w:tcW w:w="420" w:type="pct"/>
                  <w:tcBorders>
                    <w:tl2br w:val="nil"/>
                    <w:tr2bl w:val="nil"/>
                  </w:tcBorders>
                  <w:vAlign w:val="top"/>
                </w:tcPr>
                <w:p>
                  <w:pPr>
                    <w:pStyle w:val="2"/>
                    <w:bidi w:val="0"/>
                    <w:rPr>
                      <w:color w:val="auto"/>
                    </w:rPr>
                  </w:pPr>
                  <w:r>
                    <w:rPr>
                      <w:color w:val="auto"/>
                    </w:rPr>
                    <w:t>中度</w:t>
                  </w:r>
                </w:p>
              </w:tc>
              <w:tc>
                <w:tcPr>
                  <w:tcW w:w="714" w:type="pct"/>
                  <w:tcBorders>
                    <w:tl2br w:val="nil"/>
                    <w:tr2bl w:val="nil"/>
                  </w:tcBorders>
                  <w:vAlign w:val="top"/>
                </w:tcPr>
                <w:p>
                  <w:pPr>
                    <w:pStyle w:val="2"/>
                    <w:bidi w:val="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color w:val="auto"/>
                    </w:rPr>
                  </w:pPr>
                  <w:r>
                    <w:rPr>
                      <w:color w:val="auto"/>
                    </w:rPr>
                    <w:t>矿山道路</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1.28</w:t>
                  </w:r>
                </w:p>
              </w:tc>
              <w:tc>
                <w:tcPr>
                  <w:tcW w:w="697" w:type="pct"/>
                  <w:tcBorders>
                    <w:tl2br w:val="nil"/>
                    <w:tr2bl w:val="nil"/>
                  </w:tcBorders>
                  <w:vAlign w:val="top"/>
                </w:tcPr>
                <w:p>
                  <w:pPr>
                    <w:pStyle w:val="2"/>
                    <w:bidi w:val="0"/>
                    <w:rPr>
                      <w:color w:val="auto"/>
                    </w:rPr>
                  </w:pPr>
                  <w:r>
                    <w:rPr>
                      <w:color w:val="auto"/>
                    </w:rPr>
                    <w:t>1.28</w:t>
                  </w:r>
                </w:p>
              </w:tc>
              <w:tc>
                <w:tcPr>
                  <w:tcW w:w="483" w:type="pct"/>
                  <w:tcBorders>
                    <w:tl2br w:val="nil"/>
                    <w:tr2bl w:val="nil"/>
                  </w:tcBorders>
                  <w:vAlign w:val="top"/>
                </w:tcPr>
                <w:p>
                  <w:pPr>
                    <w:pStyle w:val="2"/>
                    <w:bidi w:val="0"/>
                    <w:rPr>
                      <w:color w:val="auto"/>
                    </w:rPr>
                  </w:pPr>
                  <w:r>
                    <w:rPr>
                      <w:color w:val="auto"/>
                    </w:rPr>
                    <w:t>压占</w:t>
                  </w:r>
                </w:p>
              </w:tc>
              <w:tc>
                <w:tcPr>
                  <w:tcW w:w="420" w:type="pct"/>
                  <w:tcBorders>
                    <w:tl2br w:val="nil"/>
                    <w:tr2bl w:val="nil"/>
                  </w:tcBorders>
                  <w:vAlign w:val="top"/>
                </w:tcPr>
                <w:p>
                  <w:pPr>
                    <w:pStyle w:val="2"/>
                    <w:bidi w:val="0"/>
                    <w:rPr>
                      <w:color w:val="auto"/>
                    </w:rPr>
                  </w:pPr>
                  <w:r>
                    <w:rPr>
                      <w:color w:val="auto"/>
                    </w:rPr>
                    <w:t>中度</w:t>
                  </w:r>
                </w:p>
              </w:tc>
              <w:tc>
                <w:tcPr>
                  <w:tcW w:w="714" w:type="pct"/>
                  <w:tcBorders>
                    <w:tl2br w:val="nil"/>
                    <w:tr2bl w:val="nil"/>
                  </w:tcBorders>
                  <w:vAlign w:val="top"/>
                </w:tcPr>
                <w:p>
                  <w:pPr>
                    <w:pStyle w:val="2"/>
                    <w:bidi w:val="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1" w:type="pct"/>
                  <w:tcBorders>
                    <w:tl2br w:val="nil"/>
                    <w:tr2bl w:val="nil"/>
                  </w:tcBorders>
                  <w:vAlign w:val="top"/>
                </w:tcPr>
                <w:p>
                  <w:pPr>
                    <w:pStyle w:val="2"/>
                    <w:bidi w:val="0"/>
                    <w:rPr>
                      <w:color w:val="auto"/>
                    </w:rPr>
                  </w:pPr>
                  <w:r>
                    <w:rPr>
                      <w:color w:val="auto"/>
                    </w:rPr>
                    <w:t>合计</w:t>
                  </w:r>
                </w:p>
              </w:tc>
              <w:tc>
                <w:tcPr>
                  <w:tcW w:w="951" w:type="pct"/>
                  <w:tcBorders>
                    <w:tl2br w:val="nil"/>
                    <w:tr2bl w:val="nil"/>
                  </w:tcBorders>
                  <w:vAlign w:val="top"/>
                </w:tcPr>
                <w:p>
                  <w:pPr>
                    <w:pStyle w:val="2"/>
                    <w:bidi w:val="0"/>
                    <w:rPr>
                      <w:color w:val="auto"/>
                    </w:rPr>
                  </w:pPr>
                  <w:r>
                    <w:rPr>
                      <w:color w:val="auto"/>
                    </w:rPr>
                    <w:t>0.00</w:t>
                  </w:r>
                </w:p>
              </w:tc>
              <w:tc>
                <w:tcPr>
                  <w:tcW w:w="950" w:type="pct"/>
                  <w:tcBorders>
                    <w:tl2br w:val="nil"/>
                    <w:tr2bl w:val="nil"/>
                  </w:tcBorders>
                  <w:vAlign w:val="top"/>
                </w:tcPr>
                <w:p>
                  <w:pPr>
                    <w:pStyle w:val="2"/>
                    <w:bidi w:val="0"/>
                    <w:rPr>
                      <w:color w:val="auto"/>
                    </w:rPr>
                  </w:pPr>
                  <w:r>
                    <w:rPr>
                      <w:color w:val="auto"/>
                    </w:rPr>
                    <w:t>24.67</w:t>
                  </w:r>
                </w:p>
              </w:tc>
              <w:tc>
                <w:tcPr>
                  <w:tcW w:w="697" w:type="pct"/>
                  <w:tcBorders>
                    <w:tl2br w:val="nil"/>
                    <w:tr2bl w:val="nil"/>
                  </w:tcBorders>
                  <w:vAlign w:val="top"/>
                </w:tcPr>
                <w:p>
                  <w:pPr>
                    <w:pStyle w:val="2"/>
                    <w:bidi w:val="0"/>
                    <w:rPr>
                      <w:color w:val="auto"/>
                    </w:rPr>
                  </w:pPr>
                  <w:r>
                    <w:rPr>
                      <w:color w:val="auto"/>
                    </w:rPr>
                    <w:t>24.67</w:t>
                  </w:r>
                </w:p>
              </w:tc>
              <w:tc>
                <w:tcPr>
                  <w:tcW w:w="483" w:type="pct"/>
                  <w:tcBorders>
                    <w:tl2br w:val="nil"/>
                    <w:tr2bl w:val="nil"/>
                  </w:tcBorders>
                  <w:vAlign w:val="top"/>
                </w:tcPr>
                <w:p>
                  <w:pPr>
                    <w:pStyle w:val="2"/>
                    <w:bidi w:val="0"/>
                    <w:rPr>
                      <w:color w:val="auto"/>
                    </w:rPr>
                  </w:pPr>
                </w:p>
              </w:tc>
              <w:tc>
                <w:tcPr>
                  <w:tcW w:w="420" w:type="pct"/>
                  <w:tcBorders>
                    <w:tl2br w:val="nil"/>
                    <w:tr2bl w:val="nil"/>
                  </w:tcBorders>
                  <w:vAlign w:val="top"/>
                </w:tcPr>
                <w:p>
                  <w:pPr>
                    <w:pStyle w:val="2"/>
                    <w:bidi w:val="0"/>
                    <w:rPr>
                      <w:color w:val="auto"/>
                    </w:rPr>
                  </w:pPr>
                </w:p>
              </w:tc>
              <w:tc>
                <w:tcPr>
                  <w:tcW w:w="714" w:type="pct"/>
                  <w:tcBorders>
                    <w:tl2br w:val="nil"/>
                    <w:tr2bl w:val="nil"/>
                  </w:tcBorders>
                  <w:vAlign w:val="top"/>
                </w:tcPr>
                <w:p>
                  <w:pPr>
                    <w:pStyle w:val="2"/>
                    <w:bidi w:val="0"/>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33" w:type="pct"/>
                  <w:gridSpan w:val="2"/>
                  <w:tcBorders>
                    <w:tl2br w:val="nil"/>
                    <w:tr2bl w:val="nil"/>
                  </w:tcBorders>
                  <w:vAlign w:val="top"/>
                </w:tcPr>
                <w:p>
                  <w:pPr>
                    <w:pStyle w:val="2"/>
                    <w:bidi w:val="0"/>
                    <w:rPr>
                      <w:color w:val="auto"/>
                    </w:rPr>
                  </w:pPr>
                  <w:r>
                    <w:rPr>
                      <w:color w:val="auto"/>
                    </w:rPr>
                    <w:t>复垦区面积</w:t>
                  </w:r>
                </w:p>
              </w:tc>
              <w:tc>
                <w:tcPr>
                  <w:tcW w:w="3266" w:type="pct"/>
                  <w:gridSpan w:val="5"/>
                  <w:tcBorders>
                    <w:tl2br w:val="nil"/>
                    <w:tr2bl w:val="nil"/>
                  </w:tcBorders>
                  <w:vAlign w:val="top"/>
                </w:tcPr>
                <w:p>
                  <w:pPr>
                    <w:pStyle w:val="2"/>
                    <w:bidi w:val="0"/>
                    <w:rPr>
                      <w:color w:val="auto"/>
                    </w:rPr>
                  </w:pPr>
                  <w:r>
                    <w:rPr>
                      <w:color w:val="auto"/>
                    </w:rPr>
                    <w:t>24.67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33" w:type="pct"/>
                  <w:gridSpan w:val="2"/>
                  <w:tcBorders>
                    <w:tl2br w:val="nil"/>
                    <w:tr2bl w:val="nil"/>
                  </w:tcBorders>
                  <w:vAlign w:val="top"/>
                </w:tcPr>
                <w:p>
                  <w:pPr>
                    <w:pStyle w:val="2"/>
                    <w:bidi w:val="0"/>
                    <w:rPr>
                      <w:color w:val="auto"/>
                    </w:rPr>
                  </w:pPr>
                  <w:r>
                    <w:rPr>
                      <w:color w:val="auto"/>
                    </w:rPr>
                    <w:t>复垦责任范围</w:t>
                  </w:r>
                </w:p>
              </w:tc>
              <w:tc>
                <w:tcPr>
                  <w:tcW w:w="3266" w:type="pct"/>
                  <w:gridSpan w:val="5"/>
                  <w:tcBorders>
                    <w:tl2br w:val="nil"/>
                    <w:tr2bl w:val="nil"/>
                  </w:tcBorders>
                  <w:vAlign w:val="top"/>
                </w:tcPr>
                <w:p>
                  <w:pPr>
                    <w:pStyle w:val="2"/>
                    <w:bidi w:val="0"/>
                    <w:rPr>
                      <w:color w:val="auto"/>
                    </w:rPr>
                  </w:pPr>
                  <w:r>
                    <w:rPr>
                      <w:color w:val="auto"/>
                    </w:rPr>
                    <w:t>24.67</w:t>
                  </w:r>
                </w:p>
              </w:tc>
            </w:tr>
          </w:tbl>
          <w:p>
            <w:pPr>
              <w:pStyle w:val="5"/>
              <w:rPr>
                <w:rFonts w:hint="eastAsia"/>
                <w:color w:val="auto"/>
              </w:rPr>
            </w:pPr>
            <w:r>
              <w:rPr>
                <w:color w:val="auto"/>
              </w:rPr>
              <w:drawing>
                <wp:inline distT="0" distB="0" distL="114300" distR="114300">
                  <wp:extent cx="4975860" cy="4652010"/>
                  <wp:effectExtent l="0" t="0" r="15240"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4975860" cy="4652010"/>
                          </a:xfrm>
                          <a:prstGeom prst="rect">
                            <a:avLst/>
                          </a:prstGeom>
                          <a:noFill/>
                          <a:ln>
                            <a:noFill/>
                          </a:ln>
                        </pic:spPr>
                      </pic:pic>
                    </a:graphicData>
                  </a:graphic>
                </wp:inline>
              </w:drawing>
            </w:r>
          </w:p>
          <w:p>
            <w:pPr>
              <w:pStyle w:val="10"/>
              <w:bidi w:val="0"/>
              <w:rPr>
                <w:rFonts w:hint="default"/>
                <w:color w:val="auto"/>
                <w:lang w:val="en-US" w:eastAsia="zh-CN"/>
              </w:rPr>
            </w:pPr>
            <w:r>
              <w:rPr>
                <w:rFonts w:hint="eastAsia"/>
                <w:color w:val="auto"/>
                <w:lang w:val="en-US" w:eastAsia="zh-CN"/>
              </w:rPr>
              <w:t>图5-1复垦责任范围图</w:t>
            </w:r>
          </w:p>
          <w:p>
            <w:pPr>
              <w:pStyle w:val="5"/>
              <w:rPr>
                <w:color w:val="auto"/>
              </w:rPr>
            </w:pPr>
            <w:r>
              <w:rPr>
                <w:rFonts w:hint="eastAsia"/>
                <w:color w:val="auto"/>
              </w:rPr>
              <w:t>2.2</w:t>
            </w:r>
            <w:r>
              <w:rPr>
                <w:color w:val="auto"/>
              </w:rPr>
              <w:t>土地复垦可行性评价</w:t>
            </w:r>
          </w:p>
          <w:p>
            <w:pPr>
              <w:bidi w:val="0"/>
              <w:rPr>
                <w:color w:val="auto"/>
              </w:rPr>
            </w:pPr>
            <w:r>
              <w:rPr>
                <w:rFonts w:hint="eastAsia"/>
                <w:color w:val="auto"/>
                <w:lang w:eastAsia="zh-CN"/>
              </w:rPr>
              <w:t>根据《</w:t>
            </w:r>
            <w:r>
              <w:rPr>
                <w:rFonts w:hint="eastAsia"/>
                <w:color w:val="auto"/>
                <w:lang w:val="en-US" w:eastAsia="zh-CN"/>
              </w:rPr>
              <w:t>新疆富华石业有限公司新疆焉耆县霍拉山14号花岗岩矿矿产资源开发利用与生态保护修复方案</w:t>
            </w:r>
            <w:r>
              <w:rPr>
                <w:rFonts w:hint="eastAsia"/>
                <w:color w:val="auto"/>
                <w:lang w:eastAsia="zh-CN"/>
              </w:rPr>
              <w:t>》中，</w:t>
            </w:r>
            <w:r>
              <w:rPr>
                <w:rFonts w:hint="eastAsia"/>
                <w:color w:val="auto"/>
              </w:rPr>
              <w:t>土地复垦适宜性评价是一种预测性的土地适宜性评价，是依据土地利用总体规划及相关规划，按照因地制宜的原则，在充分尊重土地权益人意志的前提下，依据原土地利用类型、土地损毁情况、公众参与意见等，在经济可行、技术合理的条件下，确定拟复垦土地的最佳利用方向，划分土地复垦单元；针对不同的评价单元，建立适宜性评价方法体系和评价指标体系；评价各单元的土地适宜性等级，明确其限制因素；最终通过方案比选，确定各评价单元的最终土地复垦方向，划定土地复垦单元</w:t>
            </w:r>
            <w:r>
              <w:rPr>
                <w:color w:val="auto"/>
              </w:rPr>
              <w:t>。</w:t>
            </w:r>
          </w:p>
          <w:p>
            <w:pPr>
              <w:pStyle w:val="5"/>
              <w:rPr>
                <w:color w:val="auto"/>
              </w:rPr>
            </w:pPr>
            <w:r>
              <w:rPr>
                <w:rFonts w:hint="eastAsia"/>
                <w:color w:val="auto"/>
              </w:rPr>
              <w:t>2.3</w:t>
            </w:r>
            <w:r>
              <w:rPr>
                <w:color w:val="auto"/>
              </w:rPr>
              <w:t>土地复垦工作进度计划安排</w:t>
            </w:r>
          </w:p>
          <w:p>
            <w:pPr>
              <w:ind w:firstLine="480"/>
              <w:rPr>
                <w:color w:val="auto"/>
              </w:rPr>
            </w:pPr>
            <w:r>
              <w:rPr>
                <w:color w:val="auto"/>
              </w:rPr>
              <w:t>本</w:t>
            </w:r>
            <w:r>
              <w:rPr>
                <w:rFonts w:hint="eastAsia"/>
                <w:color w:val="auto"/>
              </w:rPr>
              <w:t>矿区</w:t>
            </w:r>
            <w:r>
              <w:rPr>
                <w:color w:val="auto"/>
              </w:rPr>
              <w:t>服务年限</w:t>
            </w:r>
            <w:r>
              <w:rPr>
                <w:rFonts w:hint="eastAsia"/>
                <w:color w:val="auto"/>
                <w:lang w:val="en-US" w:eastAsia="zh-CN"/>
              </w:rPr>
              <w:t>16.78</w:t>
            </w:r>
            <w:r>
              <w:rPr>
                <w:color w:val="auto"/>
              </w:rPr>
              <w:t>年，</w:t>
            </w:r>
            <w:r>
              <w:rPr>
                <w:rFonts w:hint="eastAsia"/>
                <w:color w:val="auto"/>
              </w:rPr>
              <w:t>矿区</w:t>
            </w:r>
            <w:r>
              <w:rPr>
                <w:color w:val="auto"/>
              </w:rPr>
              <w:t>建成后，在</w:t>
            </w:r>
            <w:r>
              <w:rPr>
                <w:rFonts w:hint="eastAsia"/>
                <w:color w:val="auto"/>
              </w:rPr>
              <w:t>矿区</w:t>
            </w:r>
            <w:r>
              <w:rPr>
                <w:color w:val="auto"/>
              </w:rPr>
              <w:t>主要开采期间只能进行环境保护和综合治理工作，土地复垦工作因采矿的进行，无法完全开展，土地复垦大部分工作必须在闭坑后进行，计划工期为闭坑后</w:t>
            </w:r>
            <w:r>
              <w:rPr>
                <w:rFonts w:hint="eastAsia"/>
                <w:color w:val="auto"/>
                <w:lang w:val="en-US" w:eastAsia="zh-CN"/>
              </w:rPr>
              <w:t>3</w:t>
            </w:r>
            <w:r>
              <w:rPr>
                <w:color w:val="auto"/>
              </w:rPr>
              <w:t>个月内。</w:t>
            </w:r>
          </w:p>
          <w:p>
            <w:pPr>
              <w:pStyle w:val="5"/>
              <w:rPr>
                <w:color w:val="auto"/>
              </w:rPr>
            </w:pPr>
            <w:r>
              <w:rPr>
                <w:rFonts w:hint="eastAsia"/>
                <w:color w:val="auto"/>
              </w:rPr>
              <w:t>2.4</w:t>
            </w:r>
            <w:r>
              <w:rPr>
                <w:color w:val="auto"/>
              </w:rPr>
              <w:t>土地复垦工作计划</w:t>
            </w:r>
          </w:p>
          <w:p>
            <w:pPr>
              <w:pStyle w:val="5"/>
              <w:rPr>
                <w:color w:val="auto"/>
              </w:rPr>
            </w:pPr>
            <w:r>
              <w:rPr>
                <w:rFonts w:hint="eastAsia"/>
                <w:color w:val="auto"/>
              </w:rPr>
              <w:t>2.4.1土地复垦的预防工作</w:t>
            </w:r>
          </w:p>
          <w:p>
            <w:pPr>
              <w:bidi w:val="0"/>
              <w:rPr>
                <w:rFonts w:hint="eastAsia"/>
                <w:color w:val="auto"/>
              </w:rPr>
            </w:pPr>
            <w:r>
              <w:rPr>
                <w:rFonts w:hint="eastAsia"/>
                <w:color w:val="auto"/>
              </w:rPr>
              <w:t>土地复垦预防控制措施是土地复垦的基础。在项目建设、生产工程中做好防治工作，一方面可以起到防患于未然，提高施工效率，减少后期的土地复垦工程量；另一方面可减轻对周边环境的不良影响，为恢复地表以及良性循环的生态环境创造条件。</w:t>
            </w:r>
          </w:p>
          <w:p>
            <w:pPr>
              <w:bidi w:val="0"/>
              <w:rPr>
                <w:rFonts w:hint="eastAsia"/>
                <w:color w:val="auto"/>
              </w:rPr>
            </w:pPr>
            <w:r>
              <w:rPr>
                <w:rFonts w:hint="eastAsia"/>
                <w:color w:val="auto"/>
              </w:rPr>
              <w:t>土地复垦应按照“统一规划、源头控制、防复结合”的原则，根据可能发生土地损毁的环节和单元，本方案对各可能被损毁的单元采取适当的预防控制措施，进行提前预防，以减少对土地的损毁。</w:t>
            </w:r>
          </w:p>
          <w:p>
            <w:pPr>
              <w:bidi w:val="0"/>
              <w:rPr>
                <w:rFonts w:hint="eastAsia"/>
                <w:color w:val="auto"/>
              </w:rPr>
            </w:pPr>
            <w:r>
              <w:rPr>
                <w:rFonts w:hint="eastAsia"/>
                <w:color w:val="auto"/>
              </w:rPr>
              <w:t>本方案具体土地复垦预防措施为：设置专人定期进行土地损毁监测，基建期在开发利用方案设置的矿部生活区修建建筑物，矿区道路严格按照设计修建，严禁乱建乱搭，生活垃圾定点堆放，定期清运；生产期严格按照开发利用方案执行矿山开采和废石堆放，禁止乱挖乱堆，严格控制土地损毁范围、损毁程度。</w:t>
            </w:r>
          </w:p>
          <w:p>
            <w:pPr>
              <w:pStyle w:val="5"/>
              <w:rPr>
                <w:rFonts w:hint="eastAsia" w:eastAsia="宋体"/>
                <w:color w:val="auto"/>
                <w:lang w:eastAsia="zh-CN"/>
              </w:rPr>
            </w:pPr>
            <w:r>
              <w:rPr>
                <w:rFonts w:hint="eastAsia"/>
                <w:color w:val="auto"/>
              </w:rPr>
              <w:t>2.4.2矿区土地复垦</w:t>
            </w:r>
            <w:r>
              <w:rPr>
                <w:rFonts w:hint="eastAsia"/>
                <w:color w:val="auto"/>
                <w:lang w:eastAsia="zh-CN"/>
              </w:rPr>
              <w:t>措施</w:t>
            </w:r>
          </w:p>
          <w:p>
            <w:pPr>
              <w:ind w:firstLine="480"/>
              <w:rPr>
                <w:color w:val="auto"/>
              </w:rPr>
            </w:pPr>
            <w:r>
              <w:rPr>
                <w:rFonts w:hint="eastAsia"/>
                <w:color w:val="auto"/>
              </w:rPr>
              <w:t>矿区服务期满后严格按照《</w:t>
            </w:r>
            <w:r>
              <w:rPr>
                <w:rFonts w:hint="eastAsia"/>
                <w:color w:val="auto"/>
                <w:lang w:eastAsia="zh-CN"/>
              </w:rPr>
              <w:t>新疆富华石业有限公司新疆焉耆县霍拉山14号花岗岩矿矿产资源开发利用与生态保护修复方案</w:t>
            </w:r>
            <w:r>
              <w:rPr>
                <w:rFonts w:hint="eastAsia"/>
                <w:color w:val="auto"/>
              </w:rPr>
              <w:t>》对矿区进行土地复垦，首先封闭采场，并标危险警示，落实闭矿后的生态恢复，具体复垦</w:t>
            </w:r>
            <w:r>
              <w:rPr>
                <w:rFonts w:hint="eastAsia"/>
                <w:color w:val="auto"/>
                <w:lang w:eastAsia="zh-CN"/>
              </w:rPr>
              <w:t>技术</w:t>
            </w:r>
            <w:r>
              <w:rPr>
                <w:rFonts w:hint="eastAsia"/>
                <w:color w:val="auto"/>
              </w:rPr>
              <w:t>措施详见：</w:t>
            </w:r>
          </w:p>
          <w:p>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建筑设施拆除</w:t>
            </w:r>
          </w:p>
          <w:p>
            <w:pPr>
              <w:bidi w:val="0"/>
              <w:rPr>
                <w:rFonts w:hint="eastAsia"/>
                <w:color w:val="auto"/>
              </w:rPr>
            </w:pPr>
            <w:r>
              <w:rPr>
                <w:rFonts w:hint="eastAsia"/>
                <w:color w:val="auto"/>
              </w:rPr>
              <w:t>该技术措施主要针对地面建筑设施，主要为</w:t>
            </w:r>
            <w:r>
              <w:rPr>
                <w:rFonts w:hint="eastAsia"/>
                <w:color w:val="auto"/>
                <w:lang w:val="en-US" w:eastAsia="zh-CN"/>
              </w:rPr>
              <w:t>建筑设施</w:t>
            </w:r>
            <w:r>
              <w:rPr>
                <w:rFonts w:hint="eastAsia"/>
                <w:color w:val="auto"/>
              </w:rPr>
              <w:t>拆除。拆除建筑垃圾直接运至</w:t>
            </w:r>
            <w:r>
              <w:rPr>
                <w:rFonts w:hint="eastAsia"/>
                <w:color w:val="auto"/>
                <w:lang w:val="en-US" w:eastAsia="zh-CN"/>
              </w:rPr>
              <w:t>拟建</w:t>
            </w:r>
            <w:r>
              <w:rPr>
                <w:rFonts w:hint="eastAsia"/>
                <w:color w:val="auto"/>
              </w:rPr>
              <w:t>露天采场回填，地面直接平整即可；</w:t>
            </w:r>
            <w:r>
              <w:rPr>
                <w:rFonts w:hint="eastAsia"/>
                <w:color w:val="auto"/>
                <w:lang w:val="en-US" w:eastAsia="zh-CN"/>
              </w:rPr>
              <w:t>拟建</w:t>
            </w:r>
            <w:r>
              <w:rPr>
                <w:rFonts w:hint="eastAsia"/>
                <w:color w:val="auto"/>
              </w:rPr>
              <w:t>办公生活区等将在矿山闭坑后拆除，闭坑后撤出所有有用设备，利用矿山挖掘机、装载机设备拆除建筑物，建筑垃圾等废弃物用自卸汽车拉运回填采坑。</w:t>
            </w:r>
          </w:p>
          <w:p>
            <w:pPr>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土地平整工程</w:t>
            </w:r>
          </w:p>
          <w:p>
            <w:pPr>
              <w:bidi w:val="0"/>
              <w:rPr>
                <w:rFonts w:hint="eastAsia"/>
                <w:color w:val="auto"/>
              </w:rPr>
            </w:pPr>
            <w:r>
              <w:rPr>
                <w:rFonts w:hint="eastAsia"/>
                <w:color w:val="auto"/>
              </w:rPr>
              <w:t>项目区挖损、压占土地后，使原有的土地形态发生改变，损毁土地的表层起伏不平。对露天凹陷式采矿场进行回填，消除负地形的影响；将地面建筑全部拆除，清运至垃圾填埋场；利用废石回填凹陷采坑；对各复垦单元进行地面平整，</w:t>
            </w:r>
            <w:r>
              <w:rPr>
                <w:color w:val="auto"/>
              </w:rPr>
              <w:t>平整后的地形起伏控制在</w:t>
            </w:r>
            <w:r>
              <w:rPr>
                <w:rFonts w:hint="eastAsia"/>
                <w:color w:val="auto"/>
              </w:rPr>
              <w:t>5°以内</w:t>
            </w:r>
            <w:r>
              <w:rPr>
                <w:rFonts w:hint="eastAsia"/>
                <w:color w:val="auto"/>
                <w:lang w:eastAsia="zh-CN"/>
              </w:rPr>
              <w:t>，</w:t>
            </w:r>
            <w:r>
              <w:rPr>
                <w:rFonts w:hint="eastAsia"/>
                <w:color w:val="auto"/>
              </w:rPr>
              <w:t>剥离表土回填，采取人工撒播草籽恢复地表植被，植草坪、撒播草籽安排在秋季进行，利用冬季降雪融水及春季降雨进行萌发</w:t>
            </w:r>
            <w:r>
              <w:rPr>
                <w:rFonts w:hint="eastAsia"/>
                <w:color w:val="auto"/>
                <w:lang w:eastAsia="zh-CN"/>
              </w:rPr>
              <w:t>，恢复植被，</w:t>
            </w:r>
            <w:r>
              <w:rPr>
                <w:rFonts w:hint="eastAsia"/>
                <w:color w:val="auto"/>
              </w:rPr>
              <w:t>使其与周边环境相适宜。</w:t>
            </w:r>
          </w:p>
          <w:p>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边坡、台阶平整</w:t>
            </w:r>
          </w:p>
          <w:p>
            <w:pPr>
              <w:bidi w:val="0"/>
              <w:rPr>
                <w:rFonts w:hint="eastAsia"/>
                <w:color w:val="auto"/>
              </w:rPr>
            </w:pPr>
            <w:r>
              <w:rPr>
                <w:rFonts w:hint="eastAsia"/>
                <w:color w:val="auto"/>
              </w:rPr>
              <w:t>对采坑</w:t>
            </w:r>
            <w:r>
              <w:rPr>
                <w:rFonts w:hint="eastAsia"/>
                <w:color w:val="auto"/>
                <w:lang w:eastAsia="zh-CN"/>
              </w:rPr>
              <w:t>边坡</w:t>
            </w:r>
            <w:r>
              <w:rPr>
                <w:rFonts w:hint="eastAsia"/>
                <w:color w:val="auto"/>
              </w:rPr>
              <w:t>参数留设不当形成的危岩体进行清理，消除崩塌隐患；对因地层产状、岩性变化等地段调整边坡参数，消除不良地质致灾体形成的隐患；坡面的清扫平台，并进行场地平整，不余留土坎和明显凹坑，观感良好，与周边地形地貌相协调。对于边坡和平台，主要清理边坡上的不规范堆放，堆放坡角和高度要严格按照开发利用方案进行</w:t>
            </w:r>
            <w:r>
              <w:rPr>
                <w:rFonts w:hint="eastAsia"/>
                <w:color w:val="auto"/>
                <w:lang w:eastAsia="zh-CN"/>
              </w:rPr>
              <w:t>，</w:t>
            </w:r>
            <w:r>
              <w:rPr>
                <w:rFonts w:hint="eastAsia"/>
                <w:color w:val="auto"/>
              </w:rPr>
              <w:t>留出安全平台，平台保持基本水平，严禁在</w:t>
            </w:r>
            <w:r>
              <w:rPr>
                <w:rFonts w:hint="eastAsia"/>
                <w:color w:val="auto"/>
                <w:lang w:val="en-US" w:eastAsia="zh-CN"/>
              </w:rPr>
              <w:t>矿区</w:t>
            </w:r>
            <w:r>
              <w:rPr>
                <w:rFonts w:hint="eastAsia"/>
                <w:color w:val="auto"/>
              </w:rPr>
              <w:t>乱堆乱放。</w:t>
            </w:r>
          </w:p>
          <w:p>
            <w:pPr>
              <w:bidi w:val="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回填、平整采坑</w:t>
            </w:r>
          </w:p>
          <w:p>
            <w:pPr>
              <w:bidi w:val="0"/>
              <w:rPr>
                <w:color w:val="auto"/>
              </w:rPr>
            </w:pPr>
            <w:r>
              <w:rPr>
                <w:rFonts w:hint="eastAsia"/>
                <w:color w:val="auto"/>
              </w:rPr>
              <w:t>利用废石和建筑垃圾对采矿场凹陷处进行回填，使回填区与原地形缓坡过渡，衔接协调。废石回填到位后对回填区和采坑平台进行平整处理。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82" w:hRule="atLeast"/>
          <w:jc w:val="center"/>
        </w:trPr>
        <w:tc>
          <w:tcPr>
            <w:tcW w:w="752" w:type="dxa"/>
            <w:vAlign w:val="center"/>
          </w:tcPr>
          <w:p>
            <w:pPr>
              <w:ind w:firstLine="0" w:firstLineChars="0"/>
              <w:jc w:val="center"/>
              <w:rPr>
                <w:rFonts w:ascii="宋体" w:hAnsi="宋体" w:cs="宋体"/>
                <w:bCs/>
                <w:color w:val="auto"/>
                <w:spacing w:val="10"/>
              </w:rPr>
            </w:pPr>
            <w:r>
              <w:rPr>
                <w:rFonts w:hint="eastAsia" w:ascii="宋体" w:hAnsi="宋体"/>
                <w:bCs/>
                <w:color w:val="auto"/>
              </w:rPr>
              <w:t>环保投资</w:t>
            </w:r>
          </w:p>
        </w:tc>
        <w:tc>
          <w:tcPr>
            <w:tcW w:w="7697" w:type="dxa"/>
          </w:tcPr>
          <w:p>
            <w:pPr>
              <w:ind w:firstLine="480"/>
              <w:rPr>
                <w:color w:val="auto"/>
              </w:rPr>
            </w:pPr>
            <w:r>
              <w:rPr>
                <w:color w:val="auto"/>
              </w:rPr>
              <w:t>项目总投资</w:t>
            </w:r>
            <w:r>
              <w:rPr>
                <w:rFonts w:hint="eastAsia"/>
                <w:color w:val="auto"/>
                <w:lang w:val="en-US" w:eastAsia="zh-CN"/>
              </w:rPr>
              <w:t>1268.42</w:t>
            </w:r>
            <w:r>
              <w:rPr>
                <w:color w:val="auto"/>
              </w:rPr>
              <w:t>万元，其中环保投资</w:t>
            </w:r>
            <w:r>
              <w:rPr>
                <w:rFonts w:hint="eastAsia"/>
                <w:color w:val="auto"/>
                <w:lang w:val="en-US" w:eastAsia="zh-CN"/>
              </w:rPr>
              <w:t>76</w:t>
            </w:r>
            <w:r>
              <w:rPr>
                <w:color w:val="auto"/>
              </w:rPr>
              <w:t>万元，占总投资的</w:t>
            </w:r>
            <w:r>
              <w:rPr>
                <w:rFonts w:hint="eastAsia"/>
                <w:color w:val="auto"/>
                <w:lang w:val="en-US" w:eastAsia="zh-CN"/>
              </w:rPr>
              <w:t>5.99</w:t>
            </w:r>
            <w:r>
              <w:rPr>
                <w:color w:val="auto"/>
              </w:rPr>
              <w:t>%。环保投资情况见表</w:t>
            </w:r>
            <w:r>
              <w:rPr>
                <w:rFonts w:hint="eastAsia"/>
                <w:color w:val="auto"/>
                <w:lang w:val="en-US" w:eastAsia="zh-CN"/>
              </w:rPr>
              <w:t>5-6</w:t>
            </w:r>
            <w:r>
              <w:rPr>
                <w:color w:val="auto"/>
              </w:rPr>
              <w:t>。</w:t>
            </w:r>
          </w:p>
          <w:p>
            <w:pPr>
              <w:pStyle w:val="44"/>
              <w:ind w:firstLine="398" w:firstLineChars="200"/>
              <w:jc w:val="both"/>
              <w:rPr>
                <w:b/>
                <w:bCs/>
                <w:color w:val="auto"/>
                <w:spacing w:val="-6"/>
              </w:rPr>
            </w:pPr>
            <w:r>
              <w:rPr>
                <w:rFonts w:hint="eastAsia"/>
                <w:b/>
                <w:bCs/>
                <w:color w:val="auto"/>
                <w:spacing w:val="-6"/>
              </w:rPr>
              <w:t>表</w:t>
            </w:r>
            <w:r>
              <w:rPr>
                <w:rFonts w:hint="eastAsia"/>
                <w:b/>
                <w:bCs/>
                <w:color w:val="auto"/>
                <w:spacing w:val="-6"/>
                <w:lang w:val="en-US" w:eastAsia="zh-CN"/>
              </w:rPr>
              <w:t>5-6</w:t>
            </w:r>
            <w:r>
              <w:rPr>
                <w:rFonts w:hint="eastAsia"/>
                <w:b/>
                <w:bCs/>
                <w:color w:val="auto"/>
                <w:spacing w:val="-6"/>
              </w:rPr>
              <w:t xml:space="preserve">                    本项目环保投资估算表</w:t>
            </w:r>
          </w:p>
          <w:tbl>
            <w:tblPr>
              <w:tblStyle w:val="30"/>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859"/>
              <w:gridCol w:w="976"/>
              <w:gridCol w:w="1621"/>
              <w:gridCol w:w="3431"/>
              <w:gridCol w:w="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59" w:hRule="atLeast"/>
                <w:tblHeader/>
              </w:trPr>
              <w:tc>
                <w:tcPr>
                  <w:tcW w:w="57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工程类别</w:t>
                  </w: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污染类别</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污染源</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环保设施</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blHeader/>
              </w:trPr>
              <w:tc>
                <w:tcPr>
                  <w:tcW w:w="575"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施工期</w:t>
                  </w: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废气</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扬尘</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洒水工具、清扫工具等</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9" w:hRule="atLeast"/>
                <w:tblHeader/>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废水</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生产废水</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沉淀池</w:t>
                  </w:r>
                  <w:r>
                    <w:rPr>
                      <w:rFonts w:hint="eastAsia"/>
                      <w:color w:val="auto"/>
                      <w:sz w:val="21"/>
                      <w:szCs w:val="21"/>
                      <w:lang w:eastAsia="zh-CN"/>
                    </w:rPr>
                    <w:t>、生活污水化粪池</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blHeader/>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固废</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生活垃圾</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生活垃圾箱</w:t>
                  </w:r>
                  <w:r>
                    <w:rPr>
                      <w:rFonts w:hint="eastAsia"/>
                      <w:color w:val="auto"/>
                      <w:sz w:val="21"/>
                      <w:szCs w:val="21"/>
                      <w:lang w:eastAsia="zh-CN"/>
                    </w:rPr>
                    <w:t>、固废清运</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blHeader/>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生态</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生态措施</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彩旗、标识标牌、表土分层养护、表土恢复、播撒草籽、</w:t>
                  </w:r>
                  <w:r>
                    <w:rPr>
                      <w:rFonts w:hint="eastAsia"/>
                      <w:color w:val="auto"/>
                      <w:sz w:val="21"/>
                      <w:szCs w:val="21"/>
                      <w:lang w:val="en-US" w:eastAsia="zh-CN"/>
                    </w:rPr>
                    <w:t>防尘网遮盖</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运营期</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废气</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eastAsia="zh-CN"/>
                    </w:rPr>
                    <w:t>剥离</w:t>
                  </w:r>
                  <w:r>
                    <w:rPr>
                      <w:rFonts w:hint="eastAsia"/>
                      <w:color w:val="auto"/>
                      <w:sz w:val="21"/>
                      <w:szCs w:val="21"/>
                    </w:rPr>
                    <w:t>粉尘</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洒水</w:t>
                  </w:r>
                  <w:r>
                    <w:rPr>
                      <w:rFonts w:hint="eastAsia"/>
                      <w:color w:val="auto"/>
                      <w:sz w:val="21"/>
                      <w:szCs w:val="21"/>
                    </w:rPr>
                    <w:t>降尘</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道路运输扬尘</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运输道路配备洒水车，定时定量洒水</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废石堆场、</w:t>
                  </w:r>
                  <w:r>
                    <w:rPr>
                      <w:rFonts w:hint="eastAsia"/>
                      <w:color w:val="auto"/>
                      <w:sz w:val="21"/>
                      <w:szCs w:val="21"/>
                      <w:lang w:val="en-US" w:eastAsia="zh-CN"/>
                    </w:rPr>
                    <w:t>堆土场</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洒水降尘、</w:t>
                  </w:r>
                  <w:r>
                    <w:rPr>
                      <w:rFonts w:hint="eastAsia"/>
                      <w:color w:val="auto"/>
                      <w:sz w:val="21"/>
                      <w:szCs w:val="21"/>
                      <w:lang w:val="en-US" w:eastAsia="zh-CN"/>
                    </w:rPr>
                    <w:t>遮盖</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eastAsia="zh-CN"/>
                    </w:rPr>
                    <w:t>锯切、钻孔</w:t>
                  </w:r>
                </w:p>
              </w:tc>
              <w:tc>
                <w:tcPr>
                  <w:tcW w:w="2295" w:type="pct"/>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eastAsia="zh-CN"/>
                    </w:rPr>
                    <w:t>湿法作业</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食堂油烟</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油烟净化器</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废水</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工业废水</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三级循环沉淀池</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auto"/>
                      <w:sz w:val="21"/>
                      <w:szCs w:val="21"/>
                    </w:rPr>
                  </w:pP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生活污水</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生活污水化粪池、</w:t>
                  </w:r>
                  <w:r>
                    <w:rPr>
                      <w:rFonts w:hint="eastAsia"/>
                      <w:color w:val="auto"/>
                      <w:sz w:val="21"/>
                      <w:szCs w:val="21"/>
                      <w:lang w:val="en-US" w:eastAsia="zh-CN"/>
                    </w:rPr>
                    <w:t>清运费</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噪声</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eastAsia="zh-CN"/>
                    </w:rPr>
                    <w:t>生产</w:t>
                  </w:r>
                  <w:r>
                    <w:rPr>
                      <w:rFonts w:hint="eastAsia"/>
                      <w:color w:val="auto"/>
                      <w:sz w:val="21"/>
                      <w:szCs w:val="21"/>
                    </w:rPr>
                    <w:t>设备</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安装减振设施</w:t>
                  </w:r>
                  <w:r>
                    <w:rPr>
                      <w:rFonts w:hint="eastAsia"/>
                      <w:color w:val="auto"/>
                      <w:sz w:val="21"/>
                      <w:szCs w:val="21"/>
                      <w:lang w:eastAsia="zh-CN"/>
                    </w:rPr>
                    <w:t>、定期维修、耳塞</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固废</w:t>
                  </w: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生活垃圾</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生活垃圾箱、</w:t>
                  </w:r>
                  <w:r>
                    <w:rPr>
                      <w:rFonts w:hint="eastAsia"/>
                      <w:color w:val="auto"/>
                      <w:sz w:val="21"/>
                      <w:szCs w:val="21"/>
                      <w:lang w:val="en-US" w:eastAsia="zh-CN"/>
                    </w:rPr>
                    <w:t>清运费</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危险废物</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设置</w:t>
                  </w:r>
                  <w:r>
                    <w:rPr>
                      <w:rFonts w:hint="eastAsia"/>
                      <w:color w:val="auto"/>
                      <w:sz w:val="21"/>
                      <w:szCs w:val="21"/>
                      <w:lang w:eastAsia="zh-CN"/>
                    </w:rPr>
                    <w:t>危险废物贮存库</w:t>
                  </w:r>
                  <w:r>
                    <w:rPr>
                      <w:rFonts w:hint="eastAsia"/>
                      <w:color w:val="auto"/>
                      <w:sz w:val="21"/>
                      <w:szCs w:val="21"/>
                    </w:rPr>
                    <w:t>、定期清运</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风险措施</w:t>
                  </w:r>
                </w:p>
              </w:tc>
              <w:tc>
                <w:tcPr>
                  <w:tcW w:w="3379"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分区</w:t>
                  </w:r>
                  <w:r>
                    <w:rPr>
                      <w:rFonts w:hint="eastAsia"/>
                      <w:color w:val="auto"/>
                      <w:sz w:val="21"/>
                      <w:szCs w:val="21"/>
                      <w:lang w:eastAsia="zh-CN"/>
                    </w:rPr>
                    <w:t>防渗、</w:t>
                  </w:r>
                  <w:r>
                    <w:rPr>
                      <w:rFonts w:hint="eastAsia"/>
                      <w:color w:val="auto"/>
                      <w:sz w:val="21"/>
                      <w:szCs w:val="21"/>
                      <w:lang w:val="en-US" w:eastAsia="zh-CN"/>
                    </w:rPr>
                    <w:t>围堰、截排水沟</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生态</w:t>
                  </w:r>
                </w:p>
              </w:tc>
              <w:tc>
                <w:tcPr>
                  <w:tcW w:w="3379"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矿界警戒、标识标牌、截排水沟、表土分层堆放、保护植物移植养护、</w:t>
                  </w:r>
                  <w:r>
                    <w:rPr>
                      <w:rFonts w:hint="eastAsia"/>
                      <w:color w:val="auto"/>
                      <w:sz w:val="21"/>
                      <w:szCs w:val="21"/>
                      <w:lang w:val="en-US" w:eastAsia="zh-CN"/>
                    </w:rPr>
                    <w:t>防尘网遮盖</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val="en-US" w:eastAsia="zh-CN"/>
                    </w:rPr>
                    <w:t>复垦期</w:t>
                  </w:r>
                </w:p>
              </w:tc>
              <w:tc>
                <w:tcPr>
                  <w:tcW w:w="1738"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生态保护与恢复措施</w:t>
                  </w:r>
                </w:p>
              </w:tc>
              <w:tc>
                <w:tcPr>
                  <w:tcW w:w="229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所有地面建筑拆除，清除固废，平整场地，</w:t>
                  </w:r>
                  <w:r>
                    <w:rPr>
                      <w:rFonts w:hint="eastAsia"/>
                      <w:color w:val="auto"/>
                      <w:sz w:val="21"/>
                      <w:szCs w:val="21"/>
                      <w:lang w:eastAsia="zh-CN"/>
                    </w:rPr>
                    <w:t>废石回填采坑，表土恢复、播撒草籽、</w:t>
                  </w:r>
                  <w:r>
                    <w:rPr>
                      <w:rFonts w:hint="eastAsia"/>
                      <w:color w:val="auto"/>
                      <w:sz w:val="21"/>
                      <w:szCs w:val="21"/>
                    </w:rPr>
                    <w:t>恢复其土地原貌。</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4608" w:type="pct"/>
                  <w:gridSpan w:val="4"/>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合计</w:t>
                  </w:r>
                </w:p>
              </w:tc>
              <w:tc>
                <w:tcPr>
                  <w:tcW w:w="39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76</w:t>
                  </w:r>
                </w:p>
              </w:tc>
            </w:tr>
          </w:tbl>
          <w:p>
            <w:pPr>
              <w:pStyle w:val="42"/>
              <w:ind w:firstLine="0" w:firstLineChars="0"/>
              <w:rPr>
                <w:rFonts w:ascii="宋体" w:hAnsi="宋体" w:cs="宋体"/>
                <w:bCs/>
                <w:color w:val="auto"/>
                <w:spacing w:val="10"/>
                <w:sz w:val="24"/>
              </w:rPr>
            </w:pPr>
          </w:p>
          <w:p>
            <w:pPr>
              <w:pStyle w:val="42"/>
              <w:ind w:firstLine="0" w:firstLineChars="0"/>
              <w:rPr>
                <w:rFonts w:ascii="宋体" w:hAnsi="宋体" w:cs="宋体"/>
                <w:bCs/>
                <w:color w:val="auto"/>
                <w:spacing w:val="10"/>
                <w:sz w:val="24"/>
              </w:rPr>
            </w:pPr>
          </w:p>
          <w:p>
            <w:pPr>
              <w:pStyle w:val="42"/>
              <w:ind w:firstLine="0" w:firstLineChars="0"/>
              <w:rPr>
                <w:rFonts w:ascii="宋体" w:hAnsi="宋体" w:cs="宋体"/>
                <w:bCs/>
                <w:color w:val="auto"/>
                <w:spacing w:val="10"/>
                <w:sz w:val="24"/>
              </w:rPr>
            </w:pPr>
          </w:p>
          <w:p>
            <w:pPr>
              <w:rPr>
                <w:rFonts w:ascii="宋体" w:hAnsi="宋体" w:cs="宋体"/>
                <w:bCs/>
                <w:color w:val="auto"/>
                <w:spacing w:val="10"/>
                <w:sz w:val="24"/>
              </w:rPr>
            </w:pPr>
          </w:p>
          <w:p>
            <w:pPr>
              <w:pStyle w:val="23"/>
              <w:rPr>
                <w:rFonts w:ascii="宋体" w:hAnsi="宋体" w:cs="宋体"/>
                <w:bCs/>
                <w:color w:val="auto"/>
                <w:spacing w:val="10"/>
                <w:sz w:val="24"/>
              </w:rPr>
            </w:pPr>
          </w:p>
          <w:p>
            <w:pPr>
              <w:pStyle w:val="23"/>
              <w:ind w:left="0" w:leftChars="0" w:firstLine="0" w:firstLineChars="0"/>
              <w:jc w:val="both"/>
              <w:rPr>
                <w:rFonts w:hint="eastAsia" w:eastAsia="宋体"/>
                <w:color w:val="auto"/>
                <w:lang w:eastAsia="zh-CN"/>
              </w:rPr>
            </w:pPr>
          </w:p>
          <w:p>
            <w:pPr>
              <w:rPr>
                <w:rFonts w:hint="eastAsia" w:eastAsia="宋体"/>
                <w:color w:val="auto"/>
                <w:lang w:eastAsia="zh-CN"/>
              </w:rPr>
            </w:pPr>
          </w:p>
          <w:p>
            <w:pPr>
              <w:pStyle w:val="2"/>
              <w:rPr>
                <w:rFonts w:hint="eastAsia" w:eastAsia="宋体"/>
                <w:color w:val="auto"/>
                <w:lang w:eastAsia="zh-CN"/>
              </w:rPr>
            </w:pPr>
          </w:p>
          <w:p>
            <w:pPr>
              <w:pStyle w:val="3"/>
              <w:widowControl w:val="0"/>
              <w:numPr>
                <w:ilvl w:val="0"/>
                <w:numId w:val="0"/>
              </w:numPr>
              <w:adjustRightInd w:val="0"/>
              <w:snapToGrid w:val="0"/>
              <w:spacing w:line="360" w:lineRule="auto"/>
              <w:jc w:val="both"/>
              <w:rPr>
                <w:rFonts w:hint="eastAsia" w:eastAsia="宋体"/>
                <w:color w:val="auto"/>
                <w:lang w:eastAsia="zh-CN"/>
              </w:rPr>
            </w:pPr>
          </w:p>
          <w:p>
            <w:pPr>
              <w:pStyle w:val="3"/>
              <w:widowControl w:val="0"/>
              <w:numPr>
                <w:ilvl w:val="0"/>
                <w:numId w:val="0"/>
              </w:numPr>
              <w:adjustRightInd w:val="0"/>
              <w:snapToGrid w:val="0"/>
              <w:spacing w:line="360" w:lineRule="auto"/>
              <w:jc w:val="both"/>
              <w:rPr>
                <w:rFonts w:hint="eastAsia" w:eastAsia="宋体"/>
                <w:color w:val="auto"/>
                <w:lang w:eastAsia="zh-CN"/>
              </w:rPr>
            </w:pPr>
          </w:p>
          <w:p>
            <w:pPr>
              <w:pStyle w:val="3"/>
              <w:widowControl w:val="0"/>
              <w:numPr>
                <w:ilvl w:val="0"/>
                <w:numId w:val="0"/>
              </w:numPr>
              <w:adjustRightInd w:val="0"/>
              <w:snapToGrid w:val="0"/>
              <w:spacing w:line="360" w:lineRule="auto"/>
              <w:jc w:val="both"/>
              <w:rPr>
                <w:rFonts w:hint="eastAsia" w:eastAsia="宋体"/>
                <w:color w:val="auto"/>
                <w:lang w:eastAsia="zh-CN"/>
              </w:rPr>
            </w:pPr>
          </w:p>
        </w:tc>
      </w:tr>
    </w:tbl>
    <w:p>
      <w:pPr>
        <w:ind w:firstLine="480"/>
        <w:rPr>
          <w:color w:val="auto"/>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六、生态环境保护措施监督检查清单</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086"/>
        <w:gridCol w:w="1523"/>
        <w:gridCol w:w="2460"/>
        <w:gridCol w:w="1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Merge w:val="restart"/>
            <w:tcBorders>
              <w:tl2br w:val="single" w:color="auto" w:sz="4" w:space="0"/>
            </w:tcBorders>
          </w:tcPr>
          <w:p>
            <w:pPr>
              <w:pStyle w:val="25"/>
              <w:spacing w:before="72" w:beforeLines="3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内容</w:t>
            </w:r>
          </w:p>
          <w:p>
            <w:pPr>
              <w:pStyle w:val="25"/>
              <w:spacing w:before="0" w:beforeAutospacing="0" w:after="0" w:afterAutospacing="0" w:line="240" w:lineRule="auto"/>
              <w:ind w:firstLine="0" w:firstLineChars="0"/>
              <w:jc w:val="center"/>
              <w:outlineLvl w:val="0"/>
              <w:rPr>
                <w:rFonts w:cs="宋体"/>
                <w:b/>
                <w:bCs/>
                <w:color w:val="auto"/>
                <w:kern w:val="2"/>
              </w:rPr>
            </w:pPr>
          </w:p>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要素</w:t>
            </w:r>
          </w:p>
        </w:tc>
        <w:tc>
          <w:tcPr>
            <w:tcW w:w="3609" w:type="dxa"/>
            <w:gridSpan w:val="2"/>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施工期</w:t>
            </w:r>
          </w:p>
        </w:tc>
        <w:tc>
          <w:tcPr>
            <w:tcW w:w="4061" w:type="dxa"/>
            <w:gridSpan w:val="2"/>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Merge w:val="continue"/>
          </w:tcPr>
          <w:p>
            <w:pPr>
              <w:pStyle w:val="25"/>
              <w:spacing w:before="0" w:beforeAutospacing="0" w:after="0" w:afterAutospacing="0" w:line="240" w:lineRule="auto"/>
              <w:ind w:firstLine="0" w:firstLineChars="0"/>
              <w:jc w:val="center"/>
              <w:outlineLvl w:val="0"/>
              <w:rPr>
                <w:rFonts w:cs="宋体"/>
                <w:b/>
                <w:bCs/>
                <w:color w:val="auto"/>
                <w:kern w:val="2"/>
              </w:rPr>
            </w:pPr>
          </w:p>
        </w:tc>
        <w:tc>
          <w:tcPr>
            <w:tcW w:w="2086"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环境保护措施</w:t>
            </w:r>
          </w:p>
        </w:tc>
        <w:tc>
          <w:tcPr>
            <w:tcW w:w="1523"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验收要求</w:t>
            </w:r>
          </w:p>
        </w:tc>
        <w:tc>
          <w:tcPr>
            <w:tcW w:w="2460"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环境保护措施</w:t>
            </w:r>
          </w:p>
        </w:tc>
        <w:tc>
          <w:tcPr>
            <w:tcW w:w="1601"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陆生生态</w:t>
            </w:r>
          </w:p>
        </w:tc>
        <w:tc>
          <w:tcPr>
            <w:tcW w:w="2086" w:type="dxa"/>
            <w:vAlign w:val="center"/>
          </w:tcPr>
          <w:p>
            <w:pPr>
              <w:widowControl/>
              <w:autoSpaceDE w:val="0"/>
              <w:autoSpaceDN w:val="0"/>
              <w:spacing w:line="240" w:lineRule="auto"/>
              <w:ind w:firstLine="0" w:firstLineChars="0"/>
              <w:jc w:val="center"/>
              <w:rPr>
                <w:rFonts w:ascii="宋体" w:hAnsi="宋体" w:cs="宋体"/>
                <w:color w:val="auto"/>
              </w:rPr>
            </w:pPr>
            <w:r>
              <w:rPr>
                <w:rFonts w:hint="eastAsia" w:ascii="宋体" w:hAnsi="宋体" w:cs="宋体"/>
                <w:color w:val="auto"/>
                <w:kern w:val="0"/>
                <w:lang w:bidi="ar"/>
              </w:rPr>
              <w:t>严格按设计要求</w:t>
            </w:r>
            <w:r>
              <w:rPr>
                <w:rFonts w:hint="eastAsia" w:cs="宋体"/>
                <w:color w:val="auto"/>
                <w:kern w:val="0"/>
                <w:lang w:bidi="ar"/>
              </w:rPr>
              <w:t>施工</w:t>
            </w:r>
            <w:r>
              <w:rPr>
                <w:rFonts w:hint="eastAsia" w:ascii="宋体" w:hAnsi="宋体" w:cs="宋体"/>
                <w:color w:val="auto"/>
                <w:kern w:val="0"/>
                <w:lang w:bidi="ar"/>
              </w:rPr>
              <w:t>；施工结束后，临时占地全部采取地表恢复措施。</w:t>
            </w:r>
          </w:p>
        </w:tc>
        <w:tc>
          <w:tcPr>
            <w:tcW w:w="1523" w:type="dxa"/>
            <w:vAlign w:val="center"/>
          </w:tcPr>
          <w:p>
            <w:pPr>
              <w:pStyle w:val="38"/>
              <w:rPr>
                <w:rFonts w:hAnsi="宋体"/>
                <w:color w:val="auto"/>
              </w:rPr>
            </w:pPr>
            <w:r>
              <w:rPr>
                <w:rFonts w:hint="eastAsia" w:ascii="Times New Roman" w:hAnsi="Times New Roman" w:cs="Times New Roman"/>
                <w:b w:val="0"/>
                <w:bCs/>
                <w:color w:val="auto"/>
              </w:rPr>
              <w:t>恢复地貌</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控制占地范围，不得超采，车辆不得随意碾压道路周边植被，加强矿区工作人员教育宣传，</w:t>
            </w:r>
            <w:r>
              <w:rPr>
                <w:rFonts w:hint="eastAsia" w:ascii="宋体" w:hAnsi="宋体" w:cs="宋体"/>
                <w:color w:val="auto"/>
                <w:lang w:eastAsia="zh-CN"/>
              </w:rPr>
              <w:t>表土分层堆放，保护植物移植，</w:t>
            </w:r>
            <w:r>
              <w:rPr>
                <w:rFonts w:hint="eastAsia" w:ascii="宋体" w:hAnsi="宋体" w:cs="宋体"/>
                <w:color w:val="auto"/>
              </w:rPr>
              <w:t>保护</w:t>
            </w:r>
            <w:r>
              <w:rPr>
                <w:rFonts w:hint="eastAsia" w:ascii="宋体" w:hAnsi="宋体" w:cs="宋体"/>
                <w:color w:val="auto"/>
                <w:lang w:eastAsia="zh-CN"/>
              </w:rPr>
              <w:t>植被、</w:t>
            </w:r>
            <w:r>
              <w:rPr>
                <w:rFonts w:hint="eastAsia" w:ascii="宋体" w:hAnsi="宋体" w:cs="宋体"/>
                <w:color w:val="auto"/>
              </w:rPr>
              <w:t>动物</w:t>
            </w:r>
            <w:r>
              <w:rPr>
                <w:rFonts w:hint="eastAsia" w:ascii="宋体" w:hAnsi="宋体" w:cs="宋体"/>
                <w:color w:val="auto"/>
                <w:lang w:eastAsia="zh-CN"/>
              </w:rPr>
              <w:t>；</w:t>
            </w:r>
            <w:r>
              <w:rPr>
                <w:rFonts w:hint="eastAsia" w:ascii="宋体" w:hAnsi="宋体" w:cs="宋体"/>
                <w:color w:val="auto"/>
                <w:lang w:val="en-US" w:eastAsia="zh-CN"/>
              </w:rPr>
              <w:t>排土场、矿区、废石场设置截排水沟</w:t>
            </w: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生态环境不得因本项目的建设而破坏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水生生态</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地表水环境</w:t>
            </w:r>
          </w:p>
        </w:tc>
        <w:tc>
          <w:tcPr>
            <w:tcW w:w="2086" w:type="dxa"/>
            <w:vAlign w:val="center"/>
          </w:tcPr>
          <w:p>
            <w:pPr>
              <w:spacing w:line="240" w:lineRule="auto"/>
              <w:ind w:firstLine="0" w:firstLineChars="0"/>
              <w:jc w:val="center"/>
              <w:rPr>
                <w:rFonts w:hint="eastAsia" w:ascii="宋体" w:hAnsi="宋体" w:eastAsia="宋体" w:cs="宋体"/>
                <w:color w:val="auto"/>
                <w:lang w:eastAsia="zh-CN"/>
              </w:rPr>
            </w:pPr>
            <w:r>
              <w:rPr>
                <w:rFonts w:hint="eastAsia" w:ascii="宋体" w:hAnsi="宋体" w:cs="宋体"/>
                <w:color w:val="auto"/>
              </w:rPr>
              <w:t>施工废水沉淀后洒水抑尘</w:t>
            </w:r>
          </w:p>
        </w:tc>
        <w:tc>
          <w:tcPr>
            <w:tcW w:w="1523" w:type="dxa"/>
            <w:vAlign w:val="center"/>
          </w:tcPr>
          <w:p>
            <w:pPr>
              <w:spacing w:line="240" w:lineRule="auto"/>
              <w:ind w:firstLine="0" w:firstLineChars="0"/>
              <w:jc w:val="center"/>
              <w:rPr>
                <w:rFonts w:hint="eastAsia" w:ascii="宋体" w:hAnsi="宋体" w:cs="宋体"/>
                <w:color w:val="auto"/>
              </w:rPr>
            </w:pPr>
            <w:r>
              <w:rPr>
                <w:rFonts w:hint="eastAsia" w:ascii="宋体" w:hAnsi="宋体" w:cs="宋体"/>
                <w:color w:val="auto"/>
              </w:rPr>
              <w:t>不外排</w:t>
            </w:r>
          </w:p>
        </w:tc>
        <w:tc>
          <w:tcPr>
            <w:tcW w:w="2460" w:type="dxa"/>
            <w:vAlign w:val="center"/>
          </w:tcPr>
          <w:p>
            <w:pPr>
              <w:spacing w:line="240" w:lineRule="auto"/>
              <w:ind w:firstLine="0" w:firstLineChars="0"/>
              <w:jc w:val="center"/>
              <w:rPr>
                <w:rFonts w:hint="eastAsia" w:ascii="宋体" w:hAnsi="宋体" w:cs="宋体"/>
                <w:color w:val="auto"/>
                <w:lang w:eastAsia="zh-CN"/>
              </w:rPr>
            </w:pPr>
            <w:r>
              <w:rPr>
                <w:rFonts w:hint="eastAsia" w:ascii="宋体" w:hAnsi="宋体" w:cs="宋体"/>
                <w:color w:val="auto"/>
                <w:lang w:eastAsia="zh-CN"/>
              </w:rPr>
              <w:t>工业废水沉淀池处理后循环使用不外排；</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排入防渗化粪池内，</w:t>
            </w:r>
            <w:r>
              <w:rPr>
                <w:rFonts w:hint="eastAsia"/>
                <w:lang w:val="en-US" w:eastAsia="zh-CN"/>
              </w:rPr>
              <w:t>定期拉运至河北巴州生态产业园污水处理厂处理</w:t>
            </w:r>
            <w:r>
              <w:rPr>
                <w:rFonts w:hint="eastAsia"/>
                <w:color w:val="auto"/>
                <w:lang w:val="en-US" w:eastAsia="zh-CN"/>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地下水及土壤环境</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hint="eastAsia" w:ascii="宋体" w:hAnsi="宋体" w:eastAsia="宋体" w:cs="宋体"/>
                <w:color w:val="auto"/>
                <w:lang w:val="en-US" w:eastAsia="zh-CN"/>
              </w:rPr>
            </w:pPr>
            <w:r>
              <w:rPr>
                <w:rFonts w:hint="eastAsia"/>
                <w:color w:val="auto"/>
                <w:lang w:val="en-US" w:eastAsia="zh-CN"/>
              </w:rPr>
              <w:t>采取分区防渗措施，重点防渗区包括危险废物贮存库；一般防渗区包括工业循环水池、生活污水防渗化粪池；简单防渗区包括</w:t>
            </w:r>
            <w:r>
              <w:rPr>
                <w:rFonts w:hint="eastAsia"/>
                <w:color w:val="auto"/>
                <w:lang w:eastAsia="zh-CN"/>
              </w:rPr>
              <w:t>道路、</w:t>
            </w:r>
            <w:r>
              <w:rPr>
                <w:rFonts w:hint="eastAsia"/>
                <w:color w:val="auto"/>
                <w:lang w:val="en-US" w:eastAsia="zh-CN"/>
              </w:rPr>
              <w:t>生活区，仅做一般地面硬化。</w:t>
            </w:r>
          </w:p>
        </w:tc>
        <w:tc>
          <w:tcPr>
            <w:tcW w:w="1601" w:type="dxa"/>
            <w:vAlign w:val="center"/>
          </w:tcPr>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cs="宋体"/>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声环境</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合理布局施工现场，合理安排施工时序，加强施工设备维护保养。</w:t>
            </w:r>
          </w:p>
        </w:tc>
        <w:tc>
          <w:tcPr>
            <w:tcW w:w="1523" w:type="dxa"/>
            <w:vAlign w:val="center"/>
          </w:tcPr>
          <w:p>
            <w:pPr>
              <w:spacing w:line="240" w:lineRule="auto"/>
              <w:ind w:firstLine="0" w:firstLineChars="0"/>
              <w:jc w:val="center"/>
              <w:rPr>
                <w:rFonts w:ascii="宋体" w:hAnsi="宋体" w:cs="宋体"/>
                <w:color w:val="auto"/>
              </w:rPr>
            </w:pPr>
            <w:r>
              <w:rPr>
                <w:bCs/>
                <w:color w:val="auto"/>
                <w:spacing w:val="6"/>
              </w:rPr>
              <w:t xml:space="preserve">《建筑施工场界环 境噪声排放标准》 </w:t>
            </w:r>
            <w:r>
              <w:rPr>
                <w:rFonts w:hint="eastAsia"/>
                <w:bCs/>
                <w:color w:val="auto"/>
                <w:spacing w:val="6"/>
              </w:rPr>
              <w:t>（</w:t>
            </w:r>
            <w:r>
              <w:rPr>
                <w:bCs/>
                <w:color w:val="auto"/>
                <w:spacing w:val="6"/>
              </w:rPr>
              <w:t>GB12523-2011</w:t>
            </w:r>
            <w:r>
              <w:rPr>
                <w:rFonts w:hint="eastAsia"/>
                <w:bCs/>
                <w:color w:val="auto"/>
                <w:spacing w:val="6"/>
              </w:rPr>
              <w:t>）</w:t>
            </w:r>
            <w:r>
              <w:rPr>
                <w:bCs/>
                <w:color w:val="auto"/>
                <w:spacing w:val="6"/>
              </w:rPr>
              <w:t>标 准</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选用低噪声设备，高噪声设备基础设置减振垫</w:t>
            </w:r>
            <w:r>
              <w:rPr>
                <w:rFonts w:hint="eastAsia" w:ascii="宋体" w:hAnsi="宋体" w:cs="宋体"/>
                <w:color w:val="auto"/>
                <w:lang w:eastAsia="zh-CN"/>
              </w:rPr>
              <w:t>，定期养护，工人发放耳塞</w:t>
            </w:r>
            <w:r>
              <w:rPr>
                <w:rFonts w:hint="eastAsia" w:ascii="宋体" w:hAnsi="宋体" w:cs="宋体"/>
                <w:color w:val="auto"/>
              </w:rPr>
              <w:t>。</w:t>
            </w:r>
          </w:p>
        </w:tc>
        <w:tc>
          <w:tcPr>
            <w:tcW w:w="1601" w:type="dxa"/>
            <w:vAlign w:val="center"/>
          </w:tcPr>
          <w:p>
            <w:pPr>
              <w:autoSpaceDE w:val="0"/>
              <w:autoSpaceDN w:val="0"/>
              <w:spacing w:line="240" w:lineRule="auto"/>
              <w:ind w:firstLine="0" w:firstLineChars="0"/>
              <w:jc w:val="center"/>
              <w:rPr>
                <w:rFonts w:ascii="宋体" w:hAnsi="宋体" w:cs="宋体"/>
                <w:color w:val="auto"/>
              </w:rPr>
            </w:pPr>
            <w:r>
              <w:rPr>
                <w:bCs/>
                <w:color w:val="auto"/>
              </w:rPr>
              <w:t>《工业企业厂界环境噪声排放标准》（GB</w:t>
            </w:r>
            <w:r>
              <w:rPr>
                <w:rFonts w:hint="eastAsia"/>
                <w:bCs/>
                <w:color w:val="auto"/>
              </w:rPr>
              <w:t>1</w:t>
            </w:r>
            <w:r>
              <w:rPr>
                <w:bCs/>
                <w:color w:val="auto"/>
              </w:rPr>
              <w:t>2348-2008）</w:t>
            </w:r>
            <w:r>
              <w:rPr>
                <w:rFonts w:hint="eastAsia"/>
                <w:bCs/>
                <w:color w:val="auto"/>
                <w:lang w:val="en-US" w:eastAsia="zh-CN"/>
              </w:rPr>
              <w:t>2</w:t>
            </w:r>
            <w:r>
              <w:rPr>
                <w:rFonts w:hint="eastAsia"/>
                <w:bCs/>
                <w:color w:val="auto"/>
              </w:rPr>
              <w:t>类区</w:t>
            </w:r>
            <w:r>
              <w:rPr>
                <w:bCs/>
                <w:color w:val="auto"/>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振动</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大气环境</w:t>
            </w:r>
          </w:p>
        </w:tc>
        <w:tc>
          <w:tcPr>
            <w:tcW w:w="2086" w:type="dxa"/>
            <w:vAlign w:val="center"/>
          </w:tcPr>
          <w:p>
            <w:pPr>
              <w:spacing w:line="240" w:lineRule="auto"/>
              <w:ind w:firstLine="0" w:firstLineChars="0"/>
              <w:jc w:val="center"/>
              <w:rPr>
                <w:color w:val="auto"/>
              </w:rPr>
            </w:pPr>
            <w:r>
              <w:rPr>
                <w:color w:val="auto"/>
              </w:rPr>
              <w:t>施工现场围挡，施工物料遮盖防尘网，大风天气不得进行土方作业。</w:t>
            </w:r>
          </w:p>
        </w:tc>
        <w:tc>
          <w:tcPr>
            <w:tcW w:w="1523" w:type="dxa"/>
            <w:vAlign w:val="center"/>
          </w:tcPr>
          <w:p>
            <w:pPr>
              <w:spacing w:line="240" w:lineRule="auto"/>
              <w:ind w:firstLine="0" w:firstLineChars="0"/>
              <w:jc w:val="center"/>
              <w:rPr>
                <w:color w:val="auto"/>
              </w:rPr>
            </w:pPr>
            <w:r>
              <w:rPr>
                <w:color w:val="auto"/>
              </w:rPr>
              <w:t>《大气污染物综合排放标</w:t>
            </w:r>
            <w:r>
              <w:rPr>
                <w:rFonts w:hint="eastAsia"/>
                <w:color w:val="auto"/>
              </w:rPr>
              <w:t>准</w:t>
            </w:r>
            <w:r>
              <w:rPr>
                <w:color w:val="auto"/>
              </w:rPr>
              <w:t>》（GB16297-1996）</w:t>
            </w:r>
          </w:p>
        </w:tc>
        <w:tc>
          <w:tcPr>
            <w:tcW w:w="2460" w:type="dxa"/>
            <w:vAlign w:val="center"/>
          </w:tcPr>
          <w:p>
            <w:pPr>
              <w:spacing w:line="240" w:lineRule="auto"/>
              <w:ind w:firstLine="0" w:firstLineChars="0"/>
              <w:jc w:val="center"/>
              <w:rPr>
                <w:rFonts w:hint="eastAsia" w:ascii="宋体" w:hAnsi="宋体" w:eastAsia="宋体" w:cs="宋体"/>
                <w:color w:val="auto"/>
              </w:rPr>
            </w:pPr>
            <w:r>
              <w:rPr>
                <w:rFonts w:hint="eastAsia" w:ascii="宋体" w:hAnsi="宋体" w:eastAsia="宋体" w:cs="宋体"/>
                <w:color w:val="auto"/>
              </w:rPr>
              <w:t>表土剥离采用洒水降尘</w:t>
            </w:r>
            <w:r>
              <w:rPr>
                <w:rFonts w:hint="eastAsia" w:ascii="宋体" w:hAnsi="宋体" w:cs="宋体"/>
                <w:color w:val="auto"/>
                <w:lang w:eastAsia="zh-CN"/>
              </w:rPr>
              <w:t>、</w:t>
            </w:r>
            <w:r>
              <w:rPr>
                <w:rFonts w:hint="eastAsia" w:ascii="宋体" w:hAnsi="宋体" w:cs="宋体"/>
                <w:color w:val="auto"/>
                <w:lang w:val="en-US" w:eastAsia="zh-CN"/>
              </w:rPr>
              <w:t>遮盖</w:t>
            </w:r>
            <w:r>
              <w:rPr>
                <w:rFonts w:hint="eastAsia" w:ascii="宋体" w:hAnsi="宋体" w:eastAsia="宋体" w:cs="宋体"/>
                <w:color w:val="auto"/>
              </w:rPr>
              <w:t>，运输车辆加盖篷布，道路采用泥结碎石路面，定期洒水抑尘；堆场、道路定期洒水；锯切、钻孔采用湿法作业；食堂油烟经油烟净化器处理后排放；</w:t>
            </w:r>
          </w:p>
        </w:tc>
        <w:tc>
          <w:tcPr>
            <w:tcW w:w="1601" w:type="dxa"/>
            <w:vAlign w:val="center"/>
          </w:tcPr>
          <w:p>
            <w:pPr>
              <w:spacing w:line="240" w:lineRule="auto"/>
              <w:ind w:firstLine="0" w:firstLineChars="0"/>
              <w:jc w:val="center"/>
              <w:rPr>
                <w:rFonts w:hint="eastAsia" w:ascii="宋体" w:hAnsi="宋体" w:eastAsia="宋体" w:cs="宋体"/>
                <w:color w:val="auto"/>
              </w:rPr>
            </w:pPr>
            <w:r>
              <w:rPr>
                <w:rFonts w:hint="eastAsia" w:ascii="宋体" w:hAnsi="宋体" w:eastAsia="宋体" w:cs="宋体"/>
                <w:color w:val="auto"/>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固体废物</w:t>
            </w:r>
          </w:p>
        </w:tc>
        <w:tc>
          <w:tcPr>
            <w:tcW w:w="2086" w:type="dxa"/>
            <w:vAlign w:val="center"/>
          </w:tcPr>
          <w:p>
            <w:pPr>
              <w:spacing w:line="240" w:lineRule="auto"/>
              <w:ind w:firstLine="0" w:firstLineChars="0"/>
              <w:jc w:val="center"/>
              <w:rPr>
                <w:rFonts w:ascii="宋体" w:hAnsi="宋体" w:cs="宋体"/>
                <w:color w:val="auto"/>
              </w:rPr>
            </w:pPr>
            <w:r>
              <w:rPr>
                <w:bCs/>
                <w:color w:val="auto"/>
              </w:rPr>
              <w:t>弃方用于</w:t>
            </w:r>
            <w:r>
              <w:rPr>
                <w:rFonts w:hint="eastAsia"/>
                <w:bCs/>
                <w:color w:val="auto"/>
              </w:rPr>
              <w:t>场地</w:t>
            </w:r>
            <w:r>
              <w:rPr>
                <w:bCs/>
                <w:color w:val="auto"/>
              </w:rPr>
              <w:t>平整，废建筑材料不可回收利用部分，应运至当地</w:t>
            </w:r>
            <w:r>
              <w:rPr>
                <w:rFonts w:hint="eastAsia"/>
                <w:bCs/>
                <w:color w:val="auto"/>
              </w:rPr>
              <w:t>住建部门指定</w:t>
            </w:r>
            <w:r>
              <w:rPr>
                <w:bCs/>
                <w:color w:val="auto"/>
              </w:rPr>
              <w:t>填埋场处置</w:t>
            </w:r>
            <w:r>
              <w:rPr>
                <w:rFonts w:hint="eastAsia"/>
                <w:bCs/>
                <w:color w:val="auto"/>
              </w:rPr>
              <w:t>；</w:t>
            </w:r>
            <w:r>
              <w:rPr>
                <w:bCs/>
                <w:color w:val="auto"/>
              </w:rPr>
              <w:t>生活垃圾</w:t>
            </w:r>
            <w:r>
              <w:rPr>
                <w:rFonts w:hint="eastAsia"/>
                <w:bCs/>
                <w:color w:val="auto"/>
              </w:rPr>
              <w:t>委托环卫部门</w:t>
            </w:r>
            <w:r>
              <w:rPr>
                <w:bCs/>
                <w:color w:val="auto"/>
              </w:rPr>
              <w:t>清运至垃圾填埋场处置</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合理处置施工固废，做到“工完、料尽、场地清”</w:t>
            </w:r>
          </w:p>
        </w:tc>
        <w:tc>
          <w:tcPr>
            <w:tcW w:w="2460" w:type="dxa"/>
            <w:vAlign w:val="center"/>
          </w:tcPr>
          <w:p>
            <w:pPr>
              <w:spacing w:line="240" w:lineRule="auto"/>
              <w:ind w:firstLine="0" w:firstLineChars="0"/>
              <w:jc w:val="center"/>
              <w:rPr>
                <w:rFonts w:hint="eastAsia" w:ascii="宋体" w:hAnsi="宋体" w:eastAsia="宋体" w:cs="宋体"/>
                <w:color w:val="auto"/>
              </w:rPr>
            </w:pPr>
            <w:r>
              <w:rPr>
                <w:rFonts w:hint="eastAsia" w:ascii="宋体" w:hAnsi="宋体" w:eastAsia="宋体" w:cs="宋体"/>
                <w:color w:val="auto"/>
                <w:lang w:eastAsia="zh-CN"/>
              </w:rPr>
              <w:t>废石、沉淀泥沙</w:t>
            </w:r>
            <w:r>
              <w:rPr>
                <w:rFonts w:hint="eastAsia" w:ascii="宋体" w:hAnsi="宋体" w:eastAsia="宋体" w:cs="宋体"/>
                <w:color w:val="auto"/>
              </w:rPr>
              <w:t>拉运至废石场暂存，矿区闭矿后用于</w:t>
            </w:r>
            <w:r>
              <w:rPr>
                <w:rFonts w:hint="eastAsia" w:ascii="宋体" w:hAnsi="宋体" w:eastAsia="宋体" w:cs="宋体"/>
                <w:color w:val="auto"/>
                <w:lang w:eastAsia="zh-CN"/>
              </w:rPr>
              <w:t>矿坑回填</w:t>
            </w:r>
            <w:r>
              <w:rPr>
                <w:rFonts w:hint="eastAsia" w:ascii="宋体" w:hAnsi="宋体" w:cs="宋体"/>
                <w:color w:val="auto"/>
                <w:lang w:eastAsia="zh-CN"/>
              </w:rPr>
              <w:t>；</w:t>
            </w:r>
            <w:r>
              <w:rPr>
                <w:rFonts w:hint="eastAsia"/>
                <w:color w:val="auto"/>
                <w:lang w:val="en-US" w:eastAsia="zh-CN"/>
              </w:rPr>
              <w:t>报废机械设备零部件直接外售</w:t>
            </w:r>
            <w:r>
              <w:rPr>
                <w:rFonts w:hint="eastAsia" w:ascii="宋体" w:hAnsi="宋体" w:eastAsia="宋体" w:cs="宋体"/>
                <w:color w:val="auto"/>
              </w:rPr>
              <w:t>；生活垃圾集中收集清运至生活垃圾填埋场填埋；</w:t>
            </w:r>
            <w:r>
              <w:rPr>
                <w:rFonts w:hint="eastAsia" w:ascii="宋体" w:hAnsi="宋体" w:cs="宋体"/>
                <w:color w:val="auto"/>
                <w:lang w:eastAsia="zh-CN"/>
              </w:rPr>
              <w:t>废润滑油</w:t>
            </w:r>
            <w:r>
              <w:rPr>
                <w:rFonts w:hint="eastAsia" w:ascii="宋体" w:hAnsi="宋体" w:eastAsia="宋体" w:cs="宋体"/>
                <w:color w:val="auto"/>
                <w:lang w:eastAsia="zh-CN"/>
              </w:rPr>
              <w:t>、废油桶</w:t>
            </w:r>
            <w:r>
              <w:rPr>
                <w:rFonts w:hint="eastAsia" w:ascii="宋体" w:hAnsi="宋体" w:cs="宋体"/>
                <w:color w:val="auto"/>
                <w:lang w:eastAsia="zh-CN"/>
              </w:rPr>
              <w:t>、</w:t>
            </w:r>
            <w:r>
              <w:rPr>
                <w:rFonts w:hint="eastAsia" w:ascii="宋体" w:hAnsi="宋体" w:eastAsia="宋体" w:cs="宋体"/>
                <w:color w:val="auto"/>
                <w:lang w:eastAsia="zh-CN"/>
              </w:rPr>
              <w:t>含油劳动用品集中收集至</w:t>
            </w:r>
            <w:r>
              <w:rPr>
                <w:rFonts w:hint="eastAsia" w:ascii="宋体" w:hAnsi="宋体" w:eastAsia="宋体" w:cs="宋体"/>
                <w:color w:val="auto"/>
              </w:rPr>
              <w:t>暂存于</w:t>
            </w:r>
            <w:r>
              <w:rPr>
                <w:rFonts w:hint="eastAsia" w:ascii="宋体" w:hAnsi="宋体" w:cs="宋体"/>
                <w:color w:val="auto"/>
                <w:lang w:eastAsia="zh-CN"/>
              </w:rPr>
              <w:t>危险废物贮存库</w:t>
            </w:r>
            <w:r>
              <w:rPr>
                <w:rFonts w:hint="eastAsia" w:ascii="宋体" w:hAnsi="宋体" w:eastAsia="宋体" w:cs="宋体"/>
                <w:color w:val="auto"/>
                <w:lang w:eastAsia="zh-CN"/>
              </w:rPr>
              <w:t>，</w:t>
            </w:r>
            <w:r>
              <w:rPr>
                <w:rFonts w:hint="eastAsia" w:ascii="宋体" w:hAnsi="宋体" w:eastAsia="宋体" w:cs="宋体"/>
                <w:color w:val="auto"/>
              </w:rPr>
              <w:t>定期委托有资质单位处理。</w:t>
            </w:r>
          </w:p>
        </w:tc>
        <w:tc>
          <w:tcPr>
            <w:tcW w:w="1601" w:type="dxa"/>
            <w:vAlign w:val="center"/>
          </w:tcPr>
          <w:p>
            <w:pPr>
              <w:spacing w:line="240" w:lineRule="auto"/>
              <w:ind w:firstLine="0" w:firstLineChars="0"/>
              <w:jc w:val="center"/>
              <w:rPr>
                <w:rFonts w:hint="eastAsia" w:ascii="宋体" w:hAnsi="宋体" w:eastAsia="宋体" w:cs="宋体"/>
                <w:color w:val="auto"/>
              </w:rPr>
            </w:pPr>
            <w:r>
              <w:rPr>
                <w:rFonts w:hint="default" w:ascii="Times New Roman" w:hAnsi="Times New Roman" w:eastAsia="宋体" w:cs="Times New Roman"/>
                <w:color w:val="auto"/>
              </w:rPr>
              <w:t>《一般工业固体废物贮存和填埋污染控制标准》（GB 18599-2020）；《危险废物贮存污染控制标准》（GB18597-20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电磁环境</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环境风险</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eastAsia="zh-CN"/>
              </w:rPr>
              <w:t>危险废物贮存库</w:t>
            </w:r>
            <w:r>
              <w:rPr>
                <w:rFonts w:hint="eastAsia" w:ascii="宋体" w:hAnsi="宋体" w:cs="宋体"/>
                <w:color w:val="auto"/>
                <w:lang w:val="en-US" w:eastAsia="zh-CN"/>
              </w:rPr>
              <w:t>采重点防渗、</w:t>
            </w:r>
            <w:r>
              <w:rPr>
                <w:rFonts w:hint="eastAsia" w:ascii="宋体" w:hAnsi="宋体" w:cs="宋体"/>
                <w:color w:val="auto"/>
                <w:lang w:eastAsia="zh-CN"/>
              </w:rPr>
              <w:t>设置</w:t>
            </w:r>
            <w:r>
              <w:rPr>
                <w:rFonts w:hint="eastAsia" w:ascii="宋体" w:hAnsi="宋体" w:cs="宋体"/>
                <w:color w:val="auto"/>
                <w:lang w:val="en-US" w:eastAsia="zh-CN"/>
              </w:rPr>
              <w:t>围堰</w:t>
            </w:r>
            <w:r>
              <w:rPr>
                <w:rFonts w:hint="eastAsia" w:ascii="宋体" w:hAnsi="宋体" w:cs="宋体"/>
                <w:color w:val="auto"/>
                <w:lang w:eastAsia="zh-CN"/>
              </w:rPr>
              <w:t>，</w:t>
            </w:r>
            <w:r>
              <w:rPr>
                <w:rFonts w:hint="eastAsia" w:ascii="宋体" w:hAnsi="宋体" w:cs="宋体"/>
                <w:color w:val="auto"/>
                <w:lang w:val="en-US" w:eastAsia="zh-CN"/>
              </w:rPr>
              <w:t>配备应急物资，编制应急预案。</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环境监测</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4061" w:type="dxa"/>
            <w:gridSpan w:val="2"/>
            <w:vAlign w:val="center"/>
          </w:tcPr>
          <w:p>
            <w:pPr>
              <w:spacing w:line="240" w:lineRule="auto"/>
              <w:ind w:firstLine="0" w:firstLineChars="0"/>
              <w:jc w:val="center"/>
              <w:rPr>
                <w:rFonts w:ascii="宋体" w:hAnsi="宋体" w:cs="宋体"/>
                <w:color w:val="auto"/>
              </w:rPr>
            </w:pPr>
            <w:r>
              <w:rPr>
                <w:rFonts w:hint="eastAsia" w:ascii="宋体" w:hAnsi="宋体" w:cs="宋体"/>
                <w:color w:val="auto"/>
              </w:rPr>
              <w:t>落实自行监测计划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1"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其他</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4061" w:type="dxa"/>
            <w:gridSpan w:val="2"/>
            <w:vAlign w:val="center"/>
          </w:tcPr>
          <w:p>
            <w:pPr>
              <w:spacing w:line="240" w:lineRule="auto"/>
              <w:ind w:firstLine="0" w:firstLineChars="0"/>
              <w:jc w:val="center"/>
              <w:rPr>
                <w:rFonts w:hint="eastAsia" w:ascii="宋体" w:hAnsi="宋体" w:cs="宋体"/>
                <w:color w:val="auto"/>
              </w:rPr>
            </w:pPr>
            <w:r>
              <w:rPr>
                <w:rFonts w:hint="eastAsia" w:ascii="宋体" w:hAnsi="宋体" w:cs="宋体"/>
                <w:color w:val="auto"/>
              </w:rPr>
              <w:t>①根据国家和地方相关环保政策和法规，制定企业环境保护计划的环保方针目标。并建立相应的管理监督制度。</w:t>
            </w:r>
          </w:p>
          <w:p>
            <w:pPr>
              <w:spacing w:line="240" w:lineRule="auto"/>
              <w:ind w:firstLine="0" w:firstLineChars="0"/>
              <w:jc w:val="center"/>
              <w:rPr>
                <w:rFonts w:hint="eastAsia" w:ascii="宋体" w:hAnsi="宋体" w:cs="宋体"/>
                <w:color w:val="auto"/>
              </w:rPr>
            </w:pPr>
            <w:r>
              <w:rPr>
                <w:rFonts w:hint="eastAsia" w:ascii="宋体" w:hAnsi="宋体" w:cs="宋体"/>
                <w:color w:val="auto"/>
              </w:rPr>
              <w:t>②加强环保教育宣传，并制定紧急情况应急措施，预防或减少可能的环境影响。</w:t>
            </w:r>
          </w:p>
          <w:p>
            <w:pPr>
              <w:spacing w:line="240" w:lineRule="auto"/>
              <w:ind w:firstLine="0" w:firstLineChars="0"/>
              <w:jc w:val="center"/>
              <w:rPr>
                <w:rFonts w:hint="eastAsia" w:ascii="宋体" w:hAnsi="宋体" w:cs="宋体"/>
                <w:color w:val="auto"/>
              </w:rPr>
            </w:pPr>
            <w:r>
              <w:rPr>
                <w:rFonts w:hint="eastAsia" w:ascii="宋体" w:hAnsi="宋体" w:cs="宋体"/>
                <w:color w:val="auto"/>
              </w:rPr>
              <w:t>③维护环保措施的正常运行和安全生产，对各种环保设施进行定期检查和维修，确保污染物达标排放，同时要推广及应用先进的环保技术和经验，最大限度降低污染物的排放量。</w:t>
            </w:r>
          </w:p>
          <w:p>
            <w:pPr>
              <w:spacing w:line="240" w:lineRule="auto"/>
              <w:ind w:firstLine="0" w:firstLineChars="0"/>
              <w:jc w:val="center"/>
              <w:rPr>
                <w:rFonts w:hint="eastAsia" w:ascii="宋体" w:hAnsi="宋体" w:cs="宋体"/>
                <w:color w:val="auto"/>
              </w:rPr>
            </w:pPr>
            <w:r>
              <w:rPr>
                <w:rFonts w:hint="eastAsia" w:ascii="宋体" w:hAnsi="宋体" w:cs="宋体"/>
                <w:color w:val="auto"/>
              </w:rPr>
              <w:t>④按照要求排污许可证</w:t>
            </w:r>
            <w:r>
              <w:rPr>
                <w:rFonts w:hint="eastAsia" w:ascii="宋体" w:hAnsi="宋体" w:cs="宋体"/>
                <w:color w:val="auto"/>
                <w:lang w:val="en-US" w:eastAsia="zh-CN"/>
              </w:rPr>
              <w:t>要求登记</w:t>
            </w:r>
            <w:r>
              <w:rPr>
                <w:rFonts w:hint="eastAsia" w:ascii="宋体" w:hAnsi="宋体" w:cs="宋体"/>
                <w:color w:val="auto"/>
              </w:rPr>
              <w:t>。</w:t>
            </w:r>
          </w:p>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cs="宋体"/>
                <w:color w:val="auto"/>
                <w:lang w:val="en-US" w:eastAsia="zh-CN"/>
              </w:rPr>
              <w:t>⑤</w:t>
            </w:r>
            <w:r>
              <w:rPr>
                <w:rFonts w:hint="eastAsia"/>
                <w:color w:val="auto"/>
              </w:rPr>
              <w:t>落实</w:t>
            </w:r>
            <w:r>
              <w:rPr>
                <w:rFonts w:hint="eastAsia"/>
                <w:color w:val="auto"/>
                <w:lang w:eastAsia="zh-CN"/>
              </w:rPr>
              <w:t>“</w:t>
            </w:r>
            <w:r>
              <w:rPr>
                <w:rFonts w:hint="eastAsia"/>
                <w:color w:val="auto"/>
              </w:rPr>
              <w:t>三同时</w:t>
            </w:r>
            <w:r>
              <w:rPr>
                <w:rFonts w:hint="eastAsia"/>
                <w:color w:val="auto"/>
                <w:lang w:eastAsia="zh-CN"/>
              </w:rPr>
              <w:t>”</w:t>
            </w:r>
            <w:r>
              <w:rPr>
                <w:rFonts w:hint="eastAsia"/>
                <w:color w:val="auto"/>
              </w:rPr>
              <w:t>制度</w:t>
            </w:r>
            <w:r>
              <w:rPr>
                <w:rFonts w:hint="default"/>
                <w:color w:val="auto"/>
              </w:rPr>
              <w:t>，按照要求开展竣工环境保护验收。</w:t>
            </w:r>
          </w:p>
        </w:tc>
      </w:tr>
    </w:tbl>
    <w:p>
      <w:pPr>
        <w:pStyle w:val="4"/>
        <w:bidi w:val="0"/>
        <w:ind w:left="0" w:leftChars="0" w:firstLine="0" w:firstLineChars="0"/>
        <w:jc w:val="center"/>
        <w:rPr>
          <w:rFonts w:ascii="黑体" w:hAnsi="黑体" w:eastAsia="黑体"/>
          <w:snapToGrid w:val="0"/>
          <w:color w:val="auto"/>
          <w:sz w:val="30"/>
          <w:szCs w:val="30"/>
        </w:rPr>
      </w:pPr>
      <w:r>
        <w:rPr>
          <w:rFonts w:ascii="黑体" w:hAnsi="黑体" w:eastAsia="黑体"/>
          <w:snapToGrid w:val="0"/>
          <w:color w:val="auto"/>
          <w:sz w:val="30"/>
          <w:szCs w:val="30"/>
        </w:rPr>
        <w:br w:type="page"/>
      </w:r>
      <w:r>
        <w:rPr>
          <w:rFonts w:hint="eastAsia" w:ascii="黑体" w:hAnsi="黑体" w:eastAsia="黑体"/>
          <w:snapToGrid w:val="0"/>
          <w:color w:val="auto"/>
          <w:sz w:val="30"/>
          <w:szCs w:val="30"/>
        </w:rPr>
        <w:t>七、结论</w:t>
      </w:r>
    </w:p>
    <w:tbl>
      <w:tblPr>
        <w:tblStyle w:val="30"/>
        <w:tblW w:w="92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43" w:hRule="atLeast"/>
          <w:jc w:val="center"/>
        </w:trPr>
        <w:tc>
          <w:tcPr>
            <w:tcW w:w="9289" w:type="dxa"/>
          </w:tcPr>
          <w:p>
            <w:pPr>
              <w:ind w:firstLine="480"/>
              <w:rPr>
                <w:rFonts w:ascii="宋体" w:hAnsi="宋体" w:cs="宋体"/>
                <w:color w:val="auto"/>
                <w:szCs w:val="21"/>
              </w:rPr>
            </w:pPr>
            <w:r>
              <w:rPr>
                <w:color w:val="auto"/>
              </w:rPr>
              <w:t>该项目只要切实落实报告表中提出的各项防治措施要求，严格执行各项污染物的排放标准，积极有效地进行治理和防范，并使各项污染物达标排放，从环境保护角度考虑，</w:t>
            </w:r>
            <w:r>
              <w:rPr>
                <w:rFonts w:hint="eastAsia"/>
                <w:color w:val="auto"/>
              </w:rPr>
              <w:t>该项目的环境影响可行</w:t>
            </w:r>
            <w:r>
              <w:rPr>
                <w:color w:val="auto"/>
              </w:rPr>
              <w:t>。</w:t>
            </w:r>
          </w:p>
        </w:tc>
      </w:tr>
    </w:tbl>
    <w:p>
      <w:pPr>
        <w:widowControl/>
        <w:spacing w:before="192" w:beforeLines="80"/>
        <w:ind w:firstLine="0" w:firstLineChars="0"/>
        <w:jc w:val="left"/>
        <w:rPr>
          <w:rFonts w:ascii="宋体"/>
          <w:color w:val="auto"/>
        </w:rPr>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ind w:firstLine="360"/>
                          </w:pPr>
                          <w:r>
                            <w:fldChar w:fldCharType="begin"/>
                          </w:r>
                          <w:r>
                            <w:instrText xml:space="preserve"> PAGE  \* MERGEFORMAT </w:instrText>
                          </w:r>
                          <w:r>
                            <w:fldChar w:fldCharType="separate"/>
                          </w:r>
                          <w:r>
                            <w:t>50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FD1FD"/>
    <w:multiLevelType w:val="singleLevel"/>
    <w:tmpl w:val="832FD1FD"/>
    <w:lvl w:ilvl="0" w:tentative="0">
      <w:start w:val="1"/>
      <w:numFmt w:val="decimal"/>
      <w:suff w:val="nothing"/>
      <w:lvlText w:val="（%1）"/>
      <w:lvlJc w:val="left"/>
    </w:lvl>
  </w:abstractNum>
  <w:abstractNum w:abstractNumId="1">
    <w:nsid w:val="990169D1"/>
    <w:multiLevelType w:val="singleLevel"/>
    <w:tmpl w:val="990169D1"/>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2">
    <w:nsid w:val="A6FF7CF6"/>
    <w:multiLevelType w:val="singleLevel"/>
    <w:tmpl w:val="A6FF7CF6"/>
    <w:lvl w:ilvl="0" w:tentative="0">
      <w:start w:val="1"/>
      <w:numFmt w:val="decimal"/>
      <w:suff w:val="nothing"/>
      <w:lvlText w:val="（%1）"/>
      <w:lvlJc w:val="left"/>
    </w:lvl>
  </w:abstractNum>
  <w:abstractNum w:abstractNumId="3">
    <w:nsid w:val="D15CD601"/>
    <w:multiLevelType w:val="singleLevel"/>
    <w:tmpl w:val="D15CD601"/>
    <w:lvl w:ilvl="0" w:tentative="0">
      <w:start w:val="1"/>
      <w:numFmt w:val="lowerLetter"/>
      <w:suff w:val="space"/>
      <w:lvlText w:val="%1)"/>
      <w:lvlJc w:val="left"/>
    </w:lvl>
  </w:abstractNum>
  <w:abstractNum w:abstractNumId="4">
    <w:nsid w:val="E254CF11"/>
    <w:multiLevelType w:val="singleLevel"/>
    <w:tmpl w:val="E254CF11"/>
    <w:lvl w:ilvl="0" w:tentative="0">
      <w:start w:val="3"/>
      <w:numFmt w:val="decimal"/>
      <w:suff w:val="nothing"/>
      <w:lvlText w:val="%1、"/>
      <w:lvlJc w:val="left"/>
    </w:lvl>
  </w:abstractNum>
  <w:abstractNum w:abstractNumId="5">
    <w:nsid w:val="E86710E2"/>
    <w:multiLevelType w:val="singleLevel"/>
    <w:tmpl w:val="E86710E2"/>
    <w:lvl w:ilvl="0" w:tentative="0">
      <w:start w:val="1"/>
      <w:numFmt w:val="decimal"/>
      <w:suff w:val="nothing"/>
      <w:lvlText w:val="（%1）"/>
      <w:lvlJc w:val="left"/>
    </w:lvl>
  </w:abstractNum>
  <w:abstractNum w:abstractNumId="6">
    <w:nsid w:val="F885111D"/>
    <w:multiLevelType w:val="singleLevel"/>
    <w:tmpl w:val="F885111D"/>
    <w:lvl w:ilvl="0" w:tentative="0">
      <w:start w:val="1"/>
      <w:numFmt w:val="decimal"/>
      <w:suff w:val="nothing"/>
      <w:lvlText w:val="（%1）"/>
      <w:lvlJc w:val="left"/>
    </w:lvl>
  </w:abstractNum>
  <w:abstractNum w:abstractNumId="7">
    <w:nsid w:val="15AF5447"/>
    <w:multiLevelType w:val="singleLevel"/>
    <w:tmpl w:val="15AF5447"/>
    <w:lvl w:ilvl="0" w:tentative="0">
      <w:start w:val="6"/>
      <w:numFmt w:val="decimal"/>
      <w:suff w:val="nothing"/>
      <w:lvlText w:val="%1、"/>
      <w:lvlJc w:val="left"/>
    </w:lvl>
  </w:abstractNum>
  <w:abstractNum w:abstractNumId="8">
    <w:nsid w:val="665EC29A"/>
    <w:multiLevelType w:val="singleLevel"/>
    <w:tmpl w:val="665EC29A"/>
    <w:lvl w:ilvl="0" w:tentative="0">
      <w:start w:val="1"/>
      <w:numFmt w:val="decimal"/>
      <w:suff w:val="nothing"/>
      <w:lvlText w:val="（%1）"/>
      <w:lvlJc w:val="left"/>
    </w:lvl>
  </w:abstractNum>
  <w:abstractNum w:abstractNumId="9">
    <w:nsid w:val="6B413EAB"/>
    <w:multiLevelType w:val="singleLevel"/>
    <w:tmpl w:val="6B413EAB"/>
    <w:lvl w:ilvl="0" w:tentative="0">
      <w:start w:val="1"/>
      <w:numFmt w:val="decimal"/>
      <w:suff w:val="nothing"/>
      <w:lvlText w:val="（%1）"/>
      <w:lvlJc w:val="left"/>
      <w:pPr>
        <w:ind w:left="-120"/>
      </w:pPr>
    </w:lvl>
  </w:abstractNum>
  <w:num w:numId="1">
    <w:abstractNumId w:val="1"/>
  </w:num>
  <w:num w:numId="2">
    <w:abstractNumId w:val="4"/>
  </w:num>
  <w:num w:numId="3">
    <w:abstractNumId w:val="3"/>
  </w:num>
  <w:num w:numId="4">
    <w:abstractNumId w:val="6"/>
  </w:num>
  <w:num w:numId="5">
    <w:abstractNumId w:val="0"/>
  </w:num>
  <w:num w:numId="6">
    <w:abstractNumId w:val="8"/>
  </w:num>
  <w:num w:numId="7">
    <w:abstractNumId w:val="5"/>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ZWEzZjZiMjlkOWVhNmJmNzNjNTg1MzljNDY3ZWE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17ED"/>
    <w:rsid w:val="00092899"/>
    <w:rsid w:val="000935E2"/>
    <w:rsid w:val="000956A2"/>
    <w:rsid w:val="000A178E"/>
    <w:rsid w:val="000A557E"/>
    <w:rsid w:val="000B058F"/>
    <w:rsid w:val="000B693F"/>
    <w:rsid w:val="000B7032"/>
    <w:rsid w:val="000C09AC"/>
    <w:rsid w:val="000C0A63"/>
    <w:rsid w:val="000C32A2"/>
    <w:rsid w:val="000C437E"/>
    <w:rsid w:val="000E5F16"/>
    <w:rsid w:val="000F4452"/>
    <w:rsid w:val="000F6DA1"/>
    <w:rsid w:val="000F701B"/>
    <w:rsid w:val="001056A0"/>
    <w:rsid w:val="001056FF"/>
    <w:rsid w:val="00115279"/>
    <w:rsid w:val="00117459"/>
    <w:rsid w:val="0011749A"/>
    <w:rsid w:val="00127A68"/>
    <w:rsid w:val="00140B13"/>
    <w:rsid w:val="00141B68"/>
    <w:rsid w:val="00145D8A"/>
    <w:rsid w:val="001466DA"/>
    <w:rsid w:val="00154DE1"/>
    <w:rsid w:val="00155B40"/>
    <w:rsid w:val="00157435"/>
    <w:rsid w:val="00163EEA"/>
    <w:rsid w:val="00167A07"/>
    <w:rsid w:val="0017046A"/>
    <w:rsid w:val="001704A3"/>
    <w:rsid w:val="0017504D"/>
    <w:rsid w:val="00177422"/>
    <w:rsid w:val="00184F10"/>
    <w:rsid w:val="00185546"/>
    <w:rsid w:val="0019146B"/>
    <w:rsid w:val="00191DE7"/>
    <w:rsid w:val="00194398"/>
    <w:rsid w:val="001A7D2A"/>
    <w:rsid w:val="001B574C"/>
    <w:rsid w:val="001C0AF9"/>
    <w:rsid w:val="001C155A"/>
    <w:rsid w:val="001C48C0"/>
    <w:rsid w:val="001D6726"/>
    <w:rsid w:val="001E6D5B"/>
    <w:rsid w:val="001F3347"/>
    <w:rsid w:val="001F4440"/>
    <w:rsid w:val="001F69E4"/>
    <w:rsid w:val="00206A65"/>
    <w:rsid w:val="00212D31"/>
    <w:rsid w:val="002130C7"/>
    <w:rsid w:val="00213AB2"/>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92D29"/>
    <w:rsid w:val="00294CC4"/>
    <w:rsid w:val="002A168C"/>
    <w:rsid w:val="002A2C48"/>
    <w:rsid w:val="002A3EED"/>
    <w:rsid w:val="002A4A39"/>
    <w:rsid w:val="002A5A17"/>
    <w:rsid w:val="002A6425"/>
    <w:rsid w:val="002B1717"/>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56E76"/>
    <w:rsid w:val="0036485B"/>
    <w:rsid w:val="00373B0D"/>
    <w:rsid w:val="00376907"/>
    <w:rsid w:val="00376988"/>
    <w:rsid w:val="00381A72"/>
    <w:rsid w:val="003A1948"/>
    <w:rsid w:val="003B152A"/>
    <w:rsid w:val="003B545B"/>
    <w:rsid w:val="003C2BCF"/>
    <w:rsid w:val="003D3EE9"/>
    <w:rsid w:val="003E7681"/>
    <w:rsid w:val="003F0809"/>
    <w:rsid w:val="003F611C"/>
    <w:rsid w:val="003F755C"/>
    <w:rsid w:val="003F7875"/>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D298D"/>
    <w:rsid w:val="004E5B30"/>
    <w:rsid w:val="004F0779"/>
    <w:rsid w:val="004F1230"/>
    <w:rsid w:val="004F173F"/>
    <w:rsid w:val="004F177C"/>
    <w:rsid w:val="004F2DCE"/>
    <w:rsid w:val="004F6BE4"/>
    <w:rsid w:val="005039CB"/>
    <w:rsid w:val="0050558F"/>
    <w:rsid w:val="005057E0"/>
    <w:rsid w:val="00506286"/>
    <w:rsid w:val="00506E19"/>
    <w:rsid w:val="00510813"/>
    <w:rsid w:val="00511DE0"/>
    <w:rsid w:val="00517F02"/>
    <w:rsid w:val="00524547"/>
    <w:rsid w:val="005258A2"/>
    <w:rsid w:val="00530F7C"/>
    <w:rsid w:val="00534567"/>
    <w:rsid w:val="00534F43"/>
    <w:rsid w:val="00535A84"/>
    <w:rsid w:val="00536889"/>
    <w:rsid w:val="00542E07"/>
    <w:rsid w:val="005467EA"/>
    <w:rsid w:val="00554A7B"/>
    <w:rsid w:val="0055572C"/>
    <w:rsid w:val="0056064F"/>
    <w:rsid w:val="00561B84"/>
    <w:rsid w:val="00571D98"/>
    <w:rsid w:val="005720AE"/>
    <w:rsid w:val="0058030D"/>
    <w:rsid w:val="00582045"/>
    <w:rsid w:val="00590AE3"/>
    <w:rsid w:val="005918F1"/>
    <w:rsid w:val="005A06B7"/>
    <w:rsid w:val="005A1759"/>
    <w:rsid w:val="005D0369"/>
    <w:rsid w:val="005D1CB5"/>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909"/>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C79BB"/>
    <w:rsid w:val="006D170E"/>
    <w:rsid w:val="006E06AF"/>
    <w:rsid w:val="006F1789"/>
    <w:rsid w:val="0070277A"/>
    <w:rsid w:val="00705009"/>
    <w:rsid w:val="00706C5D"/>
    <w:rsid w:val="007118E6"/>
    <w:rsid w:val="00716C59"/>
    <w:rsid w:val="007225C9"/>
    <w:rsid w:val="00735CD7"/>
    <w:rsid w:val="00754034"/>
    <w:rsid w:val="00754BF1"/>
    <w:rsid w:val="00755A30"/>
    <w:rsid w:val="00755E1C"/>
    <w:rsid w:val="00756556"/>
    <w:rsid w:val="0076132B"/>
    <w:rsid w:val="007623AE"/>
    <w:rsid w:val="007643A4"/>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47D"/>
    <w:rsid w:val="00820568"/>
    <w:rsid w:val="00831A80"/>
    <w:rsid w:val="008332C8"/>
    <w:rsid w:val="00833743"/>
    <w:rsid w:val="008340A4"/>
    <w:rsid w:val="00836799"/>
    <w:rsid w:val="00837028"/>
    <w:rsid w:val="00837131"/>
    <w:rsid w:val="00841C96"/>
    <w:rsid w:val="00842A48"/>
    <w:rsid w:val="00845F57"/>
    <w:rsid w:val="008521E0"/>
    <w:rsid w:val="008525B0"/>
    <w:rsid w:val="00867CBC"/>
    <w:rsid w:val="00874C27"/>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7645"/>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32C0"/>
    <w:rsid w:val="009A72C7"/>
    <w:rsid w:val="009B0897"/>
    <w:rsid w:val="009D0852"/>
    <w:rsid w:val="009D1FBF"/>
    <w:rsid w:val="009E399C"/>
    <w:rsid w:val="009E43C1"/>
    <w:rsid w:val="009E7E95"/>
    <w:rsid w:val="009F116F"/>
    <w:rsid w:val="009F329E"/>
    <w:rsid w:val="009F7ED3"/>
    <w:rsid w:val="00A03607"/>
    <w:rsid w:val="00A047FF"/>
    <w:rsid w:val="00A04FEF"/>
    <w:rsid w:val="00A074D3"/>
    <w:rsid w:val="00A122CD"/>
    <w:rsid w:val="00A12A32"/>
    <w:rsid w:val="00A14248"/>
    <w:rsid w:val="00A14947"/>
    <w:rsid w:val="00A23DC5"/>
    <w:rsid w:val="00A26DF2"/>
    <w:rsid w:val="00A328AF"/>
    <w:rsid w:val="00A34028"/>
    <w:rsid w:val="00A35568"/>
    <w:rsid w:val="00A36CF1"/>
    <w:rsid w:val="00A37056"/>
    <w:rsid w:val="00A40CE8"/>
    <w:rsid w:val="00A4358F"/>
    <w:rsid w:val="00A46F67"/>
    <w:rsid w:val="00A54AA1"/>
    <w:rsid w:val="00A568FF"/>
    <w:rsid w:val="00A57DCC"/>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3EA"/>
    <w:rsid w:val="00AB1914"/>
    <w:rsid w:val="00AB5330"/>
    <w:rsid w:val="00AB7747"/>
    <w:rsid w:val="00AC2532"/>
    <w:rsid w:val="00AD1507"/>
    <w:rsid w:val="00AD5A70"/>
    <w:rsid w:val="00AD738B"/>
    <w:rsid w:val="00AE1BF4"/>
    <w:rsid w:val="00AE5D97"/>
    <w:rsid w:val="00AE6794"/>
    <w:rsid w:val="00AF3165"/>
    <w:rsid w:val="00B01110"/>
    <w:rsid w:val="00B02262"/>
    <w:rsid w:val="00B03CEC"/>
    <w:rsid w:val="00B05F79"/>
    <w:rsid w:val="00B1209F"/>
    <w:rsid w:val="00B12AD0"/>
    <w:rsid w:val="00B1744F"/>
    <w:rsid w:val="00B24F30"/>
    <w:rsid w:val="00B31ABF"/>
    <w:rsid w:val="00B335AE"/>
    <w:rsid w:val="00B37CE1"/>
    <w:rsid w:val="00B40ACF"/>
    <w:rsid w:val="00B46BAA"/>
    <w:rsid w:val="00B50B5F"/>
    <w:rsid w:val="00B50F73"/>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4440"/>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87142"/>
    <w:rsid w:val="00C91611"/>
    <w:rsid w:val="00CA0CDC"/>
    <w:rsid w:val="00CA3585"/>
    <w:rsid w:val="00CA3D5A"/>
    <w:rsid w:val="00CA4C7C"/>
    <w:rsid w:val="00CB0183"/>
    <w:rsid w:val="00CB1EA3"/>
    <w:rsid w:val="00CB3C62"/>
    <w:rsid w:val="00CB552C"/>
    <w:rsid w:val="00CB6A9E"/>
    <w:rsid w:val="00CC6181"/>
    <w:rsid w:val="00CC6BE5"/>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574C3"/>
    <w:rsid w:val="00D704B1"/>
    <w:rsid w:val="00D70B63"/>
    <w:rsid w:val="00D72B92"/>
    <w:rsid w:val="00D72ED4"/>
    <w:rsid w:val="00D73F61"/>
    <w:rsid w:val="00D754C0"/>
    <w:rsid w:val="00D776A2"/>
    <w:rsid w:val="00D801C4"/>
    <w:rsid w:val="00D90836"/>
    <w:rsid w:val="00D95896"/>
    <w:rsid w:val="00D95CC6"/>
    <w:rsid w:val="00DA2DA3"/>
    <w:rsid w:val="00DA49BB"/>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1F6A"/>
    <w:rsid w:val="00E6311B"/>
    <w:rsid w:val="00E65D97"/>
    <w:rsid w:val="00E67EFD"/>
    <w:rsid w:val="00E702DC"/>
    <w:rsid w:val="00E71FFB"/>
    <w:rsid w:val="00E755F0"/>
    <w:rsid w:val="00E76D1D"/>
    <w:rsid w:val="00E806F8"/>
    <w:rsid w:val="00E87752"/>
    <w:rsid w:val="00E8793B"/>
    <w:rsid w:val="00E90F81"/>
    <w:rsid w:val="00E91A6D"/>
    <w:rsid w:val="00E9242D"/>
    <w:rsid w:val="00EB041C"/>
    <w:rsid w:val="00EC225A"/>
    <w:rsid w:val="00EC39DB"/>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0FE8"/>
    <w:rsid w:val="00F74345"/>
    <w:rsid w:val="00F74441"/>
    <w:rsid w:val="00F77BEF"/>
    <w:rsid w:val="00F77F30"/>
    <w:rsid w:val="00F82589"/>
    <w:rsid w:val="00F82B19"/>
    <w:rsid w:val="00F90AA7"/>
    <w:rsid w:val="00F9212D"/>
    <w:rsid w:val="00FA301A"/>
    <w:rsid w:val="00FA406A"/>
    <w:rsid w:val="00FA5CB6"/>
    <w:rsid w:val="00FB3FA5"/>
    <w:rsid w:val="00FC66AC"/>
    <w:rsid w:val="00FD18F4"/>
    <w:rsid w:val="00FD6C48"/>
    <w:rsid w:val="00FD74B4"/>
    <w:rsid w:val="00FF6FCE"/>
    <w:rsid w:val="00FF7518"/>
    <w:rsid w:val="00FF7FD8"/>
    <w:rsid w:val="0116312F"/>
    <w:rsid w:val="01192301"/>
    <w:rsid w:val="012B64AF"/>
    <w:rsid w:val="017B2F92"/>
    <w:rsid w:val="019C58C5"/>
    <w:rsid w:val="01B01A56"/>
    <w:rsid w:val="01DD57D7"/>
    <w:rsid w:val="01E233E0"/>
    <w:rsid w:val="01FC419D"/>
    <w:rsid w:val="02184C85"/>
    <w:rsid w:val="02200E75"/>
    <w:rsid w:val="02361C6C"/>
    <w:rsid w:val="025E4620"/>
    <w:rsid w:val="02B5413A"/>
    <w:rsid w:val="02D74F49"/>
    <w:rsid w:val="02E65DB1"/>
    <w:rsid w:val="02F434CA"/>
    <w:rsid w:val="035F3907"/>
    <w:rsid w:val="036C4E78"/>
    <w:rsid w:val="038C34A8"/>
    <w:rsid w:val="03FE6E17"/>
    <w:rsid w:val="04030D72"/>
    <w:rsid w:val="04090D29"/>
    <w:rsid w:val="04320CE1"/>
    <w:rsid w:val="04620439"/>
    <w:rsid w:val="046E0579"/>
    <w:rsid w:val="04A00FE4"/>
    <w:rsid w:val="04A05741"/>
    <w:rsid w:val="04B601BA"/>
    <w:rsid w:val="05416C83"/>
    <w:rsid w:val="05742AC8"/>
    <w:rsid w:val="05BF08E4"/>
    <w:rsid w:val="05C707CB"/>
    <w:rsid w:val="05EA06E6"/>
    <w:rsid w:val="05EF4166"/>
    <w:rsid w:val="06121352"/>
    <w:rsid w:val="06352F05"/>
    <w:rsid w:val="063876A4"/>
    <w:rsid w:val="063A7071"/>
    <w:rsid w:val="063E7D85"/>
    <w:rsid w:val="065344DE"/>
    <w:rsid w:val="06654211"/>
    <w:rsid w:val="06734B80"/>
    <w:rsid w:val="06782317"/>
    <w:rsid w:val="0693539A"/>
    <w:rsid w:val="06A83C28"/>
    <w:rsid w:val="06C83F2F"/>
    <w:rsid w:val="07044E92"/>
    <w:rsid w:val="07060306"/>
    <w:rsid w:val="070875E0"/>
    <w:rsid w:val="07094B63"/>
    <w:rsid w:val="070B46F5"/>
    <w:rsid w:val="071111F3"/>
    <w:rsid w:val="07236A95"/>
    <w:rsid w:val="07293586"/>
    <w:rsid w:val="07295285"/>
    <w:rsid w:val="073A569E"/>
    <w:rsid w:val="07416A2C"/>
    <w:rsid w:val="07466B64"/>
    <w:rsid w:val="07697D31"/>
    <w:rsid w:val="07770C56"/>
    <w:rsid w:val="07A1396F"/>
    <w:rsid w:val="07EA47F3"/>
    <w:rsid w:val="08090EF1"/>
    <w:rsid w:val="082C4FE6"/>
    <w:rsid w:val="085D419D"/>
    <w:rsid w:val="08611265"/>
    <w:rsid w:val="08CE0754"/>
    <w:rsid w:val="08E27D9B"/>
    <w:rsid w:val="09052370"/>
    <w:rsid w:val="092217DD"/>
    <w:rsid w:val="093A7294"/>
    <w:rsid w:val="098F389E"/>
    <w:rsid w:val="0A407D85"/>
    <w:rsid w:val="0A47115C"/>
    <w:rsid w:val="0A692EE2"/>
    <w:rsid w:val="0A7D74C3"/>
    <w:rsid w:val="0A7E3051"/>
    <w:rsid w:val="0A981059"/>
    <w:rsid w:val="0B0409DC"/>
    <w:rsid w:val="0B3F59DA"/>
    <w:rsid w:val="0B446AEB"/>
    <w:rsid w:val="0B4B1C27"/>
    <w:rsid w:val="0B4C595F"/>
    <w:rsid w:val="0B52745A"/>
    <w:rsid w:val="0BD27BF6"/>
    <w:rsid w:val="0BEB09D7"/>
    <w:rsid w:val="0BEF4CA9"/>
    <w:rsid w:val="0BFC1F17"/>
    <w:rsid w:val="0C41302A"/>
    <w:rsid w:val="0C544654"/>
    <w:rsid w:val="0CAE1635"/>
    <w:rsid w:val="0CB67574"/>
    <w:rsid w:val="0CC6110C"/>
    <w:rsid w:val="0CD2437B"/>
    <w:rsid w:val="0D3604D7"/>
    <w:rsid w:val="0D581FA1"/>
    <w:rsid w:val="0D8C3DBA"/>
    <w:rsid w:val="0DC254EA"/>
    <w:rsid w:val="0DE02537"/>
    <w:rsid w:val="0E110D06"/>
    <w:rsid w:val="0E1327A4"/>
    <w:rsid w:val="0E4F1A2E"/>
    <w:rsid w:val="0E97726C"/>
    <w:rsid w:val="0E9A31FA"/>
    <w:rsid w:val="0EA0672E"/>
    <w:rsid w:val="0EB9159E"/>
    <w:rsid w:val="0EC139A5"/>
    <w:rsid w:val="0ECA7307"/>
    <w:rsid w:val="0ED04A7F"/>
    <w:rsid w:val="0ED17560"/>
    <w:rsid w:val="0ED86994"/>
    <w:rsid w:val="0EDE2634"/>
    <w:rsid w:val="0EDF41CE"/>
    <w:rsid w:val="0EE938C5"/>
    <w:rsid w:val="0F13775A"/>
    <w:rsid w:val="0F1400F3"/>
    <w:rsid w:val="0F9A112B"/>
    <w:rsid w:val="0F9B0EE8"/>
    <w:rsid w:val="0FA47B58"/>
    <w:rsid w:val="106D2F64"/>
    <w:rsid w:val="10B63710"/>
    <w:rsid w:val="10C748A9"/>
    <w:rsid w:val="10D0497D"/>
    <w:rsid w:val="11196E46"/>
    <w:rsid w:val="111C2F7A"/>
    <w:rsid w:val="113013DE"/>
    <w:rsid w:val="11354D09"/>
    <w:rsid w:val="113F3298"/>
    <w:rsid w:val="11427629"/>
    <w:rsid w:val="115C1318"/>
    <w:rsid w:val="11D64A53"/>
    <w:rsid w:val="11F438BD"/>
    <w:rsid w:val="12137217"/>
    <w:rsid w:val="12207F5A"/>
    <w:rsid w:val="122B06C2"/>
    <w:rsid w:val="1247646D"/>
    <w:rsid w:val="1288550F"/>
    <w:rsid w:val="12891287"/>
    <w:rsid w:val="13207E3D"/>
    <w:rsid w:val="134B14A3"/>
    <w:rsid w:val="13540DDF"/>
    <w:rsid w:val="135B2C24"/>
    <w:rsid w:val="138008DC"/>
    <w:rsid w:val="13951726"/>
    <w:rsid w:val="139D4FEA"/>
    <w:rsid w:val="13F82317"/>
    <w:rsid w:val="14090A6B"/>
    <w:rsid w:val="14396509"/>
    <w:rsid w:val="1447165C"/>
    <w:rsid w:val="144F70E7"/>
    <w:rsid w:val="147F6DE6"/>
    <w:rsid w:val="14832432"/>
    <w:rsid w:val="14891A12"/>
    <w:rsid w:val="14CA3783"/>
    <w:rsid w:val="14D62EA9"/>
    <w:rsid w:val="14DE6AC3"/>
    <w:rsid w:val="15080C4C"/>
    <w:rsid w:val="163D7D3F"/>
    <w:rsid w:val="16406D45"/>
    <w:rsid w:val="166F3AAC"/>
    <w:rsid w:val="16761CAC"/>
    <w:rsid w:val="167C3906"/>
    <w:rsid w:val="16A050E7"/>
    <w:rsid w:val="16B32D77"/>
    <w:rsid w:val="16B70934"/>
    <w:rsid w:val="16C0184E"/>
    <w:rsid w:val="16C049EB"/>
    <w:rsid w:val="16D43419"/>
    <w:rsid w:val="16F75761"/>
    <w:rsid w:val="174719BA"/>
    <w:rsid w:val="174C6F5B"/>
    <w:rsid w:val="175E34A2"/>
    <w:rsid w:val="17735226"/>
    <w:rsid w:val="177E15D6"/>
    <w:rsid w:val="17AA301A"/>
    <w:rsid w:val="17B9616B"/>
    <w:rsid w:val="18382023"/>
    <w:rsid w:val="184711C8"/>
    <w:rsid w:val="19282FC7"/>
    <w:rsid w:val="19324AAC"/>
    <w:rsid w:val="19573457"/>
    <w:rsid w:val="19753ABB"/>
    <w:rsid w:val="19791D2D"/>
    <w:rsid w:val="197F6751"/>
    <w:rsid w:val="19B66265"/>
    <w:rsid w:val="19C42A62"/>
    <w:rsid w:val="1A1C66C0"/>
    <w:rsid w:val="1A383CBF"/>
    <w:rsid w:val="1A42393B"/>
    <w:rsid w:val="1A85480C"/>
    <w:rsid w:val="1A917E6A"/>
    <w:rsid w:val="1AA475A6"/>
    <w:rsid w:val="1AA86C9A"/>
    <w:rsid w:val="1AEE3036"/>
    <w:rsid w:val="1B046F80"/>
    <w:rsid w:val="1B3267B5"/>
    <w:rsid w:val="1B3605D2"/>
    <w:rsid w:val="1B745C72"/>
    <w:rsid w:val="1BAA763D"/>
    <w:rsid w:val="1BC25DC8"/>
    <w:rsid w:val="1C2C786B"/>
    <w:rsid w:val="1C306210"/>
    <w:rsid w:val="1C4B541C"/>
    <w:rsid w:val="1C4D086B"/>
    <w:rsid w:val="1C5E7925"/>
    <w:rsid w:val="1C71798C"/>
    <w:rsid w:val="1C784846"/>
    <w:rsid w:val="1C887FC8"/>
    <w:rsid w:val="1CA12B8F"/>
    <w:rsid w:val="1CAE3888"/>
    <w:rsid w:val="1CBD66FD"/>
    <w:rsid w:val="1CF9105E"/>
    <w:rsid w:val="1D010337"/>
    <w:rsid w:val="1D2C1D8C"/>
    <w:rsid w:val="1D3E0516"/>
    <w:rsid w:val="1D3F6B67"/>
    <w:rsid w:val="1D4D437C"/>
    <w:rsid w:val="1D5F6196"/>
    <w:rsid w:val="1D6132A5"/>
    <w:rsid w:val="1D8E56D5"/>
    <w:rsid w:val="1DD261D8"/>
    <w:rsid w:val="1DEE0204"/>
    <w:rsid w:val="1E585C2B"/>
    <w:rsid w:val="1E7A43DA"/>
    <w:rsid w:val="1EB277FE"/>
    <w:rsid w:val="1EF26A6D"/>
    <w:rsid w:val="1EF459B7"/>
    <w:rsid w:val="1F27149D"/>
    <w:rsid w:val="1F445DF9"/>
    <w:rsid w:val="1F79043D"/>
    <w:rsid w:val="1F9A0F77"/>
    <w:rsid w:val="1FAA158F"/>
    <w:rsid w:val="1FBC624F"/>
    <w:rsid w:val="1FDC23C2"/>
    <w:rsid w:val="1FE7539E"/>
    <w:rsid w:val="208760CA"/>
    <w:rsid w:val="20934622"/>
    <w:rsid w:val="20963CB8"/>
    <w:rsid w:val="20AC7E8A"/>
    <w:rsid w:val="20B07FB6"/>
    <w:rsid w:val="20B64F56"/>
    <w:rsid w:val="20E22BD6"/>
    <w:rsid w:val="20EB5B99"/>
    <w:rsid w:val="210963B5"/>
    <w:rsid w:val="213B74B1"/>
    <w:rsid w:val="213F0339"/>
    <w:rsid w:val="21527C09"/>
    <w:rsid w:val="215A2310"/>
    <w:rsid w:val="215D5AE0"/>
    <w:rsid w:val="21980195"/>
    <w:rsid w:val="21DE318A"/>
    <w:rsid w:val="21E47FDC"/>
    <w:rsid w:val="21E8640D"/>
    <w:rsid w:val="21EF5B80"/>
    <w:rsid w:val="22576990"/>
    <w:rsid w:val="2265586D"/>
    <w:rsid w:val="229C4EAB"/>
    <w:rsid w:val="22A17920"/>
    <w:rsid w:val="22AC6FF8"/>
    <w:rsid w:val="22BB5B78"/>
    <w:rsid w:val="22F27D28"/>
    <w:rsid w:val="230113BE"/>
    <w:rsid w:val="2324026E"/>
    <w:rsid w:val="23244DE0"/>
    <w:rsid w:val="235B1B89"/>
    <w:rsid w:val="23B95E70"/>
    <w:rsid w:val="23E40A13"/>
    <w:rsid w:val="24156E1F"/>
    <w:rsid w:val="24572958"/>
    <w:rsid w:val="24EC1890"/>
    <w:rsid w:val="24EC7B7F"/>
    <w:rsid w:val="24EE1153"/>
    <w:rsid w:val="24F724E1"/>
    <w:rsid w:val="25097E75"/>
    <w:rsid w:val="252D53FE"/>
    <w:rsid w:val="253A13A7"/>
    <w:rsid w:val="25457290"/>
    <w:rsid w:val="25566370"/>
    <w:rsid w:val="258E7B77"/>
    <w:rsid w:val="25BA5ED0"/>
    <w:rsid w:val="25D71F0E"/>
    <w:rsid w:val="25EC2D81"/>
    <w:rsid w:val="25EF003E"/>
    <w:rsid w:val="25F04C5B"/>
    <w:rsid w:val="261A136B"/>
    <w:rsid w:val="262A77A8"/>
    <w:rsid w:val="262D66AB"/>
    <w:rsid w:val="264528BD"/>
    <w:rsid w:val="264D1DB5"/>
    <w:rsid w:val="2657653E"/>
    <w:rsid w:val="266D761C"/>
    <w:rsid w:val="26AA2B5D"/>
    <w:rsid w:val="26AF1003"/>
    <w:rsid w:val="26DF450B"/>
    <w:rsid w:val="26FE1DEC"/>
    <w:rsid w:val="27070CA1"/>
    <w:rsid w:val="27154B1C"/>
    <w:rsid w:val="27402404"/>
    <w:rsid w:val="27441EF5"/>
    <w:rsid w:val="27565784"/>
    <w:rsid w:val="278D6C42"/>
    <w:rsid w:val="27D15DD1"/>
    <w:rsid w:val="28416434"/>
    <w:rsid w:val="288519FA"/>
    <w:rsid w:val="28A40771"/>
    <w:rsid w:val="28A76295"/>
    <w:rsid w:val="28BE5CD7"/>
    <w:rsid w:val="28E03E9F"/>
    <w:rsid w:val="291E06B3"/>
    <w:rsid w:val="29206EB8"/>
    <w:rsid w:val="29483670"/>
    <w:rsid w:val="29581178"/>
    <w:rsid w:val="296E2555"/>
    <w:rsid w:val="296F5223"/>
    <w:rsid w:val="29752BCD"/>
    <w:rsid w:val="297848C3"/>
    <w:rsid w:val="299707D5"/>
    <w:rsid w:val="29A23146"/>
    <w:rsid w:val="29B774D7"/>
    <w:rsid w:val="29CF181E"/>
    <w:rsid w:val="29D3130E"/>
    <w:rsid w:val="29E325E0"/>
    <w:rsid w:val="29EE6148"/>
    <w:rsid w:val="29F87F8C"/>
    <w:rsid w:val="2A111EE5"/>
    <w:rsid w:val="2A452503"/>
    <w:rsid w:val="2A53237A"/>
    <w:rsid w:val="2ADC2444"/>
    <w:rsid w:val="2AF62A08"/>
    <w:rsid w:val="2B041334"/>
    <w:rsid w:val="2B1C6A8F"/>
    <w:rsid w:val="2B5467D3"/>
    <w:rsid w:val="2BA936A8"/>
    <w:rsid w:val="2BDC16D9"/>
    <w:rsid w:val="2C1D08C6"/>
    <w:rsid w:val="2C315A5A"/>
    <w:rsid w:val="2D213BE5"/>
    <w:rsid w:val="2D527360"/>
    <w:rsid w:val="2D766B80"/>
    <w:rsid w:val="2D9E56F5"/>
    <w:rsid w:val="2DA26CAA"/>
    <w:rsid w:val="2DCA3526"/>
    <w:rsid w:val="2E0D461C"/>
    <w:rsid w:val="2E266696"/>
    <w:rsid w:val="2E667F96"/>
    <w:rsid w:val="2E8226AB"/>
    <w:rsid w:val="2F062A5A"/>
    <w:rsid w:val="2F102604"/>
    <w:rsid w:val="2F381AC1"/>
    <w:rsid w:val="2F4A5401"/>
    <w:rsid w:val="2F832C79"/>
    <w:rsid w:val="2FA15A0A"/>
    <w:rsid w:val="2FEF2D58"/>
    <w:rsid w:val="2FFA361D"/>
    <w:rsid w:val="2FFA3A98"/>
    <w:rsid w:val="30177C18"/>
    <w:rsid w:val="30422D49"/>
    <w:rsid w:val="305111DE"/>
    <w:rsid w:val="30580BC9"/>
    <w:rsid w:val="30712A76"/>
    <w:rsid w:val="30A431D5"/>
    <w:rsid w:val="30B41ABE"/>
    <w:rsid w:val="31095983"/>
    <w:rsid w:val="311E2ED7"/>
    <w:rsid w:val="315C449C"/>
    <w:rsid w:val="31B82709"/>
    <w:rsid w:val="31E2090F"/>
    <w:rsid w:val="321B19F6"/>
    <w:rsid w:val="322C193C"/>
    <w:rsid w:val="323B5CA2"/>
    <w:rsid w:val="32400B34"/>
    <w:rsid w:val="328214F9"/>
    <w:rsid w:val="329E6876"/>
    <w:rsid w:val="32B15937"/>
    <w:rsid w:val="32C5169D"/>
    <w:rsid w:val="32E36C6D"/>
    <w:rsid w:val="32E66BCB"/>
    <w:rsid w:val="331F0544"/>
    <w:rsid w:val="33C66680"/>
    <w:rsid w:val="33D934D4"/>
    <w:rsid w:val="33F87555"/>
    <w:rsid w:val="33FE2F6A"/>
    <w:rsid w:val="34412133"/>
    <w:rsid w:val="34565015"/>
    <w:rsid w:val="34770C5B"/>
    <w:rsid w:val="34843406"/>
    <w:rsid w:val="34DD2DA9"/>
    <w:rsid w:val="34F94DD2"/>
    <w:rsid w:val="34FC6768"/>
    <w:rsid w:val="351A0690"/>
    <w:rsid w:val="3542559A"/>
    <w:rsid w:val="35872A15"/>
    <w:rsid w:val="35B856A0"/>
    <w:rsid w:val="35DE3514"/>
    <w:rsid w:val="36074A7F"/>
    <w:rsid w:val="36633A19"/>
    <w:rsid w:val="366C2A00"/>
    <w:rsid w:val="36923549"/>
    <w:rsid w:val="36B45DB4"/>
    <w:rsid w:val="36B75FBF"/>
    <w:rsid w:val="36FB4891"/>
    <w:rsid w:val="371B69BE"/>
    <w:rsid w:val="372C6596"/>
    <w:rsid w:val="37350A07"/>
    <w:rsid w:val="377731B9"/>
    <w:rsid w:val="379F2568"/>
    <w:rsid w:val="37BA1D5F"/>
    <w:rsid w:val="37C67279"/>
    <w:rsid w:val="37EB0681"/>
    <w:rsid w:val="380F659E"/>
    <w:rsid w:val="382113AB"/>
    <w:rsid w:val="385A24A2"/>
    <w:rsid w:val="38A35A73"/>
    <w:rsid w:val="38F12CD3"/>
    <w:rsid w:val="38F85BFF"/>
    <w:rsid w:val="38F94775"/>
    <w:rsid w:val="39162FC5"/>
    <w:rsid w:val="392971ED"/>
    <w:rsid w:val="393C11D2"/>
    <w:rsid w:val="39797D93"/>
    <w:rsid w:val="398844F7"/>
    <w:rsid w:val="39FE2691"/>
    <w:rsid w:val="3A8A3C6B"/>
    <w:rsid w:val="3A9C3304"/>
    <w:rsid w:val="3ADE493A"/>
    <w:rsid w:val="3B2C4009"/>
    <w:rsid w:val="3B2D19ED"/>
    <w:rsid w:val="3B3763D1"/>
    <w:rsid w:val="3B3F50E4"/>
    <w:rsid w:val="3B60041E"/>
    <w:rsid w:val="3BCD0F84"/>
    <w:rsid w:val="3C6A7B69"/>
    <w:rsid w:val="3C8A19F5"/>
    <w:rsid w:val="3CA846EA"/>
    <w:rsid w:val="3CDA245A"/>
    <w:rsid w:val="3CEE0A37"/>
    <w:rsid w:val="3CEF23C1"/>
    <w:rsid w:val="3CFA0510"/>
    <w:rsid w:val="3D235CB1"/>
    <w:rsid w:val="3D4001B7"/>
    <w:rsid w:val="3D6D0BDF"/>
    <w:rsid w:val="3D74546A"/>
    <w:rsid w:val="3DB96DD9"/>
    <w:rsid w:val="3DD05CC9"/>
    <w:rsid w:val="3E1B7596"/>
    <w:rsid w:val="3E336BBD"/>
    <w:rsid w:val="3E3A321C"/>
    <w:rsid w:val="3E435D1B"/>
    <w:rsid w:val="3E4E619C"/>
    <w:rsid w:val="3E9073A4"/>
    <w:rsid w:val="3EA465DC"/>
    <w:rsid w:val="3EE23E86"/>
    <w:rsid w:val="3F1221B6"/>
    <w:rsid w:val="3F1C6BE9"/>
    <w:rsid w:val="3F22430F"/>
    <w:rsid w:val="3F47037C"/>
    <w:rsid w:val="3F660E74"/>
    <w:rsid w:val="3FC14FDC"/>
    <w:rsid w:val="3FF83425"/>
    <w:rsid w:val="4047659D"/>
    <w:rsid w:val="40582115"/>
    <w:rsid w:val="405C1C05"/>
    <w:rsid w:val="407A6407"/>
    <w:rsid w:val="40947D31"/>
    <w:rsid w:val="40A23390"/>
    <w:rsid w:val="41687802"/>
    <w:rsid w:val="41704F0E"/>
    <w:rsid w:val="41DB1B40"/>
    <w:rsid w:val="41DC654E"/>
    <w:rsid w:val="420053A8"/>
    <w:rsid w:val="420B0CF5"/>
    <w:rsid w:val="423A3BCC"/>
    <w:rsid w:val="42426BD9"/>
    <w:rsid w:val="42633ABF"/>
    <w:rsid w:val="429B13AB"/>
    <w:rsid w:val="433A6FE6"/>
    <w:rsid w:val="434A3F97"/>
    <w:rsid w:val="4350713C"/>
    <w:rsid w:val="436653E0"/>
    <w:rsid w:val="437E00E5"/>
    <w:rsid w:val="438B7DC3"/>
    <w:rsid w:val="441F642B"/>
    <w:rsid w:val="444477D8"/>
    <w:rsid w:val="445138C5"/>
    <w:rsid w:val="447802E3"/>
    <w:rsid w:val="44786A70"/>
    <w:rsid w:val="44BE6F6F"/>
    <w:rsid w:val="44CD14E0"/>
    <w:rsid w:val="44D0511A"/>
    <w:rsid w:val="44F52B31"/>
    <w:rsid w:val="452C6D04"/>
    <w:rsid w:val="4535412B"/>
    <w:rsid w:val="45886FF9"/>
    <w:rsid w:val="458946E9"/>
    <w:rsid w:val="45955208"/>
    <w:rsid w:val="45B24076"/>
    <w:rsid w:val="45C953D0"/>
    <w:rsid w:val="45D264C6"/>
    <w:rsid w:val="45E710C3"/>
    <w:rsid w:val="45E91B42"/>
    <w:rsid w:val="46037A7C"/>
    <w:rsid w:val="46AE0CE1"/>
    <w:rsid w:val="46C103BD"/>
    <w:rsid w:val="46D955A7"/>
    <w:rsid w:val="47133957"/>
    <w:rsid w:val="47637ABB"/>
    <w:rsid w:val="476475F1"/>
    <w:rsid w:val="4779329E"/>
    <w:rsid w:val="47797541"/>
    <w:rsid w:val="47A04ACD"/>
    <w:rsid w:val="47A07E0C"/>
    <w:rsid w:val="47B12E65"/>
    <w:rsid w:val="47BA744D"/>
    <w:rsid w:val="47D82EAD"/>
    <w:rsid w:val="47EF0A14"/>
    <w:rsid w:val="47F6649C"/>
    <w:rsid w:val="48115924"/>
    <w:rsid w:val="482115B1"/>
    <w:rsid w:val="483B20C2"/>
    <w:rsid w:val="486475F4"/>
    <w:rsid w:val="4870272E"/>
    <w:rsid w:val="488F6768"/>
    <w:rsid w:val="48AC1250"/>
    <w:rsid w:val="48BF072C"/>
    <w:rsid w:val="49061130"/>
    <w:rsid w:val="49105C83"/>
    <w:rsid w:val="493A5233"/>
    <w:rsid w:val="494B3155"/>
    <w:rsid w:val="49630ABF"/>
    <w:rsid w:val="49802E24"/>
    <w:rsid w:val="49836FF4"/>
    <w:rsid w:val="499F795E"/>
    <w:rsid w:val="49AC08C8"/>
    <w:rsid w:val="49DC7715"/>
    <w:rsid w:val="49F509D5"/>
    <w:rsid w:val="4A023139"/>
    <w:rsid w:val="4A7B576F"/>
    <w:rsid w:val="4A8F2BD7"/>
    <w:rsid w:val="4AA25D9B"/>
    <w:rsid w:val="4AB30247"/>
    <w:rsid w:val="4ADB55CF"/>
    <w:rsid w:val="4ADC0E34"/>
    <w:rsid w:val="4AE72F1A"/>
    <w:rsid w:val="4AF16CC6"/>
    <w:rsid w:val="4AF61562"/>
    <w:rsid w:val="4B71435F"/>
    <w:rsid w:val="4BD5286C"/>
    <w:rsid w:val="4BF24DB7"/>
    <w:rsid w:val="4C4A0649"/>
    <w:rsid w:val="4C5B4F27"/>
    <w:rsid w:val="4C687B84"/>
    <w:rsid w:val="4C7A0C2A"/>
    <w:rsid w:val="4C9A7437"/>
    <w:rsid w:val="4CBD57DA"/>
    <w:rsid w:val="4CE470D3"/>
    <w:rsid w:val="4D583248"/>
    <w:rsid w:val="4D5E3D19"/>
    <w:rsid w:val="4DA366D2"/>
    <w:rsid w:val="4DEC4FB0"/>
    <w:rsid w:val="4E032763"/>
    <w:rsid w:val="4E075D8A"/>
    <w:rsid w:val="4E7F7E3F"/>
    <w:rsid w:val="4EE96D5A"/>
    <w:rsid w:val="4F021BCA"/>
    <w:rsid w:val="4F0A3ACB"/>
    <w:rsid w:val="4F166E85"/>
    <w:rsid w:val="4F6C3F02"/>
    <w:rsid w:val="4F74239C"/>
    <w:rsid w:val="4FC62A8C"/>
    <w:rsid w:val="4FDC3661"/>
    <w:rsid w:val="4FE20F0D"/>
    <w:rsid w:val="50504C4B"/>
    <w:rsid w:val="50526B81"/>
    <w:rsid w:val="509C6E7C"/>
    <w:rsid w:val="50DE3953"/>
    <w:rsid w:val="50EE1D49"/>
    <w:rsid w:val="50F25430"/>
    <w:rsid w:val="51002139"/>
    <w:rsid w:val="511737F2"/>
    <w:rsid w:val="5162104E"/>
    <w:rsid w:val="517B2107"/>
    <w:rsid w:val="519252D5"/>
    <w:rsid w:val="51D3784E"/>
    <w:rsid w:val="52531B64"/>
    <w:rsid w:val="5276096C"/>
    <w:rsid w:val="528653D6"/>
    <w:rsid w:val="529138DC"/>
    <w:rsid w:val="52BC07CA"/>
    <w:rsid w:val="52BF00F4"/>
    <w:rsid w:val="52C11D9C"/>
    <w:rsid w:val="52C13A04"/>
    <w:rsid w:val="52C33D66"/>
    <w:rsid w:val="52CB0FEA"/>
    <w:rsid w:val="531B393A"/>
    <w:rsid w:val="53776F78"/>
    <w:rsid w:val="537D67F3"/>
    <w:rsid w:val="53834A64"/>
    <w:rsid w:val="539631B3"/>
    <w:rsid w:val="53A039CC"/>
    <w:rsid w:val="53A1505A"/>
    <w:rsid w:val="53D8236C"/>
    <w:rsid w:val="53E63B03"/>
    <w:rsid w:val="54063E08"/>
    <w:rsid w:val="543437E8"/>
    <w:rsid w:val="54414F42"/>
    <w:rsid w:val="54423D0D"/>
    <w:rsid w:val="547D74E5"/>
    <w:rsid w:val="54BC0A6D"/>
    <w:rsid w:val="54F559EA"/>
    <w:rsid w:val="553D7E00"/>
    <w:rsid w:val="556D367B"/>
    <w:rsid w:val="55713BB8"/>
    <w:rsid w:val="557A4E0F"/>
    <w:rsid w:val="559B174B"/>
    <w:rsid w:val="55AD03B6"/>
    <w:rsid w:val="55B22583"/>
    <w:rsid w:val="55CE0CF4"/>
    <w:rsid w:val="55FE129D"/>
    <w:rsid w:val="56314239"/>
    <w:rsid w:val="563D5BDD"/>
    <w:rsid w:val="564B49F3"/>
    <w:rsid w:val="566E2615"/>
    <w:rsid w:val="56A4631E"/>
    <w:rsid w:val="56B22A9C"/>
    <w:rsid w:val="56E70F64"/>
    <w:rsid w:val="56F17C47"/>
    <w:rsid w:val="57220F78"/>
    <w:rsid w:val="572A6162"/>
    <w:rsid w:val="5748483A"/>
    <w:rsid w:val="57B72A76"/>
    <w:rsid w:val="57D9373C"/>
    <w:rsid w:val="57FB7EB6"/>
    <w:rsid w:val="580B2916"/>
    <w:rsid w:val="583C72C5"/>
    <w:rsid w:val="58690954"/>
    <w:rsid w:val="5886121C"/>
    <w:rsid w:val="591B0FCD"/>
    <w:rsid w:val="591C27F0"/>
    <w:rsid w:val="593F0A7F"/>
    <w:rsid w:val="598D21D5"/>
    <w:rsid w:val="59CD30A1"/>
    <w:rsid w:val="59DE4D08"/>
    <w:rsid w:val="59EB568A"/>
    <w:rsid w:val="59F9130C"/>
    <w:rsid w:val="5A2F3A3B"/>
    <w:rsid w:val="5A3C747D"/>
    <w:rsid w:val="5A46673C"/>
    <w:rsid w:val="5AAB6EF7"/>
    <w:rsid w:val="5ABE2233"/>
    <w:rsid w:val="5B174551"/>
    <w:rsid w:val="5B276D18"/>
    <w:rsid w:val="5B523DE3"/>
    <w:rsid w:val="5B595D6A"/>
    <w:rsid w:val="5B68102D"/>
    <w:rsid w:val="5B892800"/>
    <w:rsid w:val="5BDF5D95"/>
    <w:rsid w:val="5BE26022"/>
    <w:rsid w:val="5C277114"/>
    <w:rsid w:val="5C370C8D"/>
    <w:rsid w:val="5C4550A7"/>
    <w:rsid w:val="5C576A31"/>
    <w:rsid w:val="5C9A72D9"/>
    <w:rsid w:val="5CA6278E"/>
    <w:rsid w:val="5CE22978"/>
    <w:rsid w:val="5CEB0141"/>
    <w:rsid w:val="5D1C479E"/>
    <w:rsid w:val="5D3715D8"/>
    <w:rsid w:val="5D5A5730"/>
    <w:rsid w:val="5DAA75FB"/>
    <w:rsid w:val="5DF63241"/>
    <w:rsid w:val="5DF87A0F"/>
    <w:rsid w:val="5DF94AE0"/>
    <w:rsid w:val="5DFE383B"/>
    <w:rsid w:val="5E5B12F6"/>
    <w:rsid w:val="5E610C8E"/>
    <w:rsid w:val="5E702CD8"/>
    <w:rsid w:val="5EC50A56"/>
    <w:rsid w:val="5EC82E34"/>
    <w:rsid w:val="5EEB267A"/>
    <w:rsid w:val="5F1A2B43"/>
    <w:rsid w:val="5F7A5282"/>
    <w:rsid w:val="5FB837BB"/>
    <w:rsid w:val="5FBD5C9F"/>
    <w:rsid w:val="5FD411A5"/>
    <w:rsid w:val="5FF16DFD"/>
    <w:rsid w:val="60073EE7"/>
    <w:rsid w:val="603212E1"/>
    <w:rsid w:val="608C0265"/>
    <w:rsid w:val="60BD72E4"/>
    <w:rsid w:val="60E052BA"/>
    <w:rsid w:val="613B3D9B"/>
    <w:rsid w:val="617A14EE"/>
    <w:rsid w:val="61DA5734"/>
    <w:rsid w:val="62214A07"/>
    <w:rsid w:val="62364782"/>
    <w:rsid w:val="624B714C"/>
    <w:rsid w:val="624C78D4"/>
    <w:rsid w:val="62607EDA"/>
    <w:rsid w:val="62D84CC4"/>
    <w:rsid w:val="630F3A2B"/>
    <w:rsid w:val="63D40BE9"/>
    <w:rsid w:val="63D81FEC"/>
    <w:rsid w:val="63E0211F"/>
    <w:rsid w:val="63F1265B"/>
    <w:rsid w:val="64570C86"/>
    <w:rsid w:val="64664551"/>
    <w:rsid w:val="64892F28"/>
    <w:rsid w:val="649E427B"/>
    <w:rsid w:val="64A7261E"/>
    <w:rsid w:val="64B96F1B"/>
    <w:rsid w:val="64D26AFD"/>
    <w:rsid w:val="6514048E"/>
    <w:rsid w:val="651671A1"/>
    <w:rsid w:val="651D36C8"/>
    <w:rsid w:val="65246E01"/>
    <w:rsid w:val="65373578"/>
    <w:rsid w:val="65743FD4"/>
    <w:rsid w:val="65B80DDC"/>
    <w:rsid w:val="66817B87"/>
    <w:rsid w:val="6684332F"/>
    <w:rsid w:val="66EC379A"/>
    <w:rsid w:val="66FE3167"/>
    <w:rsid w:val="67236729"/>
    <w:rsid w:val="673A19F8"/>
    <w:rsid w:val="673F2C7A"/>
    <w:rsid w:val="67486190"/>
    <w:rsid w:val="674C5274"/>
    <w:rsid w:val="6787315C"/>
    <w:rsid w:val="67AB6349"/>
    <w:rsid w:val="67AC664C"/>
    <w:rsid w:val="67C05212"/>
    <w:rsid w:val="67E20393"/>
    <w:rsid w:val="67F82F89"/>
    <w:rsid w:val="681F6961"/>
    <w:rsid w:val="682958E4"/>
    <w:rsid w:val="68610A2F"/>
    <w:rsid w:val="68805514"/>
    <w:rsid w:val="68941E82"/>
    <w:rsid w:val="68C4049B"/>
    <w:rsid w:val="68CC52CB"/>
    <w:rsid w:val="68E4552B"/>
    <w:rsid w:val="690411B2"/>
    <w:rsid w:val="69161334"/>
    <w:rsid w:val="694E2071"/>
    <w:rsid w:val="697A3B33"/>
    <w:rsid w:val="699E2456"/>
    <w:rsid w:val="69C9365B"/>
    <w:rsid w:val="6A522A46"/>
    <w:rsid w:val="6AB66412"/>
    <w:rsid w:val="6B322639"/>
    <w:rsid w:val="6B581098"/>
    <w:rsid w:val="6B9D1C9D"/>
    <w:rsid w:val="6BDC5CA0"/>
    <w:rsid w:val="6BE13FF8"/>
    <w:rsid w:val="6BEC29D8"/>
    <w:rsid w:val="6BF211AF"/>
    <w:rsid w:val="6C0A5FEE"/>
    <w:rsid w:val="6C257826"/>
    <w:rsid w:val="6C472C38"/>
    <w:rsid w:val="6C636C38"/>
    <w:rsid w:val="6C8639E2"/>
    <w:rsid w:val="6C952E4F"/>
    <w:rsid w:val="6CB70445"/>
    <w:rsid w:val="6CB93DB8"/>
    <w:rsid w:val="6CDD6E21"/>
    <w:rsid w:val="6CE97FCD"/>
    <w:rsid w:val="6D530E4B"/>
    <w:rsid w:val="6D5F3345"/>
    <w:rsid w:val="6D782168"/>
    <w:rsid w:val="6D9666F8"/>
    <w:rsid w:val="6DB34098"/>
    <w:rsid w:val="6DB545B6"/>
    <w:rsid w:val="6DEC0051"/>
    <w:rsid w:val="6E1830B7"/>
    <w:rsid w:val="6E3A1A77"/>
    <w:rsid w:val="6E4375A0"/>
    <w:rsid w:val="6E514CED"/>
    <w:rsid w:val="6E79491A"/>
    <w:rsid w:val="6E833036"/>
    <w:rsid w:val="6EAB7671"/>
    <w:rsid w:val="6EB34A49"/>
    <w:rsid w:val="6EB563D5"/>
    <w:rsid w:val="6EC63617"/>
    <w:rsid w:val="6F0F5F11"/>
    <w:rsid w:val="6F225983"/>
    <w:rsid w:val="6F366BF8"/>
    <w:rsid w:val="6F371982"/>
    <w:rsid w:val="6F375D8C"/>
    <w:rsid w:val="6F3E23D4"/>
    <w:rsid w:val="6F5973B3"/>
    <w:rsid w:val="6F812C77"/>
    <w:rsid w:val="6FA15528"/>
    <w:rsid w:val="6FD3384E"/>
    <w:rsid w:val="6FFC5590"/>
    <w:rsid w:val="70301DA3"/>
    <w:rsid w:val="704F6117"/>
    <w:rsid w:val="706D1DD0"/>
    <w:rsid w:val="70856B87"/>
    <w:rsid w:val="709C6F3B"/>
    <w:rsid w:val="709D7805"/>
    <w:rsid w:val="70C00BE2"/>
    <w:rsid w:val="70D527EE"/>
    <w:rsid w:val="70E17449"/>
    <w:rsid w:val="70E244AC"/>
    <w:rsid w:val="70F83D34"/>
    <w:rsid w:val="712D51E1"/>
    <w:rsid w:val="713B6D8C"/>
    <w:rsid w:val="715440AF"/>
    <w:rsid w:val="715B5300"/>
    <w:rsid w:val="715F4BD7"/>
    <w:rsid w:val="71985DB9"/>
    <w:rsid w:val="71D27F8A"/>
    <w:rsid w:val="71E80C9B"/>
    <w:rsid w:val="71F744C6"/>
    <w:rsid w:val="71F960CF"/>
    <w:rsid w:val="721902E1"/>
    <w:rsid w:val="726E73F3"/>
    <w:rsid w:val="731F5D5E"/>
    <w:rsid w:val="73B250BD"/>
    <w:rsid w:val="741E793C"/>
    <w:rsid w:val="743F2343"/>
    <w:rsid w:val="74503946"/>
    <w:rsid w:val="745E5CC3"/>
    <w:rsid w:val="747D55C9"/>
    <w:rsid w:val="749B73BF"/>
    <w:rsid w:val="74CA01F8"/>
    <w:rsid w:val="74DE258F"/>
    <w:rsid w:val="74F82FA3"/>
    <w:rsid w:val="752A5F72"/>
    <w:rsid w:val="758D75E2"/>
    <w:rsid w:val="764B19B7"/>
    <w:rsid w:val="76561F35"/>
    <w:rsid w:val="765F4709"/>
    <w:rsid w:val="768B4359"/>
    <w:rsid w:val="769F3E32"/>
    <w:rsid w:val="76A31C46"/>
    <w:rsid w:val="772C2A24"/>
    <w:rsid w:val="774B3261"/>
    <w:rsid w:val="777405B3"/>
    <w:rsid w:val="77762421"/>
    <w:rsid w:val="77DB4978"/>
    <w:rsid w:val="780F09F4"/>
    <w:rsid w:val="782318E1"/>
    <w:rsid w:val="78822CC2"/>
    <w:rsid w:val="789C4F47"/>
    <w:rsid w:val="78A90480"/>
    <w:rsid w:val="78EA70A7"/>
    <w:rsid w:val="78F375A1"/>
    <w:rsid w:val="78FC1134"/>
    <w:rsid w:val="790A5B0F"/>
    <w:rsid w:val="790C16CA"/>
    <w:rsid w:val="79352851"/>
    <w:rsid w:val="795C598E"/>
    <w:rsid w:val="79604987"/>
    <w:rsid w:val="797B1B1F"/>
    <w:rsid w:val="79811327"/>
    <w:rsid w:val="798412AA"/>
    <w:rsid w:val="798B43D9"/>
    <w:rsid w:val="79955265"/>
    <w:rsid w:val="79A44C08"/>
    <w:rsid w:val="79C170B2"/>
    <w:rsid w:val="7A0273AE"/>
    <w:rsid w:val="7A10156F"/>
    <w:rsid w:val="7A1A2023"/>
    <w:rsid w:val="7A282547"/>
    <w:rsid w:val="7A296F40"/>
    <w:rsid w:val="7A2A00A3"/>
    <w:rsid w:val="7A364017"/>
    <w:rsid w:val="7A7D0855"/>
    <w:rsid w:val="7A8265E1"/>
    <w:rsid w:val="7A9C2623"/>
    <w:rsid w:val="7AA03EC1"/>
    <w:rsid w:val="7AF23AA3"/>
    <w:rsid w:val="7B3522E4"/>
    <w:rsid w:val="7B392399"/>
    <w:rsid w:val="7B686D42"/>
    <w:rsid w:val="7B841746"/>
    <w:rsid w:val="7BAD3942"/>
    <w:rsid w:val="7BDD1145"/>
    <w:rsid w:val="7C1F175E"/>
    <w:rsid w:val="7C4A4268"/>
    <w:rsid w:val="7CA6639B"/>
    <w:rsid w:val="7CBA59BC"/>
    <w:rsid w:val="7CFC04D3"/>
    <w:rsid w:val="7D0239FF"/>
    <w:rsid w:val="7D2504A2"/>
    <w:rsid w:val="7D5E40CD"/>
    <w:rsid w:val="7D626CDB"/>
    <w:rsid w:val="7D676E06"/>
    <w:rsid w:val="7D693BED"/>
    <w:rsid w:val="7DC77AA3"/>
    <w:rsid w:val="7DCA7A77"/>
    <w:rsid w:val="7DCE343B"/>
    <w:rsid w:val="7DEE652A"/>
    <w:rsid w:val="7DFC10D5"/>
    <w:rsid w:val="7DFD4AA0"/>
    <w:rsid w:val="7E2D63B4"/>
    <w:rsid w:val="7E311031"/>
    <w:rsid w:val="7E6873EC"/>
    <w:rsid w:val="7ECE04AE"/>
    <w:rsid w:val="7F254ACA"/>
    <w:rsid w:val="7F671451"/>
    <w:rsid w:val="7FE47E50"/>
    <w:rsid w:val="7FEC63B1"/>
    <w:rsid w:val="7FEF0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semiHidden="0" w:name="caption" w:locked="1"/>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84"/>
    <w:qFormat/>
    <w:locked/>
    <w:uiPriority w:val="0"/>
    <w:pPr>
      <w:keepNext/>
      <w:keepLines/>
      <w:ind w:firstLine="0" w:firstLineChars="0"/>
      <w:outlineLvl w:val="1"/>
    </w:pPr>
    <w:rPr>
      <w:b/>
      <w:bCs/>
      <w:szCs w:val="32"/>
    </w:rPr>
  </w:style>
  <w:style w:type="paragraph" w:styleId="6">
    <w:name w:val="heading 3"/>
    <w:basedOn w:val="1"/>
    <w:next w:val="1"/>
    <w:link w:val="37"/>
    <w:qFormat/>
    <w:locked/>
    <w:uiPriority w:val="0"/>
    <w:pPr>
      <w:keepLines/>
      <w:spacing w:line="240" w:lineRule="auto"/>
      <w:textAlignment w:val="baseline"/>
      <w:outlineLvl w:val="2"/>
    </w:pPr>
    <w:rPr>
      <w:rFonts w:ascii="Times New Roman" w:hAnsi="Times New Roman" w:eastAsia="宋体"/>
      <w:b/>
      <w:kern w:val="0"/>
      <w:sz w:val="21"/>
      <w:szCs w:val="20"/>
    </w:rPr>
  </w:style>
  <w:style w:type="paragraph" w:styleId="7">
    <w:name w:val="heading 4"/>
    <w:basedOn w:val="1"/>
    <w:next w:val="1"/>
    <w:qFormat/>
    <w:locked/>
    <w:uiPriority w:val="0"/>
    <w:pPr>
      <w:spacing w:line="240" w:lineRule="auto"/>
      <w:ind w:firstLine="600" w:firstLineChars="200"/>
      <w:outlineLvl w:val="3"/>
    </w:pPr>
    <w:rPr>
      <w:rFonts w:ascii="Times New Roman" w:hAnsi="Times New Roman" w:eastAsia="宋体"/>
      <w:b/>
      <w:bCs/>
      <w:sz w:val="21"/>
      <w:szCs w:val="28"/>
    </w:rPr>
  </w:style>
  <w:style w:type="paragraph" w:styleId="8">
    <w:name w:val="heading 5"/>
    <w:basedOn w:val="1"/>
    <w:next w:val="1"/>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qFormat/>
    <w:uiPriority w:val="0"/>
    <w:pPr>
      <w:widowControl/>
      <w:spacing w:line="240" w:lineRule="auto"/>
      <w:ind w:firstLine="0" w:firstLineChars="0"/>
      <w:jc w:val="center"/>
    </w:pPr>
    <w:rPr>
      <w:kern w:val="0"/>
      <w:sz w:val="21"/>
      <w:szCs w:val="18"/>
    </w:rPr>
  </w:style>
  <w:style w:type="paragraph" w:styleId="3">
    <w:name w:val="List Bullet 5"/>
    <w:basedOn w:val="1"/>
    <w:qFormat/>
    <w:uiPriority w:val="0"/>
    <w:pPr>
      <w:numPr>
        <w:ilvl w:val="0"/>
        <w:numId w:val="1"/>
      </w:numPr>
    </w:pPr>
  </w:style>
  <w:style w:type="paragraph" w:styleId="9">
    <w:name w:val="Normal Indent"/>
    <w:basedOn w:val="1"/>
    <w:next w:val="1"/>
    <w:qFormat/>
    <w:uiPriority w:val="0"/>
    <w:pPr>
      <w:ind w:firstLine="420"/>
    </w:pPr>
  </w:style>
  <w:style w:type="paragraph" w:styleId="10">
    <w:name w:val="caption"/>
    <w:basedOn w:val="1"/>
    <w:next w:val="1"/>
    <w:unhideWhenUsed/>
    <w:qFormat/>
    <w:locked/>
    <w:uiPriority w:val="0"/>
    <w:pPr>
      <w:keepNext/>
      <w:adjustRightInd w:val="0"/>
      <w:spacing w:line="240" w:lineRule="auto"/>
      <w:ind w:firstLine="0" w:firstLineChars="0"/>
      <w:jc w:val="center"/>
    </w:pPr>
    <w:rPr>
      <w:rFonts w:ascii="Times New Roman" w:hAnsi="Times New Roman" w:eastAsia="宋体" w:cs="Times New Roman"/>
      <w:b/>
      <w:kern w:val="21"/>
      <w:sz w:val="21"/>
      <w:szCs w:val="20"/>
    </w:rPr>
  </w:style>
  <w:style w:type="paragraph" w:styleId="11">
    <w:name w:val="annotation text"/>
    <w:basedOn w:val="1"/>
    <w:link w:val="51"/>
    <w:qFormat/>
    <w:uiPriority w:val="0"/>
    <w:pPr>
      <w:jc w:val="left"/>
    </w:pPr>
    <w:rPr>
      <w:kern w:val="0"/>
      <w:sz w:val="20"/>
    </w:rPr>
  </w:style>
  <w:style w:type="paragraph" w:styleId="12">
    <w:name w:val="Body Text Indent"/>
    <w:basedOn w:val="1"/>
    <w:next w:val="7"/>
    <w:link w:val="52"/>
    <w:semiHidden/>
    <w:qFormat/>
    <w:uiPriority w:val="0"/>
    <w:pPr>
      <w:spacing w:after="120"/>
      <w:ind w:left="420" w:leftChars="200"/>
    </w:pPr>
  </w:style>
  <w:style w:type="paragraph" w:styleId="13">
    <w:name w:val="Plain Text"/>
    <w:basedOn w:val="1"/>
    <w:qFormat/>
    <w:uiPriority w:val="0"/>
    <w:rPr>
      <w:rFonts w:ascii="宋体" w:hAnsi="Courier New" w:cs="Courier New"/>
      <w:szCs w:val="21"/>
    </w:rPr>
  </w:style>
  <w:style w:type="paragraph" w:styleId="14">
    <w:name w:val="Date"/>
    <w:basedOn w:val="1"/>
    <w:next w:val="1"/>
    <w:link w:val="53"/>
    <w:qFormat/>
    <w:uiPriority w:val="0"/>
    <w:pPr>
      <w:ind w:left="100" w:leftChars="2500"/>
    </w:pPr>
    <w:rPr>
      <w:kern w:val="0"/>
      <w:sz w:val="20"/>
    </w:rPr>
  </w:style>
  <w:style w:type="paragraph" w:styleId="15">
    <w:name w:val="Body Text Indent 2"/>
    <w:basedOn w:val="1"/>
    <w:next w:val="1"/>
    <w:qFormat/>
    <w:uiPriority w:val="0"/>
    <w:pPr>
      <w:spacing w:after="120" w:line="480" w:lineRule="auto"/>
      <w:ind w:left="420" w:leftChars="200"/>
    </w:pPr>
  </w:style>
  <w:style w:type="paragraph" w:styleId="16">
    <w:name w:val="Balloon Text"/>
    <w:basedOn w:val="1"/>
    <w:link w:val="54"/>
    <w:semiHidden/>
    <w:qFormat/>
    <w:uiPriority w:val="0"/>
    <w:rPr>
      <w:sz w:val="18"/>
      <w:szCs w:val="18"/>
    </w:rPr>
  </w:style>
  <w:style w:type="paragraph" w:styleId="17">
    <w:name w:val="footer"/>
    <w:basedOn w:val="1"/>
    <w:link w:val="55"/>
    <w:qFormat/>
    <w:uiPriority w:val="0"/>
    <w:pPr>
      <w:tabs>
        <w:tab w:val="center" w:pos="4153"/>
        <w:tab w:val="right" w:pos="8306"/>
      </w:tabs>
      <w:jc w:val="left"/>
    </w:pPr>
    <w:rPr>
      <w:sz w:val="18"/>
      <w:szCs w:val="18"/>
    </w:rPr>
  </w:style>
  <w:style w:type="paragraph" w:styleId="18">
    <w:name w:val="header"/>
    <w:basedOn w:val="1"/>
    <w:link w:val="56"/>
    <w:qFormat/>
    <w:uiPriority w:val="0"/>
    <w:pPr>
      <w:pBdr>
        <w:bottom w:val="single" w:color="auto" w:sz="6" w:space="1"/>
      </w:pBdr>
      <w:tabs>
        <w:tab w:val="center" w:pos="4153"/>
        <w:tab w:val="right" w:pos="8306"/>
      </w:tabs>
      <w:jc w:val="center"/>
    </w:pPr>
    <w:rPr>
      <w:sz w:val="18"/>
      <w:szCs w:val="18"/>
    </w:rPr>
  </w:style>
  <w:style w:type="paragraph" w:styleId="19">
    <w:name w:val="List Continue 4"/>
    <w:basedOn w:val="1"/>
    <w:next w:val="1"/>
    <w:qFormat/>
    <w:uiPriority w:val="0"/>
    <w:pPr>
      <w:widowControl w:val="0"/>
      <w:autoSpaceDE/>
      <w:autoSpaceDN/>
      <w:spacing w:before="0" w:after="120" w:line="360" w:lineRule="auto"/>
      <w:ind w:left="1680" w:firstLine="480"/>
      <w:jc w:val="both"/>
    </w:pPr>
    <w:rPr>
      <w:rFonts w:ascii="宋体" w:eastAsia="宋体"/>
      <w:sz w:val="24"/>
    </w:rPr>
  </w:style>
  <w:style w:type="paragraph" w:styleId="20">
    <w:name w:val="index heading"/>
    <w:basedOn w:val="1"/>
    <w:next w:val="21"/>
    <w:qFormat/>
    <w:uiPriority w:val="99"/>
    <w:rPr>
      <w:rFonts w:hint="eastAsia" w:ascii="Cambria" w:hAnsi="Cambria"/>
      <w:b/>
    </w:rPr>
  </w:style>
  <w:style w:type="paragraph" w:styleId="21">
    <w:name w:val="index 1"/>
    <w:basedOn w:val="1"/>
    <w:next w:val="1"/>
    <w:qFormat/>
    <w:uiPriority w:val="0"/>
    <w:pPr>
      <w:spacing w:line="480" w:lineRule="exact"/>
    </w:pPr>
  </w:style>
  <w:style w:type="paragraph" w:styleId="22">
    <w:name w:val="List"/>
    <w:basedOn w:val="1"/>
    <w:next w:val="1"/>
    <w:unhideWhenUsed/>
    <w:qFormat/>
    <w:uiPriority w:val="99"/>
    <w:pPr>
      <w:ind w:left="200" w:hanging="200" w:hangingChars="200"/>
      <w:contextualSpacing/>
    </w:pPr>
  </w:style>
  <w:style w:type="paragraph" w:styleId="23">
    <w:name w:val="table of figures"/>
    <w:basedOn w:val="1"/>
    <w:next w:val="1"/>
    <w:unhideWhenUsed/>
    <w:qFormat/>
    <w:uiPriority w:val="99"/>
    <w:pPr>
      <w:jc w:val="center"/>
    </w:pPr>
  </w:style>
  <w:style w:type="paragraph" w:styleId="24">
    <w:name w:val="Body Text 2"/>
    <w:basedOn w:val="1"/>
    <w:qFormat/>
    <w:uiPriority w:val="0"/>
    <w:pPr>
      <w:spacing w:after="120" w:line="480" w:lineRule="auto"/>
    </w:pPr>
  </w:style>
  <w:style w:type="paragraph" w:styleId="25">
    <w:name w:val="Normal (Web)"/>
    <w:basedOn w:val="1"/>
    <w:link w:val="57"/>
    <w:qFormat/>
    <w:uiPriority w:val="0"/>
    <w:pPr>
      <w:widowControl/>
      <w:spacing w:before="100" w:beforeAutospacing="1" w:after="100" w:afterAutospacing="1"/>
      <w:jc w:val="left"/>
    </w:pPr>
    <w:rPr>
      <w:rFonts w:ascii="宋体" w:hAnsi="宋体"/>
      <w:kern w:val="0"/>
    </w:rPr>
  </w:style>
  <w:style w:type="paragraph" w:styleId="26">
    <w:name w:val="Title"/>
    <w:basedOn w:val="1"/>
    <w:qFormat/>
    <w:locked/>
    <w:uiPriority w:val="1"/>
    <w:pPr>
      <w:spacing w:line="1239" w:lineRule="exact"/>
      <w:ind w:left="635" w:right="654"/>
      <w:jc w:val="center"/>
    </w:pPr>
    <w:rPr>
      <w:rFonts w:ascii="微软雅黑" w:hAnsi="微软雅黑" w:eastAsia="微软雅黑" w:cs="微软雅黑"/>
      <w:sz w:val="72"/>
      <w:szCs w:val="72"/>
      <w:lang w:val="en-US" w:eastAsia="zh-CN" w:bidi="ar-SA"/>
    </w:rPr>
  </w:style>
  <w:style w:type="paragraph" w:styleId="27">
    <w:name w:val="annotation subject"/>
    <w:basedOn w:val="11"/>
    <w:next w:val="11"/>
    <w:link w:val="58"/>
    <w:semiHidden/>
    <w:qFormat/>
    <w:uiPriority w:val="0"/>
    <w:rPr>
      <w:b/>
      <w:bCs/>
    </w:rPr>
  </w:style>
  <w:style w:type="paragraph" w:styleId="28">
    <w:name w:val="Body Text First Indent"/>
    <w:basedOn w:val="2"/>
    <w:next w:val="1"/>
    <w:qFormat/>
    <w:uiPriority w:val="0"/>
    <w:pPr>
      <w:adjustRightInd/>
      <w:spacing w:after="120"/>
      <w:ind w:firstLine="420" w:firstLineChars="100"/>
    </w:pPr>
    <w:rPr>
      <w:kern w:val="2"/>
      <w:szCs w:val="24"/>
    </w:rPr>
  </w:style>
  <w:style w:type="paragraph" w:styleId="29">
    <w:name w:val="Body Text First Indent 2"/>
    <w:basedOn w:val="1"/>
    <w:next w:val="19"/>
    <w:qFormat/>
    <w:uiPriority w:val="0"/>
    <w:pPr>
      <w:ind w:firstLine="42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qFormat/>
    <w:uiPriority w:val="0"/>
  </w:style>
  <w:style w:type="character" w:styleId="35">
    <w:name w:val="Hyperlink"/>
    <w:basedOn w:val="32"/>
    <w:qFormat/>
    <w:uiPriority w:val="0"/>
    <w:rPr>
      <w:color w:val="0000FF"/>
      <w:u w:val="single"/>
    </w:rPr>
  </w:style>
  <w:style w:type="character" w:styleId="36">
    <w:name w:val="annotation reference"/>
    <w:semiHidden/>
    <w:qFormat/>
    <w:uiPriority w:val="0"/>
    <w:rPr>
      <w:sz w:val="21"/>
    </w:rPr>
  </w:style>
  <w:style w:type="character" w:customStyle="1" w:styleId="37">
    <w:name w:val="标题 3 Char"/>
    <w:link w:val="6"/>
    <w:qFormat/>
    <w:uiPriority w:val="0"/>
    <w:rPr>
      <w:rFonts w:ascii="Times New Roman" w:hAnsi="Times New Roman" w:eastAsia="宋体"/>
      <w:b/>
      <w:kern w:val="0"/>
      <w:sz w:val="21"/>
      <w:szCs w:val="20"/>
    </w:rPr>
  </w:style>
  <w:style w:type="paragraph" w:customStyle="1" w:styleId="38">
    <w:name w:val="Default"/>
    <w:basedOn w:val="39"/>
    <w:next w:val="1"/>
    <w:qFormat/>
    <w:uiPriority w:val="99"/>
    <w:pPr>
      <w:autoSpaceDE w:val="0"/>
      <w:autoSpaceDN w:val="0"/>
    </w:pPr>
    <w:rPr>
      <w:rFonts w:ascii="宋体" w:hAnsi="Calibri" w:cs="宋体"/>
      <w:kern w:val="0"/>
      <w:sz w:val="24"/>
      <w:szCs w:val="24"/>
    </w:rPr>
  </w:style>
  <w:style w:type="paragraph" w:customStyle="1" w:styleId="39">
    <w:name w:val="1 表头"/>
    <w:basedOn w:val="1"/>
    <w:qFormat/>
    <w:uiPriority w:val="0"/>
    <w:pPr>
      <w:spacing w:line="240" w:lineRule="auto"/>
      <w:ind w:firstLine="0" w:firstLineChars="0"/>
      <w:jc w:val="center"/>
    </w:pPr>
    <w:rPr>
      <w:b/>
      <w:color w:val="000000"/>
      <w:sz w:val="21"/>
      <w:szCs w:val="21"/>
    </w:rPr>
  </w:style>
  <w:style w:type="paragraph" w:customStyle="1" w:styleId="40">
    <w:name w:val="默认段落"/>
    <w:basedOn w:val="1"/>
    <w:qFormat/>
    <w:uiPriority w:val="0"/>
  </w:style>
  <w:style w:type="character" w:customStyle="1" w:styleId="41">
    <w:name w:val="正文文本 字符"/>
    <w:link w:val="2"/>
    <w:qFormat/>
    <w:locked/>
    <w:uiPriority w:val="0"/>
    <w:rPr>
      <w:rFonts w:ascii="Times New Roman" w:hAnsi="Times New Roman" w:eastAsia="宋体"/>
      <w:sz w:val="21"/>
    </w:rPr>
  </w:style>
  <w:style w:type="paragraph" w:customStyle="1" w:styleId="42">
    <w:name w:val="正文1"/>
    <w:basedOn w:val="1"/>
    <w:next w:val="1"/>
    <w:qFormat/>
    <w:uiPriority w:val="0"/>
    <w:pPr>
      <w:spacing w:line="500" w:lineRule="atLeast"/>
      <w:ind w:firstLine="567"/>
    </w:pPr>
    <w:rPr>
      <w:sz w:val="28"/>
    </w:rPr>
  </w:style>
  <w:style w:type="paragraph" w:customStyle="1" w:styleId="43">
    <w:name w:val="纯文本1"/>
    <w:basedOn w:val="1"/>
    <w:qFormat/>
    <w:uiPriority w:val="0"/>
    <w:rPr>
      <w:rFonts w:ascii="宋体" w:hAnsi="Courier New" w:cs="Courier New"/>
      <w:kern w:val="2"/>
      <w:sz w:val="21"/>
      <w:szCs w:val="21"/>
    </w:rPr>
  </w:style>
  <w:style w:type="paragraph" w:customStyle="1" w:styleId="44">
    <w:name w:val="表格内"/>
    <w:basedOn w:val="1"/>
    <w:qFormat/>
    <w:uiPriority w:val="0"/>
    <w:pPr>
      <w:widowControl/>
      <w:spacing w:line="240" w:lineRule="auto"/>
      <w:ind w:firstLine="0" w:firstLineChars="0"/>
      <w:jc w:val="center"/>
    </w:pPr>
    <w:rPr>
      <w:snapToGrid w:val="0"/>
      <w:kern w:val="0"/>
      <w:sz w:val="21"/>
      <w:szCs w:val="21"/>
    </w:rPr>
  </w:style>
  <w:style w:type="paragraph" w:customStyle="1" w:styleId="45">
    <w:name w:val="表头"/>
    <w:basedOn w:val="46"/>
    <w:next w:val="1"/>
    <w:qFormat/>
    <w:uiPriority w:val="0"/>
    <w:rPr>
      <w:rFonts w:ascii="黑体" w:eastAsia="黑体"/>
      <w:sz w:val="24"/>
    </w:rPr>
  </w:style>
  <w:style w:type="paragraph" w:customStyle="1" w:styleId="46">
    <w:name w:val="报告表格"/>
    <w:basedOn w:val="1"/>
    <w:qFormat/>
    <w:uiPriority w:val="0"/>
    <w:pPr>
      <w:autoSpaceDE w:val="0"/>
      <w:autoSpaceDN w:val="0"/>
      <w:spacing w:line="240" w:lineRule="auto"/>
      <w:ind w:firstLine="0" w:firstLineChars="0"/>
      <w:jc w:val="center"/>
      <w:textAlignment w:val="baseline"/>
    </w:pPr>
    <w:rPr>
      <w:kern w:val="0"/>
      <w:sz w:val="21"/>
      <w:szCs w:val="20"/>
    </w:rPr>
  </w:style>
  <w:style w:type="paragraph" w:customStyle="1" w:styleId="47">
    <w:name w:val="表格文字"/>
    <w:basedOn w:val="28"/>
    <w:next w:val="1"/>
    <w:qFormat/>
    <w:uiPriority w:val="0"/>
    <w:pPr>
      <w:adjustRightInd w:val="0"/>
      <w:ind w:firstLine="0" w:firstLineChars="0"/>
    </w:pPr>
    <w:rPr>
      <w:szCs w:val="20"/>
    </w:rPr>
  </w:style>
  <w:style w:type="paragraph" w:customStyle="1" w:styleId="48">
    <w:name w:val="表格"/>
    <w:basedOn w:val="1"/>
    <w:next w:val="1"/>
    <w:link w:val="59"/>
    <w:qFormat/>
    <w:uiPriority w:val="0"/>
    <w:pPr>
      <w:spacing w:beforeLines="10" w:afterLines="10" w:line="259" w:lineRule="auto"/>
      <w:jc w:val="center"/>
    </w:pPr>
    <w:rPr>
      <w:rFonts w:ascii="宋体"/>
      <w:kern w:val="0"/>
      <w:sz w:val="20"/>
      <w:szCs w:val="21"/>
    </w:rPr>
  </w:style>
  <w:style w:type="paragraph" w:customStyle="1" w:styleId="49">
    <w:name w:val="样式1"/>
    <w:basedOn w:val="8"/>
    <w:qFormat/>
    <w:uiPriority w:val="0"/>
    <w:pPr>
      <w:spacing w:before="0" w:after="120" w:line="360" w:lineRule="auto"/>
    </w:pPr>
    <w:rPr>
      <w:rFonts w:ascii="宋体" w:hAnsi="宋体"/>
    </w:rPr>
  </w:style>
  <w:style w:type="paragraph" w:customStyle="1" w:styleId="50">
    <w:name w:val="样式 正文文本缩进 + 行距: 1.5 倍行距"/>
    <w:basedOn w:val="12"/>
    <w:qFormat/>
    <w:uiPriority w:val="0"/>
    <w:pPr>
      <w:spacing w:line="360" w:lineRule="auto"/>
      <w:ind w:firstLine="560"/>
    </w:pPr>
    <w:rPr>
      <w:rFonts w:cs="宋体"/>
      <w:sz w:val="28"/>
    </w:rPr>
  </w:style>
  <w:style w:type="character" w:customStyle="1" w:styleId="51">
    <w:name w:val="批注文字 字符"/>
    <w:link w:val="11"/>
    <w:qFormat/>
    <w:locked/>
    <w:uiPriority w:val="0"/>
    <w:rPr>
      <w:rFonts w:ascii="Times New Roman" w:hAnsi="Times New Roman" w:eastAsia="宋体"/>
      <w:sz w:val="24"/>
    </w:rPr>
  </w:style>
  <w:style w:type="character" w:customStyle="1" w:styleId="52">
    <w:name w:val="正文文本缩进 字符"/>
    <w:link w:val="12"/>
    <w:semiHidden/>
    <w:qFormat/>
    <w:locked/>
    <w:uiPriority w:val="0"/>
    <w:rPr>
      <w:rFonts w:ascii="Times New Roman" w:hAnsi="Times New Roman" w:eastAsia="宋体" w:cs="Times New Roman"/>
      <w:sz w:val="24"/>
      <w:szCs w:val="24"/>
    </w:rPr>
  </w:style>
  <w:style w:type="character" w:customStyle="1" w:styleId="53">
    <w:name w:val="日期 字符1"/>
    <w:link w:val="14"/>
    <w:qFormat/>
    <w:locked/>
    <w:uiPriority w:val="0"/>
    <w:rPr>
      <w:rFonts w:ascii="Times New Roman" w:hAnsi="Times New Roman" w:eastAsia="宋体"/>
      <w:sz w:val="24"/>
    </w:rPr>
  </w:style>
  <w:style w:type="character" w:customStyle="1" w:styleId="54">
    <w:name w:val="批注框文本 字符"/>
    <w:link w:val="16"/>
    <w:semiHidden/>
    <w:qFormat/>
    <w:locked/>
    <w:uiPriority w:val="0"/>
    <w:rPr>
      <w:rFonts w:ascii="Times New Roman" w:hAnsi="Times New Roman" w:eastAsia="宋体" w:cs="Times New Roman"/>
      <w:sz w:val="18"/>
      <w:szCs w:val="18"/>
    </w:rPr>
  </w:style>
  <w:style w:type="character" w:customStyle="1" w:styleId="55">
    <w:name w:val="页脚 字符"/>
    <w:link w:val="17"/>
    <w:qFormat/>
    <w:locked/>
    <w:uiPriority w:val="0"/>
    <w:rPr>
      <w:rFonts w:cs="Times New Roman"/>
      <w:sz w:val="18"/>
      <w:szCs w:val="18"/>
    </w:rPr>
  </w:style>
  <w:style w:type="character" w:customStyle="1" w:styleId="56">
    <w:name w:val="页眉 字符"/>
    <w:link w:val="18"/>
    <w:qFormat/>
    <w:locked/>
    <w:uiPriority w:val="0"/>
    <w:rPr>
      <w:rFonts w:cs="Times New Roman"/>
      <w:sz w:val="18"/>
      <w:szCs w:val="18"/>
    </w:rPr>
  </w:style>
  <w:style w:type="character" w:customStyle="1" w:styleId="57">
    <w:name w:val="普通(网站) 字符"/>
    <w:link w:val="25"/>
    <w:qFormat/>
    <w:locked/>
    <w:uiPriority w:val="0"/>
    <w:rPr>
      <w:rFonts w:ascii="宋体" w:hAnsi="宋体" w:eastAsia="宋体"/>
      <w:sz w:val="24"/>
    </w:rPr>
  </w:style>
  <w:style w:type="character" w:customStyle="1" w:styleId="58">
    <w:name w:val="批注主题 字符"/>
    <w:link w:val="27"/>
    <w:semiHidden/>
    <w:qFormat/>
    <w:locked/>
    <w:uiPriority w:val="0"/>
    <w:rPr>
      <w:rFonts w:cs="Times New Roman"/>
      <w:b/>
      <w:bCs/>
      <w:kern w:val="2"/>
      <w:szCs w:val="24"/>
    </w:rPr>
  </w:style>
  <w:style w:type="character" w:customStyle="1" w:styleId="59">
    <w:name w:val="表格 Char"/>
    <w:link w:val="48"/>
    <w:qFormat/>
    <w:locked/>
    <w:uiPriority w:val="0"/>
    <w:rPr>
      <w:rFonts w:ascii="宋体"/>
      <w:sz w:val="21"/>
    </w:rPr>
  </w:style>
  <w:style w:type="character" w:customStyle="1" w:styleId="60">
    <w:name w:val="正文文本 字符1"/>
    <w:semiHidden/>
    <w:qFormat/>
    <w:uiPriority w:val="0"/>
    <w:rPr>
      <w:rFonts w:ascii="Times New Roman" w:hAnsi="Times New Roman" w:eastAsia="宋体" w:cs="Times New Roman"/>
      <w:sz w:val="24"/>
      <w:szCs w:val="24"/>
    </w:rPr>
  </w:style>
  <w:style w:type="character" w:customStyle="1" w:styleId="61">
    <w:name w:val="批注文字 字符1"/>
    <w:semiHidden/>
    <w:qFormat/>
    <w:uiPriority w:val="0"/>
    <w:rPr>
      <w:rFonts w:ascii="Times New Roman" w:hAnsi="Times New Roman" w:eastAsia="宋体" w:cs="Times New Roman"/>
      <w:sz w:val="24"/>
      <w:szCs w:val="24"/>
    </w:rPr>
  </w:style>
  <w:style w:type="character" w:customStyle="1" w:styleId="62">
    <w:name w:val="日期 字符"/>
    <w:semiHidden/>
    <w:qFormat/>
    <w:uiPriority w:val="0"/>
    <w:rPr>
      <w:rFonts w:ascii="Times New Roman" w:hAnsi="Times New Roman" w:eastAsia="宋体" w:cs="Times New Roman"/>
      <w:sz w:val="24"/>
      <w:szCs w:val="24"/>
    </w:rPr>
  </w:style>
  <w:style w:type="character" w:customStyle="1" w:styleId="63">
    <w:name w:val="样式 四号"/>
    <w:qFormat/>
    <w:uiPriority w:val="0"/>
    <w:rPr>
      <w:rFonts w:hint="eastAsia" w:ascii="宋体" w:hAnsi="宋体" w:eastAsia="宋体" w:cs="Times New Roman"/>
      <w:sz w:val="28"/>
      <w:szCs w:val="28"/>
    </w:rPr>
  </w:style>
  <w:style w:type="character" w:customStyle="1" w:styleId="64">
    <w:name w:val="普通(网站) Char"/>
    <w:qFormat/>
    <w:locked/>
    <w:uiPriority w:val="0"/>
    <w:rPr>
      <w:rFonts w:ascii="宋体" w:hAnsi="宋体" w:eastAsia="宋体"/>
      <w:sz w:val="24"/>
    </w:rPr>
  </w:style>
  <w:style w:type="paragraph" w:customStyle="1" w:styleId="65">
    <w:name w:val="1正文段落"/>
    <w:basedOn w:val="1"/>
    <w:qFormat/>
    <w:uiPriority w:val="0"/>
    <w:pPr>
      <w:ind w:firstLine="480"/>
      <w:jc w:val="left"/>
    </w:pPr>
    <w:rPr>
      <w:snapToGrid w:val="0"/>
      <w:kern w:val="0"/>
    </w:rPr>
  </w:style>
  <w:style w:type="paragraph" w:customStyle="1" w:styleId="66">
    <w:name w:val="正文 4"/>
    <w:basedOn w:val="1"/>
    <w:qFormat/>
    <w:uiPriority w:val="0"/>
    <w:pPr>
      <w:autoSpaceDE w:val="0"/>
      <w:autoSpaceDN w:val="0"/>
      <w:spacing w:line="480" w:lineRule="atLeast"/>
      <w:ind w:firstLine="480"/>
    </w:pPr>
    <w:rPr>
      <w:rFonts w:ascii="宋体" w:hAnsi="宋体"/>
    </w:rPr>
  </w:style>
  <w:style w:type="paragraph" w:customStyle="1" w:styleId="67">
    <w:name w:val="报告正文"/>
    <w:basedOn w:val="1"/>
    <w:qFormat/>
    <w:uiPriority w:val="0"/>
    <w:pPr>
      <w:spacing w:line="520" w:lineRule="exact"/>
      <w:ind w:firstLine="488"/>
      <w:jc w:val="left"/>
    </w:pPr>
    <w:rPr>
      <w:bCs/>
      <w:spacing w:val="8"/>
      <w:kern w:val="0"/>
    </w:rPr>
  </w:style>
  <w:style w:type="paragraph" w:customStyle="1" w:styleId="68">
    <w:name w:val="表格的文字"/>
    <w:basedOn w:val="1"/>
    <w:qFormat/>
    <w:uiPriority w:val="0"/>
    <w:pPr>
      <w:spacing w:line="240" w:lineRule="atLeast"/>
      <w:ind w:firstLine="0" w:firstLineChars="0"/>
      <w:jc w:val="center"/>
    </w:pPr>
    <w:rPr>
      <w:rFonts w:ascii="仿宋_GB2312" w:hAnsi="仿宋_GB2312"/>
      <w:bCs/>
      <w:sz w:val="21"/>
      <w:szCs w:val="20"/>
    </w:rPr>
  </w:style>
  <w:style w:type="paragraph" w:customStyle="1" w:styleId="69">
    <w:name w:val="标题三！！！！！！！"/>
    <w:basedOn w:val="6"/>
    <w:qFormat/>
    <w:uiPriority w:val="0"/>
    <w:pPr>
      <w:keepLines w:val="0"/>
      <w:adjustRightInd/>
      <w:spacing w:before="0" w:after="0" w:line="500" w:lineRule="exact"/>
      <w:textAlignment w:val="auto"/>
    </w:pPr>
    <w:rPr>
      <w:rFonts w:ascii="楷体_GB2312" w:hAnsi="楷体_GB2312" w:eastAsia="楷体_GB2312" w:cs="楷体_GB2312"/>
      <w:sz w:val="28"/>
      <w:szCs w:val="28"/>
    </w:rPr>
  </w:style>
  <w:style w:type="paragraph" w:customStyle="1" w:styleId="70">
    <w:name w:val="表文字"/>
    <w:basedOn w:val="1"/>
    <w:qFormat/>
    <w:uiPriority w:val="0"/>
    <w:pPr>
      <w:overflowPunct w:val="0"/>
      <w:autoSpaceDE w:val="0"/>
      <w:autoSpaceDN w:val="0"/>
      <w:spacing w:line="240" w:lineRule="atLeast"/>
      <w:jc w:val="center"/>
      <w:textAlignment w:val="baseline"/>
    </w:pPr>
    <w:rPr>
      <w:kern w:val="0"/>
    </w:rPr>
  </w:style>
  <w:style w:type="paragraph" w:customStyle="1" w:styleId="71">
    <w:name w:val="缩进"/>
    <w:basedOn w:val="1"/>
    <w:qFormat/>
    <w:uiPriority w:val="0"/>
    <w:pPr>
      <w:ind w:firstLine="200"/>
    </w:pPr>
  </w:style>
  <w:style w:type="paragraph" w:customStyle="1" w:styleId="72">
    <w:name w:val="表格后空行"/>
    <w:basedOn w:val="1"/>
    <w:qFormat/>
    <w:uiPriority w:val="0"/>
    <w:pPr>
      <w:widowControl/>
      <w:spacing w:line="240" w:lineRule="exact"/>
      <w:textAlignment w:val="baseline"/>
    </w:pPr>
    <w:rPr>
      <w:rFonts w:ascii="宋体" w:cs="宋体"/>
      <w:color w:val="000000"/>
      <w:kern w:val="0"/>
      <w:sz w:val="18"/>
      <w:szCs w:val="20"/>
      <w:u w:color="000000"/>
    </w:rPr>
  </w:style>
  <w:style w:type="paragraph" w:customStyle="1" w:styleId="73">
    <w:name w:val="正文(首行缩进)"/>
    <w:basedOn w:val="1"/>
    <w:next w:val="5"/>
    <w:qFormat/>
    <w:uiPriority w:val="0"/>
    <w:pPr>
      <w:ind w:firstLine="480"/>
    </w:pPr>
    <w:rPr>
      <w:bCs/>
      <w:color w:val="000000"/>
      <w:kern w:val="24"/>
    </w:rPr>
  </w:style>
  <w:style w:type="paragraph" w:customStyle="1" w:styleId="74">
    <w:name w:val="样式 样式 首行缩进:  1 字符 + 首行缩进:  2 字符1"/>
    <w:basedOn w:val="1"/>
    <w:qFormat/>
    <w:uiPriority w:val="0"/>
    <w:pPr>
      <w:ind w:firstLine="200"/>
    </w:pPr>
    <w:rPr>
      <w:rFonts w:ascii="宋体" w:hAnsi="宋体" w:cs="宋体"/>
      <w:szCs w:val="20"/>
    </w:rPr>
  </w:style>
  <w:style w:type="paragraph" w:customStyle="1" w:styleId="75">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76">
    <w:name w:val="Table Paragraph"/>
    <w:basedOn w:val="1"/>
    <w:qFormat/>
    <w:uiPriority w:val="1"/>
    <w:pPr>
      <w:jc w:val="center"/>
    </w:pPr>
    <w:rPr>
      <w:rFonts w:ascii="宋体" w:hAnsi="宋体" w:cs="宋体"/>
      <w:lang w:val="zh-CN" w:bidi="zh-CN"/>
    </w:rPr>
  </w:style>
  <w:style w:type="paragraph" w:customStyle="1" w:styleId="77">
    <w:name w:val="p0"/>
    <w:basedOn w:val="1"/>
    <w:qFormat/>
    <w:uiPriority w:val="0"/>
    <w:pPr>
      <w:widowControl/>
    </w:pPr>
    <w:rPr>
      <w:kern w:val="0"/>
      <w:szCs w:val="21"/>
    </w:rPr>
  </w:style>
  <w:style w:type="paragraph" w:customStyle="1" w:styleId="78">
    <w:name w:val="0"/>
    <w:basedOn w:val="79"/>
    <w:qFormat/>
    <w:uiPriority w:val="0"/>
    <w:pPr>
      <w:overflowPunct w:val="0"/>
      <w:jc w:val="center"/>
    </w:pPr>
    <w:rPr>
      <w:rFonts w:ascii="Arial" w:hAnsi="Arial" w:eastAsia="仿宋_GB2312" w:cs="Arial"/>
      <w:bCs/>
      <w:snapToGrid w:val="0"/>
      <w:kern w:val="0"/>
      <w:szCs w:val="28"/>
    </w:rPr>
  </w:style>
  <w:style w:type="paragraph" w:customStyle="1" w:styleId="79">
    <w:name w:val="Char"/>
    <w:basedOn w:val="1"/>
    <w:qFormat/>
    <w:uiPriority w:val="0"/>
  </w:style>
  <w:style w:type="paragraph" w:customStyle="1" w:styleId="80">
    <w:name w:val="表内容."/>
    <w:basedOn w:val="1"/>
    <w:qFormat/>
    <w:uiPriority w:val="0"/>
    <w:pPr>
      <w:ind w:left="-36" w:leftChars="-15" w:right="-36" w:rightChars="-15"/>
      <w:jc w:val="center"/>
    </w:pPr>
    <w:rPr>
      <w:rFonts w:ascii="宋体" w:hAnsi="宋体" w:cs="宋体"/>
      <w:bCs/>
      <w:snapToGrid w:val="0"/>
      <w:kern w:val="0"/>
      <w:sz w:val="18"/>
      <w:szCs w:val="18"/>
    </w:rPr>
  </w:style>
  <w:style w:type="paragraph" w:customStyle="1" w:styleId="81">
    <w:name w:val="aa正文 Char Char"/>
    <w:basedOn w:val="1"/>
    <w:qFormat/>
    <w:uiPriority w:val="0"/>
    <w:pPr>
      <w:spacing w:line="500" w:lineRule="exact"/>
      <w:ind w:firstLine="561"/>
    </w:pPr>
  </w:style>
  <w:style w:type="paragraph" w:customStyle="1" w:styleId="82">
    <w:name w:val="报告正文小四"/>
    <w:basedOn w:val="1"/>
    <w:qFormat/>
    <w:uiPriority w:val="0"/>
    <w:pPr>
      <w:ind w:firstLine="200"/>
    </w:pPr>
    <w:rPr>
      <w:szCs w:val="20"/>
    </w:rPr>
  </w:style>
  <w:style w:type="table" w:customStyle="1" w:styleId="83">
    <w:name w:val="Table Normal"/>
    <w:semiHidden/>
    <w:unhideWhenUsed/>
    <w:qFormat/>
    <w:uiPriority w:val="0"/>
    <w:tblPr>
      <w:tblCellMar>
        <w:top w:w="0" w:type="dxa"/>
        <w:left w:w="0" w:type="dxa"/>
        <w:bottom w:w="0" w:type="dxa"/>
        <w:right w:w="0" w:type="dxa"/>
      </w:tblCellMar>
    </w:tblPr>
  </w:style>
  <w:style w:type="character" w:customStyle="1" w:styleId="84">
    <w:name w:val="标题 2 Char1"/>
    <w:link w:val="5"/>
    <w:qFormat/>
    <w:uiPriority w:val="0"/>
    <w:rPr>
      <w:b/>
      <w:bCs/>
      <w:szCs w:val="32"/>
    </w:rPr>
  </w:style>
  <w:style w:type="paragraph" w:customStyle="1" w:styleId="85">
    <w:name w:val="菏泽-正文"/>
    <w:basedOn w:val="1"/>
    <w:qFormat/>
    <w:uiPriority w:val="0"/>
    <w:pPr>
      <w:spacing w:line="440" w:lineRule="exact"/>
      <w:ind w:firstLine="420" w:firstLineChars="200"/>
    </w:pPr>
    <w:rPr>
      <w:rFonts w:ascii="Arial" w:hAnsi="Arial" w:eastAsia="华文细黑"/>
    </w:rPr>
  </w:style>
  <w:style w:type="paragraph" w:customStyle="1" w:styleId="86">
    <w:name w:val="样式 首行缩进:  2 字符1"/>
    <w:basedOn w:val="1"/>
    <w:qFormat/>
    <w:uiPriority w:val="0"/>
    <w:pPr>
      <w:adjustRightInd w:val="0"/>
      <w:snapToGrid w:val="0"/>
      <w:spacing w:line="360" w:lineRule="auto"/>
      <w:ind w:firstLine="480" w:firstLineChars="200"/>
    </w:pPr>
    <w:rPr>
      <w:rFonts w:ascii="Calibri" w:hAnsi="Calibri" w:cs="宋体"/>
      <w:sz w:val="24"/>
    </w:rPr>
  </w:style>
  <w:style w:type="paragraph" w:customStyle="1" w:styleId="87">
    <w:name w:val="武汉院露天-&gt;-5正文"/>
    <w:basedOn w:val="1"/>
    <w:qFormat/>
    <w:uiPriority w:val="0"/>
    <w:pPr>
      <w:spacing w:line="500" w:lineRule="exact"/>
      <w:ind w:firstLine="200" w:firstLineChars="200"/>
    </w:pPr>
    <w:rPr>
      <w:rFonts w:ascii="宋体" w:hAnsi="宋体"/>
      <w:sz w:val="28"/>
    </w:rPr>
  </w:style>
  <w:style w:type="paragraph" w:customStyle="1" w:styleId="88">
    <w:name w:val="！正文"/>
    <w:basedOn w:val="1"/>
    <w:qFormat/>
    <w:uiPriority w:val="0"/>
    <w:rPr>
      <w:kern w:val="0"/>
    </w:rPr>
  </w:style>
  <w:style w:type="paragraph" w:styleId="89">
    <w:name w:val="No Spacing"/>
    <w:basedOn w:val="22"/>
    <w:next w:val="1"/>
    <w:qFormat/>
    <w:uiPriority w:val="1"/>
    <w:pPr>
      <w:spacing w:line="240" w:lineRule="auto"/>
      <w:ind w:left="0" w:firstLine="0" w:firstLineChars="0"/>
      <w:jc w:val="center"/>
    </w:pPr>
    <w:rPr>
      <w:sz w:val="21"/>
    </w:rPr>
  </w:style>
  <w:style w:type="paragraph" w:customStyle="1" w:styleId="90">
    <w:name w:val="Table Text"/>
    <w:basedOn w:val="1"/>
    <w:semiHidden/>
    <w:qFormat/>
    <w:uiPriority w:val="0"/>
    <w:rPr>
      <w:rFonts w:ascii="宋体" w:hAnsi="宋体" w:eastAsia="宋体" w:cs="宋体"/>
      <w:sz w:val="21"/>
      <w:szCs w:val="21"/>
      <w:lang w:val="en-US" w:eastAsia="en-US" w:bidi="ar-SA"/>
    </w:rPr>
  </w:style>
  <w:style w:type="character" w:customStyle="1" w:styleId="91">
    <w:name w:val="font31"/>
    <w:basedOn w:val="32"/>
    <w:qFormat/>
    <w:uiPriority w:val="0"/>
    <w:rPr>
      <w:rFonts w:hint="default" w:ascii="Times New Roman" w:hAnsi="Times New Roman" w:cs="Times New Roman"/>
      <w:color w:val="000000"/>
      <w:sz w:val="24"/>
      <w:szCs w:val="24"/>
      <w:u w:val="none"/>
      <w:vertAlign w:val="subscript"/>
    </w:rPr>
  </w:style>
  <w:style w:type="character" w:customStyle="1" w:styleId="92">
    <w:name w:val="font21"/>
    <w:basedOn w:val="3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U1NzY4Nzg2ODk1IiwKCSJHcm91cElkIiA6ICI0Njc0MjM2NDgiLAoJIkltYWdlIiA6ICJpVkJPUncwS0dnb0FBQUFOU1VoRVVnQUFBM0FBQUFGWkNBWUFBQURaMXMwQUFBQUFDWEJJV1hNQUFBc1RBQUFMRXdFQW1wd1lBQUFnQUVsRVFWUjRuT3pkZTN6UDlmLy84ZnQ3dG1FNUUwbnFJMG1sQSsvbFZFNWhha3dUT1laZitpaVVUb2lRY29ya3F5UWxJaUtOWVRKalRpMVNqbTM3RUQ0aHA0L2piTmdjTm50djcvZnI5OGMrZTMzMnRvMXRabS92N1hhOVhMcTB2VjdQNSt2MWZMLzNmSHE5SHEvbjRTV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"/>
    </extobj>
    <extobj name="ECB019B1-382A-4266-B25C-5B523AA43C14-2">
      <extobjdata type="ECB019B1-382A-4266-B25C-5B523AA43C14" data="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0F95D-1C35-411C-AEFB-DA242982774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95</Pages>
  <Words>23620</Words>
  <Characters>25926</Characters>
  <Lines>255</Lines>
  <Paragraphs>71</Paragraphs>
  <TotalTime>184</TotalTime>
  <ScaleCrop>false</ScaleCrop>
  <LinksUpToDate>false</LinksUpToDate>
  <CharactersWithSpaces>26311</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Administrator</cp:lastModifiedBy>
  <cp:lastPrinted>2023-08-02T03:18:00Z</cp:lastPrinted>
  <dcterms:modified xsi:type="dcterms:W3CDTF">2025-10-13T08:01:41Z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50908767BDFA42299F4A47F080A7186C_13</vt:lpwstr>
  </property>
  <property fmtid="{D5CDD505-2E9C-101B-9397-08002B2CF9AE}" pid="4" name="commondata">
    <vt:lpwstr>eyJoZGlkIjoiZjkyZWEzZjZiMjlkOWVhNmJmNzNjNTg1MzljNDY3ZWEifQ==</vt:lpwstr>
  </property>
  <property fmtid="{D5CDD505-2E9C-101B-9397-08002B2CF9AE}" pid="5" name="KSOTemplateDocerSaveRecord">
    <vt:lpwstr>eyJoZGlkIjoiMWUxMGNkYzJhOWMyN2M5ODE4OTFiOGFlOTgzNDI5MTciLCJ1c2VySWQiOiI0MjE3NTY0MTUifQ==</vt:lpwstr>
  </property>
</Properties>
</file>