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lang w:val="en-US" w:eastAsia="zh-CN"/>
        </w:rPr>
      </w:pPr>
      <w:bookmarkStart w:id="0" w:name="_Hlk57883707"/>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bookmarkEnd w:id="0"/>
    <w:p>
      <w:pPr>
        <w:adjustRightInd w:val="0"/>
        <w:snapToGrid w:val="0"/>
        <w:jc w:val="center"/>
        <w:outlineLvl w:val="9"/>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w:t>
      </w:r>
      <w:r>
        <w:rPr>
          <w:rFonts w:hint="eastAsia" w:ascii="Times New Roman" w:hAnsi="Times New Roman" w:eastAsia="楷体_GB2312" w:cs="Times New Roman"/>
          <w:bCs/>
          <w:color w:val="auto"/>
          <w:sz w:val="48"/>
          <w:szCs w:val="48"/>
          <w:lang w:val="en-US" w:eastAsia="zh-CN"/>
        </w:rPr>
        <w:t>污染</w:t>
      </w:r>
      <w:r>
        <w:rPr>
          <w:rFonts w:hint="default" w:ascii="Times New Roman" w:hAnsi="Times New Roman" w:eastAsia="楷体_GB2312" w:cs="Times New Roman"/>
          <w:bCs/>
          <w:color w:val="auto"/>
          <w:sz w:val="48"/>
          <w:szCs w:val="48"/>
        </w:rPr>
        <w:t>影响类）</w:t>
      </w:r>
    </w:p>
    <w:p>
      <w:pPr>
        <w:adjustRightInd w:val="0"/>
        <w:snapToGrid w:val="0"/>
        <w:spacing w:line="288" w:lineRule="auto"/>
        <w:jc w:val="center"/>
        <w:outlineLvl w:val="9"/>
        <w:rPr>
          <w:rFonts w:hint="default" w:ascii="Times New Roman" w:hAnsi="Times New Roman" w:eastAsia="华文仿宋" w:cs="Times New Roman"/>
          <w:color w:val="auto"/>
          <w:kern w:val="44"/>
          <w:sz w:val="44"/>
          <w:szCs w:val="44"/>
        </w:rPr>
      </w:pPr>
      <w:bookmarkStart w:id="1" w:name="_Hlk57883728"/>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pStyle w:val="26"/>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pStyle w:val="26"/>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pStyle w:val="26"/>
        <w:rPr>
          <w:rFonts w:hint="default"/>
        </w:rPr>
      </w:pPr>
    </w:p>
    <w:p>
      <w:pPr>
        <w:rPr>
          <w:rFonts w:hint="default" w:ascii="Times New Roman" w:hAnsi="Times New Roman" w:eastAsia="仿宋" w:cs="Times New Roman"/>
          <w:color w:val="auto"/>
          <w:sz w:val="44"/>
          <w:szCs w:val="44"/>
        </w:rPr>
      </w:pPr>
    </w:p>
    <w:bookmarkEnd w:id="1"/>
    <w:p>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仿宋_GB2312" w:cs="Times New Roman"/>
          <w:color w:val="auto"/>
          <w:spacing w:val="-11"/>
          <w:kern w:val="0"/>
          <w:sz w:val="36"/>
          <w:szCs w:val="36"/>
          <w:u w:val="single"/>
          <w:lang w:val="en-US"/>
        </w:rPr>
      </w:pPr>
      <w:r>
        <w:rPr>
          <w:rFonts w:hint="default" w:ascii="Times New Roman" w:hAnsi="Times New Roman" w:eastAsia="仿宋_GB2312" w:cs="Times New Roman"/>
          <w:color w:val="auto"/>
          <w:spacing w:val="-11"/>
          <w:kern w:val="0"/>
          <w:sz w:val="36"/>
          <w:szCs w:val="36"/>
        </w:rPr>
        <w:t>项目名称：</w:t>
      </w:r>
      <w:r>
        <w:rPr>
          <w:rFonts w:hint="eastAsia" w:eastAsia="仿宋_GB2312" w:cs="Times New Roman"/>
          <w:color w:val="auto"/>
          <w:spacing w:val="-11"/>
          <w:kern w:val="0"/>
          <w:sz w:val="36"/>
          <w:szCs w:val="36"/>
          <w:u w:val="single"/>
          <w:lang w:val="en-US" w:eastAsia="zh-CN"/>
        </w:rPr>
        <w:t xml:space="preserve">        新疆康喜酒业白酒生产基地建设项目      </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建设单位（盖章）：</w:t>
      </w:r>
      <w:r>
        <w:rPr>
          <w:rFonts w:hint="eastAsia" w:eastAsia="仿宋_GB2312" w:cs="Times New Roman"/>
          <w:color w:val="auto"/>
          <w:sz w:val="36"/>
          <w:szCs w:val="36"/>
          <w:u w:val="single"/>
          <w:lang w:val="en-US" w:eastAsia="zh-CN"/>
        </w:rPr>
        <w:t xml:space="preserve">    新疆康喜酒业有限公司       </w:t>
      </w:r>
      <w:r>
        <w:rPr>
          <w:rFonts w:hint="default" w:ascii="Times New Roman" w:hAnsi="Times New Roman" w:eastAsia="仿宋_GB2312" w:cs="Times New Roman"/>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0" w:firstLine="0" w:firstLineChars="0"/>
        <w:textAlignment w:val="auto"/>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lang w:val="en-US" w:eastAsia="zh-CN"/>
        </w:rPr>
        <w:t xml:space="preserve"> 202</w:t>
      </w:r>
      <w:r>
        <w:rPr>
          <w:rFonts w:hint="eastAsia" w:eastAsia="仿宋_GB2312" w:cs="Times New Roman"/>
          <w:color w:val="auto"/>
          <w:sz w:val="36"/>
          <w:szCs w:val="36"/>
          <w:u w:val="single"/>
          <w:lang w:val="en-US" w:eastAsia="zh-CN"/>
        </w:rPr>
        <w:t>5</w:t>
      </w:r>
      <w:r>
        <w:rPr>
          <w:rFonts w:hint="default" w:ascii="Times New Roman" w:hAnsi="Times New Roman" w:eastAsia="仿宋_GB2312" w:cs="Times New Roman"/>
          <w:color w:val="auto"/>
          <w:sz w:val="36"/>
          <w:szCs w:val="36"/>
          <w:u w:val="single"/>
          <w:lang w:val="en-US" w:eastAsia="zh-CN"/>
        </w:rPr>
        <w:t>年</w:t>
      </w:r>
      <w:r>
        <w:rPr>
          <w:rFonts w:hint="eastAsia" w:eastAsia="仿宋_GB2312" w:cs="Times New Roman"/>
          <w:color w:val="auto"/>
          <w:sz w:val="36"/>
          <w:szCs w:val="36"/>
          <w:u w:val="single"/>
          <w:lang w:val="en-US" w:eastAsia="zh-CN"/>
        </w:rPr>
        <w:t>9</w:t>
      </w:r>
      <w:r>
        <w:rPr>
          <w:rFonts w:hint="default" w:ascii="Times New Roman" w:hAnsi="Times New Roman" w:eastAsia="仿宋_GB2312" w:cs="Times New Roman"/>
          <w:color w:val="auto"/>
          <w:sz w:val="36"/>
          <w:szCs w:val="36"/>
          <w:u w:val="single"/>
          <w:lang w:val="en-US" w:eastAsia="zh-CN"/>
        </w:rPr>
        <w:t xml:space="preserve">月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eastAsia"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eastAsia"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pPr>
        <w:adjustRightInd w:val="0"/>
        <w:snapToGrid w:val="0"/>
        <w:spacing w:line="288" w:lineRule="auto"/>
        <w:rPr>
          <w:rFonts w:hint="default" w:ascii="Times New Roman" w:hAnsi="Times New Roman" w:eastAsia="仿宋_GB2312" w:cs="Times New Roman"/>
          <w:color w:val="auto"/>
          <w:sz w:val="36"/>
          <w:szCs w:val="36"/>
        </w:rPr>
      </w:pPr>
    </w:p>
    <w:p>
      <w:pPr>
        <w:adjustRightInd w:val="0"/>
        <w:snapToGrid w:val="0"/>
        <w:spacing w:line="288" w:lineRule="auto"/>
        <w:rPr>
          <w:rFonts w:hint="default" w:ascii="Times New Roman" w:hAnsi="Times New Roman" w:eastAsia="仿宋_GB2312" w:cs="Times New Roman"/>
          <w:color w:val="auto"/>
          <w:sz w:val="36"/>
          <w:szCs w:val="36"/>
        </w:rPr>
      </w:pPr>
    </w:p>
    <w:p>
      <w:pPr>
        <w:adjustRightInd w:val="0"/>
        <w:snapToGrid w:val="0"/>
        <w:spacing w:line="288" w:lineRule="auto"/>
        <w:rPr>
          <w:rFonts w:hint="default" w:ascii="Times New Roman" w:hAnsi="Times New Roman" w:eastAsia="仿宋_GB2312" w:cs="Times New Roman"/>
          <w:color w:val="auto"/>
          <w:sz w:val="36"/>
          <w:szCs w:val="36"/>
        </w:rPr>
      </w:pPr>
    </w:p>
    <w:p>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rPr>
          <w:color w:val="auto"/>
        </w:rPr>
      </w:pPr>
    </w:p>
    <w:p>
      <w:pPr>
        <w:pStyle w:val="29"/>
        <w:jc w:val="center"/>
        <w:outlineLvl w:val="9"/>
        <w:rPr>
          <w:rFonts w:hint="default" w:ascii="Times New Roman" w:hAnsi="Times New Roman" w:eastAsia="宋体" w:cs="Times New Roman"/>
          <w:snapToGrid w:val="0"/>
          <w:color w:val="auto"/>
          <w:sz w:val="32"/>
          <w:szCs w:val="32"/>
          <w:lang w:val="en-US" w:eastAsia="zh-CN"/>
        </w:rPr>
      </w:pPr>
    </w:p>
    <w:p>
      <w:pPr>
        <w:pStyle w:val="29"/>
        <w:jc w:val="center"/>
        <w:outlineLvl w:val="9"/>
        <w:rPr>
          <w:rFonts w:hint="default" w:ascii="Times New Roman" w:hAnsi="Times New Roman" w:eastAsia="宋体" w:cs="Times New Roman"/>
          <w:snapToGrid w:val="0"/>
          <w:color w:val="auto"/>
          <w:sz w:val="32"/>
          <w:szCs w:val="32"/>
          <w:lang w:val="en-US" w:eastAsia="zh-CN"/>
        </w:rPr>
      </w:pPr>
    </w:p>
    <w:p>
      <w:pPr>
        <w:pStyle w:val="29"/>
        <w:jc w:val="center"/>
        <w:outlineLvl w:val="9"/>
        <w:rPr>
          <w:rFonts w:hint="default" w:ascii="Times New Roman" w:hAnsi="Times New Roman" w:eastAsia="宋体" w:cs="Times New Roman"/>
          <w:snapToGrid w:val="0"/>
          <w:color w:val="auto"/>
          <w:sz w:val="32"/>
          <w:szCs w:val="32"/>
          <w:lang w:val="en-US" w:eastAsia="zh-CN"/>
        </w:rPr>
      </w:pPr>
    </w:p>
    <w:p>
      <w:pPr>
        <w:pStyle w:val="29"/>
        <w:jc w:val="center"/>
        <w:outlineLvl w:val="9"/>
        <w:rPr>
          <w:rFonts w:hint="default" w:ascii="Times New Roman" w:hAnsi="Times New Roman" w:eastAsia="宋体" w:cs="Times New Roman"/>
          <w:snapToGrid w:val="0"/>
          <w:color w:val="auto"/>
          <w:sz w:val="32"/>
          <w:szCs w:val="32"/>
          <w:lang w:val="en-US" w:eastAsia="zh-CN"/>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upperRoman" w:start="1"/>
          <w:cols w:space="720" w:num="1"/>
          <w:docGrid w:linePitch="312" w:charSpace="0"/>
        </w:sectPr>
      </w:pP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eastAsia" w:ascii="黑体" w:hAnsi="黑体" w:eastAsia="黑体" w:cs="黑体"/>
          <w:snapToGrid w:val="0"/>
          <w:sz w:val="30"/>
          <w:szCs w:val="30"/>
          <w:highlight w:val="none"/>
        </w:rPr>
      </w:pPr>
      <w:bookmarkStart w:id="2" w:name="_Toc24139"/>
      <w:r>
        <w:rPr>
          <w:rFonts w:hint="eastAsia" w:ascii="黑体" w:hAnsi="黑体" w:eastAsia="黑体" w:cs="黑体"/>
          <w:snapToGrid w:val="0"/>
          <w:sz w:val="30"/>
          <w:szCs w:val="30"/>
          <w:highlight w:val="none"/>
        </w:rPr>
        <w:t>一、建设项目基本情况</w:t>
      </w:r>
      <w:bookmarkEnd w:id="2"/>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835"/>
        <w:gridCol w:w="1450"/>
        <w:gridCol w:w="1734"/>
        <w:gridCol w:w="2092"/>
        <w:gridCol w:w="275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p>
        </w:tc>
        <w:tc>
          <w:tcPr>
            <w:tcW w:w="6585" w:type="dxa"/>
            <w:gridSpan w:val="3"/>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p>
        </w:tc>
        <w:tc>
          <w:tcPr>
            <w:tcW w:w="6585" w:type="dxa"/>
            <w:gridSpan w:val="3"/>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p>
        </w:tc>
        <w:tc>
          <w:tcPr>
            <w:tcW w:w="173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p>
        </w:tc>
        <w:tc>
          <w:tcPr>
            <w:tcW w:w="209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rPr>
            </w:pPr>
          </w:p>
        </w:tc>
        <w:tc>
          <w:tcPr>
            <w:tcW w:w="275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3"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p>
        </w:tc>
        <w:tc>
          <w:tcPr>
            <w:tcW w:w="6585" w:type="dxa"/>
            <w:gridSpan w:val="3"/>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p>
        </w:tc>
        <w:tc>
          <w:tcPr>
            <w:tcW w:w="6585" w:type="dxa"/>
            <w:gridSpan w:val="3"/>
            <w:tcBorders>
              <w:tl2br w:val="nil"/>
              <w:tr2bl w:val="nil"/>
            </w:tcBorders>
            <w:noWrap w:val="0"/>
            <w:vAlign w:val="center"/>
          </w:tcPr>
          <w:p>
            <w:pPr>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89"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173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C</w:t>
            </w:r>
            <w:r>
              <w:rPr>
                <w:rFonts w:hint="eastAsia" w:cs="Times New Roman"/>
                <w:color w:val="auto"/>
                <w:sz w:val="24"/>
                <w:szCs w:val="24"/>
                <w:highlight w:val="none"/>
                <w:lang w:val="en-US" w:eastAsia="zh-CN"/>
              </w:rPr>
              <w:t>1512</w:t>
            </w:r>
          </w:p>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白酒</w:t>
            </w:r>
            <w:r>
              <w:rPr>
                <w:rFonts w:hint="default" w:ascii="Times New Roman" w:hAnsi="Times New Roman" w:eastAsia="宋体" w:cs="Times New Roman"/>
                <w:color w:val="auto"/>
                <w:sz w:val="24"/>
                <w:szCs w:val="24"/>
                <w:highlight w:val="none"/>
                <w:lang w:val="en-US" w:eastAsia="zh-CN"/>
              </w:rPr>
              <w:t>制造</w:t>
            </w:r>
          </w:p>
        </w:tc>
        <w:tc>
          <w:tcPr>
            <w:tcW w:w="209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rPr>
            </w:pPr>
            <w:bookmarkStart w:id="3" w:name="_Hlk49843745"/>
            <w:r>
              <w:rPr>
                <w:rFonts w:hint="default" w:ascii="Times New Roman" w:hAnsi="Times New Roman" w:eastAsia="宋体" w:cs="Times New Roman"/>
                <w:color w:val="auto"/>
                <w:sz w:val="24"/>
                <w:szCs w:val="24"/>
                <w:highlight w:val="none"/>
              </w:rPr>
              <w:t>建设项目</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bookmarkEnd w:id="3"/>
          </w:p>
        </w:tc>
        <w:tc>
          <w:tcPr>
            <w:tcW w:w="2759" w:type="dxa"/>
            <w:tcBorders>
              <w:tl2br w:val="nil"/>
              <w:tr2bl w:val="nil"/>
            </w:tcBorders>
            <w:noWrap w:val="0"/>
            <w:vAlign w:val="center"/>
          </w:tcPr>
          <w:p>
            <w:pPr>
              <w:adjustRightInd w:val="0"/>
              <w:snapToGrid w:val="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十二、酒、饮料制造业-25酒的制造-其他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19"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1734" w:type="dxa"/>
            <w:tcBorders>
              <w:tl2br w:val="nil"/>
              <w:tr2bl w:val="nil"/>
            </w:tcBorders>
            <w:noWrap w:val="0"/>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sym w:font="Wingdings 2" w:char="0052"/>
            </w:r>
            <w:r>
              <w:rPr>
                <w:rFonts w:hint="default" w:ascii="Times New Roman" w:hAnsi="Times New Roman" w:eastAsia="宋体" w:cs="Times New Roman"/>
                <w:color w:val="auto"/>
                <w:sz w:val="24"/>
                <w:szCs w:val="24"/>
                <w:highlight w:val="none"/>
              </w:rPr>
              <w:t>新建（迁建）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sym w:font="Wingdings 2" w:char="00A3"/>
            </w:r>
            <w:r>
              <w:rPr>
                <w:rFonts w:hint="default" w:ascii="Times New Roman" w:hAnsi="Times New Roman" w:eastAsia="宋体" w:cs="Times New Roman"/>
                <w:color w:val="auto"/>
                <w:sz w:val="24"/>
                <w:szCs w:val="24"/>
                <w:highlight w:val="none"/>
              </w:rPr>
              <w:t>改建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sym w:font="Wingdings 2" w:char="00A3"/>
            </w:r>
            <w:r>
              <w:rPr>
                <w:rFonts w:hint="default" w:ascii="Times New Roman" w:hAnsi="Times New Roman" w:eastAsia="宋体" w:cs="Times New Roman"/>
                <w:color w:val="auto"/>
                <w:sz w:val="24"/>
                <w:szCs w:val="24"/>
                <w:highlight w:val="none"/>
              </w:rPr>
              <w:t>扩建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209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2759" w:type="dxa"/>
            <w:tcBorders>
              <w:tl2br w:val="nil"/>
              <w:tr2bl w:val="nil"/>
            </w:tcBorders>
            <w:noWrap w:val="0"/>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sym w:font="Wingdings 2" w:char="0052"/>
            </w:r>
            <w:r>
              <w:rPr>
                <w:rFonts w:hint="default" w:ascii="Times New Roman" w:hAnsi="Times New Roman" w:eastAsia="宋体" w:cs="Times New Roman"/>
                <w:color w:val="auto"/>
                <w:sz w:val="24"/>
                <w:szCs w:val="24"/>
                <w:highlight w:val="none"/>
              </w:rPr>
              <w:t>首次申报项目</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11"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备案）部门（选填）</w:t>
            </w:r>
          </w:p>
        </w:tc>
        <w:tc>
          <w:tcPr>
            <w:tcW w:w="173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焉者县发改委（粮食和物资储备局）</w:t>
            </w:r>
          </w:p>
        </w:tc>
        <w:tc>
          <w:tcPr>
            <w:tcW w:w="209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备案）文号（选填）</w:t>
            </w:r>
          </w:p>
        </w:tc>
        <w:tc>
          <w:tcPr>
            <w:tcW w:w="275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焉发改项目备</w:t>
            </w:r>
            <w:r>
              <w:rPr>
                <w:rFonts w:hint="eastAsia" w:cs="Times New Roman"/>
                <w:color w:val="auto"/>
                <w:sz w:val="24"/>
                <w:szCs w:val="24"/>
                <w:highlight w:val="none"/>
                <w:lang w:val="en-US" w:eastAsia="zh-CN"/>
              </w:rPr>
              <w:t>〔2025〕19号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173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2618</w:t>
            </w:r>
          </w:p>
        </w:tc>
        <w:tc>
          <w:tcPr>
            <w:tcW w:w="2092" w:type="dxa"/>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275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21.5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2"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1734" w:type="dxa"/>
            <w:tcBorders>
              <w:tl2br w:val="nil"/>
              <w:tr2bl w:val="nil"/>
            </w:tcBorders>
            <w:noWrap w:val="0"/>
            <w:vAlign w:val="center"/>
          </w:tcPr>
          <w:p>
            <w:pPr>
              <w:adjustRightInd w:val="0"/>
              <w:snapToGrid w:val="0"/>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0.82</w:t>
            </w:r>
          </w:p>
        </w:tc>
        <w:tc>
          <w:tcPr>
            <w:tcW w:w="2092" w:type="dxa"/>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2759" w:type="dxa"/>
            <w:tcBorders>
              <w:tl2br w:val="nil"/>
              <w:tr2bl w:val="nil"/>
            </w:tcBorders>
            <w:noWrap w:val="0"/>
            <w:vAlign w:val="center"/>
          </w:tcPr>
          <w:p>
            <w:pPr>
              <w:adjustRightInd w:val="0"/>
              <w:snapToGrid w:val="0"/>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18个月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2285" w:type="dxa"/>
            <w:gridSpan w:val="2"/>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1734" w:type="dxa"/>
            <w:tcBorders>
              <w:tl2br w:val="nil"/>
              <w:tr2bl w:val="nil"/>
            </w:tcBorders>
            <w:noWrap w:val="0"/>
            <w:vAlign w:val="center"/>
          </w:tcPr>
          <w:p>
            <w:pPr>
              <w:adjustRightInd w:val="0"/>
              <w:snapToGrid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sym w:font="Wingdings 2" w:char="0052"/>
            </w:r>
            <w:r>
              <w:rPr>
                <w:rFonts w:hint="default" w:ascii="Times New Roman" w:hAnsi="Times New Roman" w:eastAsia="宋体" w:cs="Times New Roman"/>
                <w:color w:val="auto"/>
                <w:sz w:val="24"/>
                <w:szCs w:val="24"/>
                <w:highlight w:val="none"/>
              </w:rPr>
              <w:t>否</w:t>
            </w:r>
          </w:p>
          <w:p>
            <w:pPr>
              <w:adjustRightInd w:val="0"/>
              <w:snapToGrid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c>
          <w:tcPr>
            <w:tcW w:w="2092" w:type="dxa"/>
            <w:tcBorders>
              <w:tl2br w:val="nil"/>
              <w:tr2bl w:val="nil"/>
            </w:tcBorders>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2759" w:type="dxa"/>
            <w:tcBorders>
              <w:tl2br w:val="nil"/>
              <w:tr2bl w:val="nil"/>
            </w:tcBorders>
            <w:noWrap w:val="0"/>
            <w:vAlign w:val="center"/>
          </w:tcPr>
          <w:p>
            <w:pPr>
              <w:adjustRightInd w:val="0"/>
              <w:snapToGrid w:val="0"/>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17406.2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2285" w:type="dxa"/>
            <w:gridSpan w:val="2"/>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6585" w:type="dxa"/>
            <w:gridSpan w:val="3"/>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6" w:hRule="atLeast"/>
          <w:jc w:val="center"/>
        </w:trPr>
        <w:tc>
          <w:tcPr>
            <w:tcW w:w="2285" w:type="dxa"/>
            <w:gridSpan w:val="2"/>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规划情况</w:t>
            </w:r>
          </w:p>
        </w:tc>
        <w:tc>
          <w:tcPr>
            <w:tcW w:w="6585" w:type="dxa"/>
            <w:gridSpan w:val="3"/>
            <w:tcBorders>
              <w:tl2br w:val="nil"/>
              <w:tr2bl w:val="nil"/>
            </w:tcBorders>
            <w:shd w:val="clear" w:color="auto" w:fill="auto"/>
            <w:noWrap w:val="0"/>
            <w:vAlign w:val="center"/>
          </w:tcPr>
          <w:p>
            <w:pPr>
              <w:widowControl/>
              <w:adjustRightInd w:val="0"/>
              <w:snapToGrid w:val="0"/>
              <w:spacing w:line="360" w:lineRule="auto"/>
              <w:ind w:firstLine="480" w:firstLineChars="200"/>
              <w:rPr>
                <w:rFonts w:hint="default" w:ascii="宋体" w:hAnsi="宋体" w:eastAsia="宋体" w:cs="宋体"/>
                <w:snapToGrid w:val="0"/>
                <w:kern w:val="0"/>
                <w:sz w:val="24"/>
                <w:szCs w:val="24"/>
                <w:lang w:val="en-US" w:eastAsia="zh-CN" w:bidi="ar-SA"/>
              </w:rPr>
            </w:pPr>
            <w:r>
              <w:rPr>
                <w:rFonts w:hint="eastAsia"/>
                <w:snapToGrid w:val="0"/>
                <w:color w:val="000000"/>
                <w:kern w:val="0"/>
                <w:sz w:val="24"/>
                <w:szCs w:val="24"/>
              </w:rPr>
              <w:t>规划名称：《</w:t>
            </w:r>
            <w:r>
              <w:rPr>
                <w:rFonts w:hint="eastAsia"/>
                <w:snapToGrid w:val="0"/>
                <w:color w:val="000000"/>
                <w:kern w:val="0"/>
                <w:sz w:val="24"/>
                <w:szCs w:val="24"/>
                <w:lang w:val="en-US" w:eastAsia="zh-CN"/>
              </w:rPr>
              <w:t>焉耆工业园区总体规划（2016-2030年）</w:t>
            </w:r>
            <w:r>
              <w:rPr>
                <w:rFonts w:hint="eastAsia"/>
                <w:snapToGrid w:val="0"/>
                <w:color w:val="000000"/>
                <w:kern w:val="0"/>
                <w:sz w:val="24"/>
                <w:szCs w:val="24"/>
              </w:rPr>
              <w:t>》，审批机关：</w:t>
            </w:r>
            <w:r>
              <w:rPr>
                <w:snapToGrid w:val="0"/>
                <w:color w:val="000000"/>
                <w:kern w:val="0"/>
                <w:sz w:val="24"/>
                <w:szCs w:val="24"/>
              </w:rPr>
              <w:t>新疆维吾尔自治区人民政府</w:t>
            </w:r>
            <w:r>
              <w:rPr>
                <w:rFonts w:hint="eastAsia"/>
                <w:snapToGrid w:val="0"/>
                <w:color w:val="000000"/>
                <w:kern w:val="0"/>
                <w:sz w:val="24"/>
                <w:szCs w:val="24"/>
                <w:lang w:eastAsia="zh-CN"/>
              </w:rPr>
              <w:t>，</w:t>
            </w:r>
            <w:r>
              <w:rPr>
                <w:rFonts w:hint="eastAsia"/>
                <w:snapToGrid w:val="0"/>
                <w:color w:val="000000"/>
                <w:kern w:val="0"/>
                <w:sz w:val="24"/>
                <w:szCs w:val="24"/>
                <w:lang w:val="en-US" w:eastAsia="zh-CN"/>
              </w:rPr>
              <w:t>审批文号：新政函〔2017〕19号</w:t>
            </w:r>
            <w:r>
              <w:rPr>
                <w:rFonts w:hint="eastAsia"/>
                <w:snapToGrid w:val="0"/>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3" w:hRule="atLeast"/>
          <w:jc w:val="center"/>
        </w:trPr>
        <w:tc>
          <w:tcPr>
            <w:tcW w:w="2285" w:type="dxa"/>
            <w:gridSpan w:val="2"/>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评价情况</w:t>
            </w:r>
          </w:p>
        </w:tc>
        <w:tc>
          <w:tcPr>
            <w:tcW w:w="6585" w:type="dxa"/>
            <w:gridSpan w:val="3"/>
            <w:tcBorders>
              <w:tl2br w:val="nil"/>
              <w:tr2bl w:val="nil"/>
            </w:tcBorders>
            <w:shd w:val="clear" w:color="auto" w:fill="auto"/>
            <w:noWrap w:val="0"/>
            <w:vAlign w:val="center"/>
          </w:tcPr>
          <w:p>
            <w:pPr>
              <w:adjustRightInd w:val="0"/>
              <w:snapToGrid w:val="0"/>
              <w:spacing w:line="360" w:lineRule="auto"/>
              <w:ind w:firstLine="480" w:firstLineChars="200"/>
              <w:rPr>
                <w:rFonts w:hint="default" w:ascii="宋体" w:hAnsi="宋体" w:eastAsia="宋体" w:cs="宋体"/>
                <w:snapToGrid w:val="0"/>
                <w:kern w:val="0"/>
                <w:sz w:val="24"/>
                <w:szCs w:val="24"/>
                <w:lang w:val="en-US" w:eastAsia="zh-CN" w:bidi="ar-SA"/>
              </w:rPr>
            </w:pPr>
            <w:r>
              <w:rPr>
                <w:rFonts w:hint="eastAsia"/>
                <w:snapToGrid w:val="0"/>
                <w:kern w:val="0"/>
                <w:sz w:val="24"/>
                <w:szCs w:val="24"/>
                <w:lang w:val="en-US" w:eastAsia="zh-CN"/>
              </w:rPr>
              <w:t>规划环评名称：</w:t>
            </w:r>
            <w:r>
              <w:rPr>
                <w:rFonts w:hint="eastAsia"/>
                <w:snapToGrid w:val="0"/>
                <w:kern w:val="0"/>
                <w:sz w:val="24"/>
                <w:szCs w:val="24"/>
              </w:rPr>
              <w:t>《</w:t>
            </w:r>
            <w:r>
              <w:rPr>
                <w:rFonts w:hint="eastAsia"/>
                <w:snapToGrid w:val="0"/>
                <w:kern w:val="0"/>
                <w:sz w:val="24"/>
                <w:szCs w:val="24"/>
                <w:lang w:val="en-US" w:eastAsia="zh-CN"/>
              </w:rPr>
              <w:t>焉耆工业园区总体规划（2016-2030年）环境影响报告书</w:t>
            </w:r>
            <w:r>
              <w:rPr>
                <w:rFonts w:hint="eastAsia"/>
                <w:snapToGrid w:val="0"/>
                <w:kern w:val="0"/>
                <w:sz w:val="24"/>
                <w:szCs w:val="24"/>
              </w:rPr>
              <w:t>》</w:t>
            </w:r>
            <w:r>
              <w:rPr>
                <w:rFonts w:hint="eastAsia"/>
                <w:snapToGrid w:val="0"/>
                <w:kern w:val="0"/>
                <w:sz w:val="24"/>
                <w:szCs w:val="24"/>
                <w:lang w:eastAsia="zh-CN"/>
              </w:rPr>
              <w:t>，</w:t>
            </w:r>
            <w:r>
              <w:rPr>
                <w:rFonts w:hint="eastAsia"/>
                <w:snapToGrid w:val="0"/>
                <w:kern w:val="0"/>
                <w:sz w:val="24"/>
                <w:szCs w:val="24"/>
                <w:lang w:val="en-US" w:eastAsia="zh-CN"/>
              </w:rPr>
              <w:t>审批机关：新疆维吾尔自治区生态环境厅，审批文号：新环环评函〔2019〕482号</w:t>
            </w:r>
            <w:r>
              <w:rPr>
                <w:snapToGrid w:val="0"/>
                <w:kern w:val="0"/>
                <w:sz w:val="24"/>
                <w:szCs w:val="24"/>
              </w:rPr>
              <w:t>。</w:t>
            </w:r>
            <w:r>
              <w:rPr>
                <w:rFonts w:hint="eastAsia"/>
                <w:snapToGrid w:val="0"/>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835" w:type="dxa"/>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规划及规划环境影响评价符合性分析</w:t>
            </w:r>
          </w:p>
        </w:tc>
        <w:tc>
          <w:tcPr>
            <w:tcW w:w="8035" w:type="dxa"/>
            <w:gridSpan w:val="4"/>
            <w:tcBorders>
              <w:tl2br w:val="nil"/>
              <w:tr2bl w:val="nil"/>
            </w:tcBorders>
            <w:shd w:val="clear" w:color="auto" w:fill="auto"/>
            <w:noWrap w:val="0"/>
            <w:vAlign w:val="center"/>
          </w:tcPr>
          <w:p>
            <w:pPr>
              <w:widowControl/>
              <w:adjustRightInd w:val="0"/>
              <w:snapToGrid w:val="0"/>
              <w:spacing w:line="360" w:lineRule="auto"/>
              <w:ind w:firstLine="0" w:firstLineChars="0"/>
              <w:jc w:val="left"/>
              <w:rPr>
                <w:rFonts w:hint="default"/>
                <w:b/>
                <w:bCs/>
                <w:sz w:val="24"/>
                <w:szCs w:val="24"/>
              </w:rPr>
            </w:pPr>
            <w:r>
              <w:rPr>
                <w:b/>
                <w:bCs/>
                <w:sz w:val="24"/>
                <w:szCs w:val="24"/>
              </w:rPr>
              <w:t>1、</w:t>
            </w:r>
            <w:r>
              <w:rPr>
                <w:rFonts w:hint="eastAsia"/>
                <w:b/>
                <w:bCs/>
                <w:snapToGrid w:val="0"/>
                <w:color w:val="000000"/>
                <w:kern w:val="0"/>
                <w:sz w:val="24"/>
                <w:szCs w:val="24"/>
              </w:rPr>
              <w:t>《</w:t>
            </w:r>
            <w:r>
              <w:rPr>
                <w:rFonts w:hint="eastAsia"/>
                <w:b/>
                <w:bCs/>
                <w:snapToGrid w:val="0"/>
                <w:color w:val="000000"/>
                <w:kern w:val="0"/>
                <w:sz w:val="24"/>
                <w:szCs w:val="24"/>
                <w:lang w:val="en-US" w:eastAsia="zh-CN"/>
              </w:rPr>
              <w:t>焉耆工业园区总体规划（2016-2030年）</w:t>
            </w:r>
            <w:r>
              <w:rPr>
                <w:rFonts w:hint="eastAsia"/>
                <w:b/>
                <w:bCs/>
                <w:snapToGrid w:val="0"/>
                <w:color w:val="000000"/>
                <w:kern w:val="0"/>
                <w:sz w:val="24"/>
                <w:szCs w:val="24"/>
              </w:rPr>
              <w:t>》</w:t>
            </w:r>
            <w:r>
              <w:rPr>
                <w:rFonts w:hint="default"/>
                <w:b/>
                <w:bCs/>
                <w:snapToGrid w:val="0"/>
                <w:color w:val="000000"/>
                <w:kern w:val="0"/>
                <w:sz w:val="24"/>
                <w:szCs w:val="24"/>
              </w:rPr>
              <w:t>的符合性分析</w:t>
            </w:r>
          </w:p>
          <w:p>
            <w:pPr>
              <w:widowControl/>
              <w:adjustRightInd w:val="0"/>
              <w:snapToGrid w:val="0"/>
              <w:spacing w:line="360" w:lineRule="auto"/>
              <w:ind w:firstLine="480" w:firstLineChars="200"/>
              <w:jc w:val="left"/>
              <w:rPr>
                <w:sz w:val="24"/>
                <w:szCs w:val="24"/>
              </w:rPr>
            </w:pPr>
            <w:r>
              <w:rPr>
                <w:rFonts w:hint="eastAsia"/>
                <w:sz w:val="24"/>
                <w:szCs w:val="24"/>
              </w:rPr>
              <w:t>焉耆工业园区行政区划属于巴州焉耆县，园区规划总面积7.09 平方公里，分为酿酒葡萄产业园及农产品加工产业园。酿酒葡萄产业园位于七个星镇乡都酒业西部的霍拉山冲积扇戈壁滩上，规划用地控制面积约2.67平方公里</w:t>
            </w:r>
            <w:r>
              <w:rPr>
                <w:rFonts w:hint="eastAsia"/>
                <w:sz w:val="24"/>
                <w:szCs w:val="24"/>
                <w:lang w:eastAsia="zh-CN"/>
              </w:rPr>
              <w:t>；</w:t>
            </w:r>
            <w:r>
              <w:rPr>
                <w:rFonts w:hint="eastAsia"/>
                <w:sz w:val="24"/>
                <w:szCs w:val="24"/>
              </w:rPr>
              <w:t>农产品加工产业园位于焉耆县中心城区北部，规划用地控制面积约为4.42平方公里。规划期限为2016-2030年</w:t>
            </w:r>
            <w:r>
              <w:rPr>
                <w:rFonts w:hint="eastAsia"/>
                <w:sz w:val="24"/>
                <w:szCs w:val="24"/>
                <w:lang w:eastAsia="zh-CN"/>
              </w:rPr>
              <w:t>，</w:t>
            </w:r>
            <w:r>
              <w:rPr>
                <w:rFonts w:hint="eastAsia"/>
                <w:sz w:val="24"/>
                <w:szCs w:val="24"/>
              </w:rPr>
              <w:t>其中近期2016-2020年</w:t>
            </w:r>
            <w:r>
              <w:rPr>
                <w:rFonts w:hint="eastAsia"/>
                <w:sz w:val="24"/>
                <w:szCs w:val="24"/>
                <w:lang w:eastAsia="zh-CN"/>
              </w:rPr>
              <w:t>，</w:t>
            </w:r>
            <w:r>
              <w:rPr>
                <w:rFonts w:hint="eastAsia"/>
                <w:sz w:val="24"/>
                <w:szCs w:val="24"/>
              </w:rPr>
              <w:t>远期2021-2030年。园区总体产业定位是以重点发展酿酒葡萄产业为核心、农产品加工及商贸流通业为主的循环经济产业园区。其中，酿酒葡萄产业园</w:t>
            </w:r>
            <w:r>
              <w:rPr>
                <w:rFonts w:hint="eastAsia"/>
                <w:sz w:val="24"/>
                <w:szCs w:val="24"/>
                <w:lang w:eastAsia="zh-CN"/>
              </w:rPr>
              <w:t>：</w:t>
            </w:r>
            <w:r>
              <w:rPr>
                <w:rFonts w:hint="eastAsia"/>
                <w:sz w:val="24"/>
                <w:szCs w:val="24"/>
              </w:rPr>
              <w:t>以葡萄基地为依托，重点发展以酿酒葡萄加工及其相关产业为主的农副产品加工业，打造集葡萄酒加工、葡萄生态旅游为一体的现代农业化、新型工业化和新型城镇化的酿酒葡萄循环经济产业园。</w:t>
            </w:r>
            <w:r>
              <w:rPr>
                <w:rFonts w:hint="eastAsia"/>
                <w:b/>
                <w:bCs/>
                <w:sz w:val="24"/>
                <w:szCs w:val="24"/>
              </w:rPr>
              <w:t>农产品加工产业园</w:t>
            </w:r>
            <w:r>
              <w:rPr>
                <w:rFonts w:hint="eastAsia"/>
                <w:b/>
                <w:bCs/>
                <w:sz w:val="24"/>
                <w:szCs w:val="24"/>
                <w:lang w:eastAsia="zh-CN"/>
              </w:rPr>
              <w:t>：</w:t>
            </w:r>
            <w:r>
              <w:rPr>
                <w:rFonts w:hint="eastAsia"/>
                <w:b/>
                <w:bCs/>
                <w:sz w:val="24"/>
                <w:szCs w:val="24"/>
              </w:rPr>
              <w:t>以农副产品加工业、食品加工业、畜产品加工为主，商贸流通业、高新技术产业为辅的产业园，形成特色农副产品综合精深加工循环经济产业区。</w:t>
            </w:r>
            <w:r>
              <w:rPr>
                <w:sz w:val="24"/>
                <w:szCs w:val="24"/>
              </w:rPr>
              <w:t xml:space="preserve"> </w:t>
            </w:r>
          </w:p>
          <w:p>
            <w:pPr>
              <w:adjustRightInd w:val="0"/>
              <w:snapToGrid w:val="0"/>
              <w:spacing w:line="360" w:lineRule="auto"/>
              <w:ind w:firstLine="480" w:firstLineChars="200"/>
              <w:rPr>
                <w:rFonts w:hint="default" w:eastAsia="宋体"/>
                <w:sz w:val="24"/>
                <w:szCs w:val="24"/>
                <w:lang w:val="en-US" w:eastAsia="zh-CN"/>
              </w:rPr>
            </w:pPr>
            <w:r>
              <w:rPr>
                <w:sz w:val="24"/>
                <w:szCs w:val="24"/>
              </w:rPr>
              <w:t>项目位于</w:t>
            </w:r>
            <w:r>
              <w:rPr>
                <w:rFonts w:hint="eastAsia"/>
                <w:sz w:val="24"/>
                <w:szCs w:val="24"/>
                <w:lang w:val="en-US" w:eastAsia="zh-CN"/>
              </w:rPr>
              <w:t xml:space="preserve">新疆巴州焉耆工业园区农副产品加工园，新疆红帆生物科技有限公司东侧，用地性质为工业用地，该地块为物流仓储区，目前不符合园区规划，根据焉耆县工业园区管委会出具的情况说明承诺于2025年12月25日前完成园区规划修编，并通过规划环评审查，承诺将该项目纳入园区规划修编范围，列入规划产业布局。 </w:t>
            </w:r>
          </w:p>
          <w:p>
            <w:pPr>
              <w:pStyle w:val="10"/>
              <w:adjustRightInd w:val="0"/>
              <w:spacing w:before="0" w:after="0" w:line="360" w:lineRule="auto"/>
              <w:ind w:right="0" w:firstLine="0" w:firstLineChars="0"/>
              <w:rPr>
                <w:rFonts w:hint="default"/>
                <w:b/>
                <w:bCs/>
                <w:sz w:val="24"/>
                <w:szCs w:val="24"/>
              </w:rPr>
            </w:pPr>
            <w:r>
              <w:rPr>
                <w:rFonts w:hint="default"/>
                <w:b/>
                <w:bCs/>
                <w:sz w:val="24"/>
                <w:szCs w:val="24"/>
              </w:rPr>
              <w:t>2、《</w:t>
            </w:r>
            <w:r>
              <w:rPr>
                <w:rFonts w:hint="default"/>
                <w:b/>
                <w:bCs/>
                <w:sz w:val="24"/>
                <w:szCs w:val="24"/>
                <w:lang w:val="en-US" w:eastAsia="zh-CN"/>
              </w:rPr>
              <w:t>焉耆工业园区总体规划（2016-2030年）环境影响报告书</w:t>
            </w:r>
            <w:r>
              <w:rPr>
                <w:rFonts w:hint="default"/>
                <w:b/>
                <w:bCs/>
                <w:sz w:val="24"/>
                <w:szCs w:val="24"/>
              </w:rPr>
              <w:t>》</w:t>
            </w:r>
            <w:r>
              <w:rPr>
                <w:rFonts w:hint="default"/>
                <w:b/>
                <w:bCs/>
                <w:sz w:val="24"/>
                <w:szCs w:val="24"/>
                <w:lang w:eastAsia="zh-CN"/>
              </w:rPr>
              <w:t>（</w:t>
            </w:r>
            <w:r>
              <w:rPr>
                <w:rFonts w:hint="default"/>
                <w:b/>
                <w:bCs/>
                <w:sz w:val="24"/>
                <w:szCs w:val="24"/>
                <w:lang w:val="en-US" w:eastAsia="zh-CN"/>
              </w:rPr>
              <w:t>新环环评函〔2019〕482号</w:t>
            </w:r>
            <w:r>
              <w:rPr>
                <w:rFonts w:hint="default"/>
                <w:b/>
                <w:bCs/>
                <w:sz w:val="24"/>
                <w:szCs w:val="24"/>
              </w:rPr>
              <w:t>）的符合性分析</w:t>
            </w:r>
          </w:p>
          <w:p>
            <w:pPr>
              <w:pStyle w:val="10"/>
              <w:adjustRightInd w:val="0"/>
              <w:spacing w:before="0" w:after="0" w:line="360" w:lineRule="auto"/>
              <w:ind w:right="0" w:rightChars="0" w:firstLine="480" w:firstLineChars="200"/>
              <w:rPr>
                <w:rFonts w:hint="eastAsia"/>
                <w:sz w:val="24"/>
                <w:szCs w:val="24"/>
                <w:lang w:eastAsia="zh-CN"/>
              </w:rPr>
            </w:pPr>
            <w:r>
              <w:rPr>
                <w:rFonts w:hint="eastAsia"/>
                <w:sz w:val="24"/>
                <w:szCs w:val="24"/>
              </w:rPr>
              <w:t>“关于《</w:t>
            </w:r>
            <w:r>
              <w:rPr>
                <w:rFonts w:hint="eastAsia"/>
                <w:sz w:val="24"/>
                <w:szCs w:val="24"/>
                <w:lang w:val="en-US" w:eastAsia="zh-CN"/>
              </w:rPr>
              <w:t>焉耆工业园区总体规划（2016-2030年）环境影响报告书</w:t>
            </w:r>
            <w:r>
              <w:rPr>
                <w:rFonts w:hint="eastAsia"/>
                <w:sz w:val="24"/>
                <w:szCs w:val="24"/>
              </w:rPr>
              <w:t>》</w:t>
            </w:r>
            <w:r>
              <w:rPr>
                <w:rFonts w:hint="eastAsia"/>
                <w:sz w:val="24"/>
                <w:szCs w:val="24"/>
                <w:lang w:eastAsia="zh-CN"/>
              </w:rPr>
              <w:t>（</w:t>
            </w:r>
            <w:r>
              <w:rPr>
                <w:rFonts w:hint="eastAsia"/>
                <w:sz w:val="24"/>
                <w:szCs w:val="24"/>
                <w:lang w:val="en-US" w:eastAsia="zh-CN"/>
              </w:rPr>
              <w:t>新环环评函〔2019〕482号</w:t>
            </w:r>
            <w:r>
              <w:rPr>
                <w:rFonts w:hint="eastAsia"/>
                <w:sz w:val="24"/>
                <w:szCs w:val="24"/>
              </w:rPr>
              <w:t>）”中要求</w:t>
            </w:r>
            <w:r>
              <w:rPr>
                <w:rFonts w:hint="eastAsia"/>
                <w:sz w:val="24"/>
                <w:szCs w:val="24"/>
                <w:lang w:eastAsia="zh-CN"/>
              </w:rPr>
              <w:t>：</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firstLine="480" w:firstLineChars="200"/>
              <w:textAlignment w:val="auto"/>
              <w:rPr>
                <w:rFonts w:hint="eastAsia"/>
                <w:sz w:val="24"/>
                <w:szCs w:val="24"/>
                <w:lang w:eastAsia="zh-CN"/>
              </w:rPr>
            </w:pPr>
            <w:r>
              <w:rPr>
                <w:rFonts w:hint="eastAsia"/>
                <w:sz w:val="24"/>
                <w:szCs w:val="24"/>
                <w:lang w:eastAsia="zh-CN"/>
              </w:rPr>
              <w:t>（三）坚守环境质量底线，严格污染物总量管控，完善园区基础设施建设。根据规划区域及周边环境质量现状和目标，确定区域污染物排放总量上限。采取有效措施削减污染物的排放量确保实现区域环境质量改善目标。各类大气污染物排放须满足国家和自治区最新污染物排放标准要求。严禁建设不符合环保准入条件的小型燃煤锅炉，现有小型燃煤锅炉应采用清洁能源替代酿酒葡萄产业园应于2019年6月底前完成集中供热站建设，农产品加工园供热依托焉耆县供热锅炉。园区废水严禁排入地表水体尽快制定并落实园区排水整改方案，农产品加工产业园废水依托焉耆县污水处理厂处理，出水禁止排入博斯腾湖国家湿地公园一部分用于林地灌溉，另一部分中水回用。酿酒葡萄产业园依托七个星镇污水处理厂，应于2019年底完成该污水处理厂改扩建及提标改造工程。依托的污水处理厂出水必须满足《城镇污水处理厂污染物排放标准》（GB18918-2002）一级A标准后综合利用。加强地下水保护措施，园区内自备水井全部关停并封井，实行集中供水。制定切实可行的一般固体废物综合利用方案，配套建设工业固废处置场。</w:t>
            </w:r>
          </w:p>
          <w:p>
            <w:pPr>
              <w:pStyle w:val="10"/>
              <w:keepNext w:val="0"/>
              <w:keepLines w:val="0"/>
              <w:pageBreakBefore w:val="0"/>
              <w:kinsoku/>
              <w:wordWrap/>
              <w:overflowPunct/>
              <w:topLinePunct w:val="0"/>
              <w:autoSpaceDE/>
              <w:autoSpaceDN/>
              <w:bidi w:val="0"/>
              <w:adjustRightInd w:val="0"/>
              <w:snapToGrid w:val="0"/>
              <w:spacing w:before="0" w:after="0" w:line="360" w:lineRule="auto"/>
              <w:ind w:right="0" w:rightChars="0" w:firstLine="480" w:firstLineChars="200"/>
              <w:textAlignment w:val="auto"/>
              <w:rPr>
                <w:rFonts w:hint="eastAsia"/>
                <w:sz w:val="24"/>
                <w:szCs w:val="24"/>
                <w:lang w:val="en-US" w:eastAsia="zh-CN"/>
              </w:rPr>
            </w:pPr>
            <w:r>
              <w:rPr>
                <w:rFonts w:hint="eastAsia"/>
                <w:sz w:val="24"/>
                <w:szCs w:val="24"/>
                <w:lang w:val="en-US" w:eastAsia="zh-CN"/>
              </w:rPr>
              <w:t>本项目新建1台1t/h的蒸汽燃气锅炉用于生产供热，本项目锅炉采用低氮燃烧技术，颗粒物、SO</w:t>
            </w:r>
            <w:r>
              <w:rPr>
                <w:rFonts w:hint="eastAsia"/>
                <w:sz w:val="24"/>
                <w:szCs w:val="24"/>
                <w:vertAlign w:val="subscript"/>
                <w:lang w:val="en-US" w:eastAsia="zh-CN"/>
              </w:rPr>
              <w:t>2</w:t>
            </w:r>
            <w:r>
              <w:rPr>
                <w:rFonts w:hint="eastAsia"/>
                <w:sz w:val="24"/>
                <w:szCs w:val="24"/>
                <w:vertAlign w:val="baseline"/>
                <w:lang w:val="en-US" w:eastAsia="zh-CN"/>
              </w:rPr>
              <w:t>、</w:t>
            </w:r>
            <w:r>
              <w:rPr>
                <w:rFonts w:hint="eastAsia"/>
                <w:sz w:val="24"/>
                <w:szCs w:val="24"/>
                <w:lang w:val="en-US" w:eastAsia="zh-CN"/>
              </w:rPr>
              <w:t>NO</w:t>
            </w:r>
            <w:r>
              <w:rPr>
                <w:rFonts w:hint="eastAsia"/>
                <w:sz w:val="24"/>
                <w:szCs w:val="24"/>
                <w:vertAlign w:val="subscript"/>
                <w:lang w:val="en-US" w:eastAsia="zh-CN"/>
              </w:rPr>
              <w:t>X</w:t>
            </w:r>
            <w:r>
              <w:rPr>
                <w:rFonts w:hint="eastAsia"/>
                <w:sz w:val="24"/>
                <w:szCs w:val="24"/>
                <w:lang w:val="en-US" w:eastAsia="zh-CN"/>
              </w:rPr>
              <w:t>执行《锅炉大气污染物排放标准》（GB13271-2014）中表2排放限值。本项目生产周期为1月～6月、9月～11月，且需要使用蒸汽对粮食进行蒸粮、馏酒；焉耆县集中供热中心供热时间为11月～次年3月，为热水锅炉，供热温度不能满足本项目的需求，同时不能满足供热周期，因此本项目新建1台1t/h的蒸汽燃气锅炉进行生产供热。</w:t>
            </w:r>
          </w:p>
          <w:p>
            <w:pPr>
              <w:pStyle w:val="10"/>
              <w:keepNext w:val="0"/>
              <w:keepLines w:val="0"/>
              <w:pageBreakBefore w:val="0"/>
              <w:kinsoku/>
              <w:wordWrap/>
              <w:overflowPunct/>
              <w:topLinePunct w:val="0"/>
              <w:autoSpaceDE/>
              <w:autoSpaceDN/>
              <w:bidi w:val="0"/>
              <w:adjustRightInd w:val="0"/>
              <w:snapToGrid w:val="0"/>
              <w:spacing w:before="0" w:after="0" w:line="360" w:lineRule="auto"/>
              <w:ind w:right="0" w:rightChars="0" w:firstLine="480" w:firstLineChars="200"/>
              <w:textAlignment w:val="auto"/>
              <w:rPr>
                <w:rFonts w:hint="eastAsia"/>
                <w:sz w:val="24"/>
                <w:szCs w:val="24"/>
                <w:lang w:val="en-US" w:eastAsia="zh-CN"/>
              </w:rPr>
            </w:pPr>
            <w:r>
              <w:rPr>
                <w:rFonts w:hint="eastAsia"/>
                <w:sz w:val="24"/>
                <w:szCs w:val="24"/>
                <w:lang w:val="en-US" w:eastAsia="zh-CN"/>
              </w:rPr>
              <w:t>本项目生产废水集中收集至厂区内污水处理站进行处理，处理满足《发酵酒精和白酒工业水污染物排放标准》（GB 27631-2011）及修改单中表2间接排放标准后通过园区下水管网进入园区污水处理厂进行处理。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本项目产生的一般工业固废酒糟集中收集后外售；废包装袋、废过滤材料、破损酒瓶、污泥集中收集后交由一般固废处置单位进行处置。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kern w:val="0"/>
                <w:sz w:val="24"/>
                <w:szCs w:val="24"/>
                <w:lang w:val="en-US" w:eastAsia="zh-CN" w:bidi="ar-SA"/>
              </w:rPr>
            </w:pPr>
            <w:r>
              <w:rPr>
                <w:rFonts w:hint="eastAsia"/>
                <w:sz w:val="24"/>
                <w:szCs w:val="24"/>
                <w:lang w:val="en-US" w:eastAsia="zh-CN"/>
              </w:rPr>
              <w:t>综上所述，本项目符合《焉耆工业园区总体规划（2016-2030年）环境影响报告书》（新环环评函〔2019〕482号）中的要求。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35" w:type="dxa"/>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80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1、产业政策符合性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本项目不属于《产业结构调整指导目录（20</w:t>
            </w:r>
            <w:r>
              <w:rPr>
                <w:rFonts w:hint="default"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rPr>
              <w:t>年本）》中的鼓励类、限制类及淘汰类项目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根据《产业结构调整指导目录（2024年本）》鼓励类、限制类和淘汰类之外的，且符合国家有关法律法规和政策规定的属于允许类。因此本项目</w:t>
            </w:r>
            <w:r>
              <w:rPr>
                <w:rFonts w:hint="default" w:ascii="Times New Roman" w:hAnsi="Times New Roman" w:eastAsia="宋体" w:cs="Times New Roman"/>
                <w:sz w:val="24"/>
                <w:szCs w:val="24"/>
              </w:rPr>
              <w:t>属于允许类</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2、生态环境分区管控</w:t>
            </w:r>
            <w:r>
              <w:rPr>
                <w:rFonts w:hint="eastAsia" w:cs="Times New Roman"/>
                <w:b/>
                <w:bCs/>
                <w:color w:val="auto"/>
                <w:sz w:val="24"/>
                <w:szCs w:val="24"/>
                <w:highlight w:val="none"/>
                <w:lang w:val="en-US" w:eastAsia="zh-CN"/>
              </w:rPr>
              <w:t>的</w:t>
            </w:r>
            <w:r>
              <w:rPr>
                <w:rFonts w:hint="default" w:ascii="Times New Roman" w:hAnsi="Times New Roman" w:eastAsia="宋体" w:cs="Times New Roman"/>
                <w:b/>
                <w:bCs/>
                <w:color w:val="auto"/>
                <w:sz w:val="24"/>
                <w:szCs w:val="24"/>
                <w:highlight w:val="none"/>
                <w:lang w:val="en-US" w:eastAsia="zh-CN"/>
              </w:rPr>
              <w:t>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ascii="Times New Roman" w:hAnsi="Times New Roman" w:eastAsia="宋体" w:cs="Times New Roman"/>
                <w:sz w:val="24"/>
                <w:szCs w:val="24"/>
                <w:lang w:val="en-US" w:eastAsia="zh-CN"/>
              </w:rPr>
              <w:t>《关于印发&lt;新疆维吾尔自治区生态环境分区管控动态更新成果&gt;的通知》（新政发〔2024〕157号）的符合性分析</w:t>
            </w:r>
            <w:r>
              <w:rPr>
                <w:rFonts w:hint="eastAsia"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cs="Times New Roman"/>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cs="Times New Roman"/>
                <w:b/>
                <w:bCs/>
                <w:sz w:val="21"/>
                <w:szCs w:val="21"/>
                <w:lang w:val="en-US" w:eastAsia="zh-CN"/>
              </w:rPr>
            </w:pPr>
            <w:r>
              <w:rPr>
                <w:rFonts w:hint="eastAsia" w:cs="Times New Roman"/>
                <w:b/>
                <w:bCs/>
                <w:sz w:val="21"/>
                <w:szCs w:val="21"/>
                <w:lang w:val="en-US" w:eastAsia="zh-CN"/>
              </w:rPr>
              <w:t>表1-1 与《关于印发&lt;新疆维吾尔自治区生态环境分区管控动态更新成果&gt;的通知》（新政发〔2024〕157号）的符合性表</w:t>
            </w:r>
          </w:p>
          <w:tbl>
            <w:tblPr>
              <w:tblStyle w:val="11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62"/>
              <w:gridCol w:w="774"/>
              <w:gridCol w:w="3444"/>
              <w:gridCol w:w="333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1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管控维度</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管控要求</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A1空间布局约束</w:t>
                  </w: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A1.1禁止开发建设的活动</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〔A1.1-1〕禁止新建、扩建《产业结构调整指导目录（2024年本）》中淘汰类项目。禁止引入《市场准入负面清单（2022年版）》禁止准入类事项。</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符合，本项目属于《产业结构调整指导目录（2024 年本）》</w:t>
                  </w:r>
                  <w:r>
                    <w:rPr>
                      <w:rFonts w:hint="eastAsia" w:cs="Times New Roman"/>
                      <w:kern w:val="0"/>
                      <w:sz w:val="21"/>
                      <w:szCs w:val="21"/>
                      <w:lang w:val="en-US" w:eastAsia="zh-CN"/>
                    </w:rPr>
                    <w:t>允许类</w:t>
                  </w:r>
                  <w:r>
                    <w:rPr>
                      <w:rFonts w:hint="default" w:ascii="Times New Roman" w:hAnsi="Times New Roman" w:eastAsia="宋体" w:cs="Times New Roman"/>
                      <w:kern w:val="0"/>
                      <w:sz w:val="21"/>
                      <w:szCs w:val="21"/>
                      <w:lang w:val="en-US" w:eastAsia="zh-CN"/>
                    </w:rPr>
                    <w:t>项目，不属于《市场准入负面清单（20</w:t>
                  </w:r>
                  <w:r>
                    <w:rPr>
                      <w:rFonts w:hint="eastAsia" w:cs="Times New Roman"/>
                      <w:kern w:val="0"/>
                      <w:sz w:val="21"/>
                      <w:szCs w:val="21"/>
                      <w:lang w:val="en-US" w:eastAsia="zh-CN"/>
                    </w:rPr>
                    <w:t>25</w:t>
                  </w:r>
                  <w:r>
                    <w:rPr>
                      <w:rFonts w:hint="default" w:ascii="Times New Roman" w:hAnsi="Times New Roman" w:eastAsia="宋体" w:cs="Times New Roman"/>
                      <w:kern w:val="0"/>
                      <w:sz w:val="21"/>
                      <w:szCs w:val="21"/>
                      <w:lang w:val="en-US" w:eastAsia="zh-CN"/>
                    </w:rPr>
                    <w:t>年版）》禁止准入事项。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A1.2限制开发建设的活动</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符合，本项目用地为工业用地。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〔A1.2-3〕以用途变更为住宅、公共管理与公共服务用地的地块为重点，严格建设用地准入管理和风险管控，未依法完成土壤污染状况调查或风险评估的地块，不得开工建设与风险管控和修复无关的项目。</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符合，本项目用地为工业用地。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A1.3不符合空间布局要求活动的退出要求</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〔A1.3-1〕任何单位和个人不得在水源涵养区、饮用水水源保护区内和河流、湖泊、水库周围建设重化工、涉重金属等工业污染项目；对已建成的工业污染项目，当地人民政府应当组织限期搬迁。</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w:t>
                  </w:r>
                  <w:r>
                    <w:rPr>
                      <w:rFonts w:hint="eastAsia" w:ascii="Times New Roman" w:hAnsi="Times New Roman" w:eastAsia="宋体" w:cs="Times New Roman"/>
                      <w:kern w:val="0"/>
                      <w:sz w:val="21"/>
                      <w:szCs w:val="21"/>
                      <w:lang w:val="en-US" w:eastAsia="zh-CN"/>
                    </w:rPr>
                    <w:t>不属于重化工、涉重金属等工业污染项目</w:t>
                  </w:r>
                  <w:r>
                    <w:rPr>
                      <w:rFonts w:hint="default" w:ascii="Times New Roman" w:hAnsi="Times New Roman" w:eastAsia="宋体" w:cs="Times New Roman"/>
                      <w:kern w:val="0"/>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A1.4其它布局要求</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符合，本项目位于新疆巴州</w:t>
                  </w:r>
                  <w:r>
                    <w:rPr>
                      <w:rFonts w:hint="eastAsia" w:cs="Times New Roman"/>
                      <w:kern w:val="0"/>
                      <w:sz w:val="21"/>
                      <w:szCs w:val="21"/>
                      <w:lang w:val="en-US" w:eastAsia="zh-CN"/>
                    </w:rPr>
                    <w:t>焉耆工业园区农副产品加工园</w:t>
                  </w:r>
                  <w:r>
                    <w:rPr>
                      <w:rFonts w:hint="default" w:ascii="Times New Roman" w:hAnsi="Times New Roman" w:eastAsia="宋体" w:cs="Times New Roman"/>
                      <w:kern w:val="0"/>
                      <w:sz w:val="21"/>
                      <w:szCs w:val="21"/>
                      <w:lang w:val="en-US" w:eastAsia="zh-CN"/>
                    </w:rPr>
                    <w:t>，新疆红帆生物科技有限公司东侧。用地性质为工业用地，本项目符合焉耆工业园区的总体规划。</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A2污染物排放管控</w:t>
                  </w:r>
                </w:p>
              </w:tc>
              <w:tc>
                <w:tcPr>
                  <w:tcW w:w="7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A2.1污染物削减/替代要求</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2.1-1〕新、改、扩建重点行业建设项目应符合“三线一单”、产业政策、区域环评、规划环评和行业环境准入管控要求。重点区域的新、改、扩建重点行业建设项目应遵循重点重金属污染物排放“减量替代”原则。</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符合，本项目位于</w:t>
                  </w:r>
                  <w:r>
                    <w:rPr>
                      <w:rFonts w:hint="eastAsia" w:cs="Times New Roman"/>
                      <w:kern w:val="0"/>
                      <w:sz w:val="21"/>
                      <w:szCs w:val="21"/>
                      <w:lang w:val="en-US" w:eastAsia="zh-CN"/>
                    </w:rPr>
                    <w:t>焉耆工业园区农副产品加工园</w:t>
                  </w:r>
                  <w:r>
                    <w:rPr>
                      <w:rFonts w:hint="eastAsia" w:ascii="Times New Roman" w:hAnsi="Times New Roman" w:eastAsia="宋体" w:cs="Times New Roman"/>
                      <w:kern w:val="0"/>
                      <w:sz w:val="21"/>
                      <w:szCs w:val="21"/>
                      <w:lang w:val="en-US" w:eastAsia="zh-CN"/>
                    </w:rPr>
                    <w:t>，</w:t>
                  </w:r>
                  <w:r>
                    <w:rPr>
                      <w:rFonts w:hint="eastAsia" w:cs="Times New Roman"/>
                      <w:kern w:val="0"/>
                      <w:sz w:val="21"/>
                      <w:szCs w:val="21"/>
                      <w:lang w:val="en-US" w:eastAsia="zh-CN"/>
                    </w:rPr>
                    <w:t>不在</w:t>
                  </w:r>
                  <w:r>
                    <w:rPr>
                      <w:rFonts w:hint="eastAsia" w:ascii="Times New Roman" w:hAnsi="Times New Roman" w:eastAsia="宋体" w:cs="Times New Roman"/>
                      <w:kern w:val="0"/>
                      <w:sz w:val="21"/>
                      <w:szCs w:val="21"/>
                      <w:lang w:val="en-US" w:eastAsia="zh-CN"/>
                    </w:rPr>
                    <w:t>重点控制区范围内，本项目不排放重金属污染物</w:t>
                  </w:r>
                  <w:r>
                    <w:rPr>
                      <w:rFonts w:hint="default" w:ascii="Times New Roman" w:hAnsi="Times New Roman" w:eastAsia="宋体" w:cs="Times New Roman"/>
                      <w:kern w:val="0"/>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2.1-3〕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eastAsia="宋体"/>
                      <w:sz w:val="21"/>
                      <w:szCs w:val="21"/>
                      <w:lang w:val="en-US" w:eastAsia="zh-CN"/>
                    </w:rPr>
                  </w:pPr>
                  <w:r>
                    <w:rPr>
                      <w:rFonts w:hint="default" w:ascii="Times New Roman" w:hAnsi="Times New Roman" w:eastAsia="宋体" w:cs="Times New Roman"/>
                      <w:kern w:val="0"/>
                      <w:sz w:val="21"/>
                      <w:szCs w:val="21"/>
                      <w:lang w:val="en-US" w:eastAsia="zh-CN"/>
                    </w:rPr>
                    <w:t>符合，</w:t>
                  </w:r>
                  <w:r>
                    <w:rPr>
                      <w:rFonts w:hint="eastAsia" w:ascii="Times New Roman" w:eastAsia="宋体"/>
                      <w:sz w:val="21"/>
                      <w:szCs w:val="21"/>
                      <w:lang w:val="en-US" w:eastAsia="zh-CN"/>
                    </w:rPr>
                    <w:t>本项目锅炉采用低氮燃烧技术，颗粒物、SO</w:t>
                  </w:r>
                  <w:r>
                    <w:rPr>
                      <w:rFonts w:hint="eastAsia" w:ascii="Times New Roman" w:eastAsia="宋体"/>
                      <w:sz w:val="21"/>
                      <w:szCs w:val="21"/>
                      <w:vertAlign w:val="subscript"/>
                      <w:lang w:val="en-US" w:eastAsia="zh-CN"/>
                    </w:rPr>
                    <w:t>2</w:t>
                  </w:r>
                  <w:r>
                    <w:rPr>
                      <w:rFonts w:hint="eastAsia"/>
                      <w:sz w:val="21"/>
                      <w:szCs w:val="21"/>
                      <w:vertAlign w:val="baseline"/>
                      <w:lang w:val="en-US" w:eastAsia="zh-CN"/>
                    </w:rPr>
                    <w:t>、</w:t>
                  </w:r>
                  <w:r>
                    <w:rPr>
                      <w:rFonts w:hint="eastAsia" w:ascii="Times New Roman" w:eastAsia="宋体"/>
                      <w:sz w:val="21"/>
                      <w:szCs w:val="21"/>
                      <w:lang w:val="en-US" w:eastAsia="zh-CN"/>
                    </w:rPr>
                    <w:t>NO</w:t>
                  </w:r>
                  <w:r>
                    <w:rPr>
                      <w:rFonts w:hint="eastAsia" w:ascii="Times New Roman" w:eastAsia="宋体"/>
                      <w:sz w:val="21"/>
                      <w:szCs w:val="21"/>
                      <w:vertAlign w:val="subscript"/>
                      <w:lang w:val="en-US" w:eastAsia="zh-CN"/>
                    </w:rPr>
                    <w:t>X</w:t>
                  </w:r>
                  <w:r>
                    <w:rPr>
                      <w:rFonts w:hint="eastAsia" w:ascii="Times New Roman" w:eastAsia="宋体"/>
                      <w:sz w:val="21"/>
                      <w:szCs w:val="21"/>
                      <w:lang w:val="en-US" w:eastAsia="zh-CN"/>
                    </w:rPr>
                    <w:t>执行《锅炉大气污染物排放标准》（GB13271-2014）中表2排放限值。</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eastAsia="宋体"/>
                      <w:sz w:val="21"/>
                      <w:szCs w:val="21"/>
                      <w:lang w:val="en-US" w:eastAsia="zh-CN"/>
                    </w:rPr>
                    <w:t>生产异味可满足《恶臭污染物排放标准》GB14554-93) 中无组织限值。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A2.2污染控制措施要求</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eastAsia="宋体"/>
                      <w:sz w:val="21"/>
                      <w:szCs w:val="21"/>
                      <w:lang w:val="en-US" w:eastAsia="zh-CN"/>
                    </w:rPr>
                  </w:pPr>
                  <w:r>
                    <w:rPr>
                      <w:rFonts w:hint="default" w:ascii="Times New Roman" w:hAnsi="Times New Roman" w:eastAsia="宋体" w:cs="Times New Roman"/>
                      <w:kern w:val="0"/>
                      <w:sz w:val="21"/>
                      <w:szCs w:val="21"/>
                      <w:lang w:val="en-US" w:eastAsia="zh-CN"/>
                    </w:rPr>
                    <w:t>符合，</w:t>
                  </w:r>
                  <w:r>
                    <w:rPr>
                      <w:rFonts w:hint="eastAsia" w:ascii="Times New Roman" w:eastAsia="宋体"/>
                      <w:sz w:val="21"/>
                      <w:szCs w:val="21"/>
                      <w:lang w:val="en-US" w:eastAsia="zh-CN"/>
                    </w:rPr>
                    <w:t>本项目锅炉采用低氮燃烧技术，颗粒物、SO</w:t>
                  </w:r>
                  <w:r>
                    <w:rPr>
                      <w:rFonts w:hint="eastAsia" w:ascii="Times New Roman" w:eastAsia="宋体"/>
                      <w:sz w:val="21"/>
                      <w:szCs w:val="21"/>
                      <w:vertAlign w:val="subscript"/>
                      <w:lang w:val="en-US" w:eastAsia="zh-CN"/>
                    </w:rPr>
                    <w:t>2</w:t>
                  </w:r>
                  <w:r>
                    <w:rPr>
                      <w:rFonts w:hint="eastAsia" w:ascii="Times New Roman" w:eastAsia="宋体"/>
                      <w:sz w:val="21"/>
                      <w:szCs w:val="21"/>
                      <w:vertAlign w:val="baseline"/>
                      <w:lang w:val="en-US" w:eastAsia="zh-CN"/>
                    </w:rPr>
                    <w:t>、</w:t>
                  </w:r>
                  <w:r>
                    <w:rPr>
                      <w:rFonts w:hint="eastAsia" w:ascii="Times New Roman" w:eastAsia="宋体"/>
                      <w:sz w:val="21"/>
                      <w:szCs w:val="21"/>
                      <w:lang w:val="en-US" w:eastAsia="zh-CN"/>
                    </w:rPr>
                    <w:t>NO</w:t>
                  </w:r>
                  <w:r>
                    <w:rPr>
                      <w:rFonts w:hint="eastAsia" w:ascii="Times New Roman" w:eastAsia="宋体"/>
                      <w:sz w:val="21"/>
                      <w:szCs w:val="21"/>
                      <w:vertAlign w:val="subscript"/>
                      <w:lang w:val="en-US" w:eastAsia="zh-CN"/>
                    </w:rPr>
                    <w:t>X</w:t>
                  </w:r>
                  <w:r>
                    <w:rPr>
                      <w:rFonts w:hint="eastAsia" w:ascii="Times New Roman" w:eastAsia="宋体"/>
                      <w:sz w:val="21"/>
                      <w:szCs w:val="21"/>
                      <w:lang w:val="en-US" w:eastAsia="zh-CN"/>
                    </w:rPr>
                    <w:t>执行《锅炉大气污染物排放标准》（GB13271-2014）中表2排放限值。</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eastAsia="宋体"/>
                      <w:sz w:val="21"/>
                      <w:szCs w:val="21"/>
                      <w:lang w:val="en-US" w:eastAsia="zh-CN"/>
                    </w:rPr>
                    <w:t>生产异味可满足《恶臭污染物排放标准》GB14554-93) 中无组织限值。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w:t>
                  </w:r>
                  <w:r>
                    <w:rPr>
                      <w:rFonts w:hint="eastAsia" w:cs="Times New Roman"/>
                      <w:kern w:val="0"/>
                      <w:sz w:val="21"/>
                      <w:szCs w:val="21"/>
                      <w:lang w:val="en-US" w:eastAsia="zh-CN"/>
                    </w:rPr>
                    <w:t>不在</w:t>
                  </w:r>
                  <w:r>
                    <w:rPr>
                      <w:rFonts w:hint="default" w:ascii="Times New Roman" w:hAnsi="Times New Roman" w:eastAsia="宋体" w:cs="Times New Roman"/>
                      <w:kern w:val="0"/>
                      <w:sz w:val="21"/>
                      <w:szCs w:val="21"/>
                      <w:lang w:val="en-US" w:eastAsia="zh-CN"/>
                    </w:rPr>
                    <w:t>重点控制区内，锅炉采用低氮燃烧技术</w:t>
                  </w:r>
                  <w:r>
                    <w:rPr>
                      <w:rFonts w:hint="eastAsia"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A3环境风险防控</w:t>
                  </w: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A3.1人居环境要求</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〔A3.1-1〕建立和完善重污染天气兵地联合应急预案、预报预警应急机制和会商联动机制。“乌一昌一石”区域内可能影响相邻行政区域大气环境的项目，兵地间、城市间必须相互征求意见。</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符合，本项目积极响应重污染天气应急预案。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3.2-3〕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eastAsia="宋体"/>
                      <w:sz w:val="21"/>
                      <w:szCs w:val="21"/>
                      <w:lang w:val="en-US" w:eastAsia="zh-CN"/>
                    </w:rPr>
                  </w:pPr>
                  <w:r>
                    <w:rPr>
                      <w:rFonts w:hint="default" w:ascii="Times New Roman" w:hAnsi="Times New Roman" w:eastAsia="宋体" w:cs="Times New Roman"/>
                      <w:kern w:val="0"/>
                      <w:sz w:val="21"/>
                      <w:szCs w:val="21"/>
                      <w:lang w:val="en-US" w:eastAsia="zh-CN"/>
                    </w:rPr>
                    <w:t>符合，</w:t>
                  </w:r>
                  <w:r>
                    <w:rPr>
                      <w:rFonts w:hint="eastAsia" w:ascii="Times New Roman" w:eastAsia="宋体"/>
                      <w:sz w:val="21"/>
                      <w:szCs w:val="21"/>
                      <w:lang w:val="en-US" w:eastAsia="zh-CN"/>
                    </w:rPr>
                    <w:t>本项目锅炉采用低氮燃烧技术，颗粒物、SO</w:t>
                  </w:r>
                  <w:r>
                    <w:rPr>
                      <w:rFonts w:hint="eastAsia" w:ascii="Times New Roman" w:eastAsia="宋体"/>
                      <w:sz w:val="21"/>
                      <w:szCs w:val="21"/>
                      <w:vertAlign w:val="subscript"/>
                      <w:lang w:val="en-US" w:eastAsia="zh-CN"/>
                    </w:rPr>
                    <w:t>2</w:t>
                  </w:r>
                  <w:r>
                    <w:rPr>
                      <w:rFonts w:hint="eastAsia" w:ascii="Times New Roman" w:eastAsia="宋体"/>
                      <w:sz w:val="21"/>
                      <w:szCs w:val="21"/>
                      <w:vertAlign w:val="baseline"/>
                      <w:lang w:val="en-US" w:eastAsia="zh-CN"/>
                    </w:rPr>
                    <w:t>、</w:t>
                  </w:r>
                  <w:r>
                    <w:rPr>
                      <w:rFonts w:hint="eastAsia" w:ascii="Times New Roman" w:eastAsia="宋体"/>
                      <w:sz w:val="21"/>
                      <w:szCs w:val="21"/>
                      <w:lang w:val="en-US" w:eastAsia="zh-CN"/>
                    </w:rPr>
                    <w:t>NO</w:t>
                  </w:r>
                  <w:r>
                    <w:rPr>
                      <w:rFonts w:hint="eastAsia" w:ascii="Times New Roman" w:eastAsia="宋体"/>
                      <w:sz w:val="21"/>
                      <w:szCs w:val="21"/>
                      <w:vertAlign w:val="subscript"/>
                      <w:lang w:val="en-US" w:eastAsia="zh-CN"/>
                    </w:rPr>
                    <w:t>X</w:t>
                  </w:r>
                  <w:r>
                    <w:rPr>
                      <w:rFonts w:hint="eastAsia" w:ascii="Times New Roman" w:eastAsia="宋体"/>
                      <w:sz w:val="21"/>
                      <w:szCs w:val="21"/>
                      <w:lang w:val="en-US" w:eastAsia="zh-CN"/>
                    </w:rPr>
                    <w:t>执行《锅炉大气污染物排放标准》（GB13271-2014）中表2排放限值。</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eastAsia="宋体"/>
                      <w:sz w:val="21"/>
                      <w:szCs w:val="21"/>
                      <w:lang w:val="en-US" w:eastAsia="zh-CN"/>
                    </w:rPr>
                    <w:t>生产异味可满足《恶臭污染物排放标准》GB14554-93) 中无组织限值。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符合，本项目建成后需编制突发环境事件应急预案。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3.2-6〕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符合，本项目积极响应重污染天气应急预案。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A4资源利用要求</w:t>
                  </w: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A4.1水资源</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4.1-2〕加大城镇污水再生利用工程建设力度，推进区域再生水循环利用，到2025年，城市生活污水再生利用率力争达到60%。〔A4.1-3〕加强农村水利基础设施建设，推进农村供水保障工程，农村自来水普及率、集中供水率分别达到99.3%、99.7%。</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符合，本项目生产废水集中收集至厂区内污水处理站进行处理，处理满足</w:t>
                  </w:r>
                  <w:r>
                    <w:rPr>
                      <w:rFonts w:hint="eastAsia" w:cs="Times New Roman"/>
                      <w:kern w:val="0"/>
                      <w:sz w:val="21"/>
                      <w:szCs w:val="21"/>
                      <w:lang w:val="en-US" w:eastAsia="zh-CN"/>
                    </w:rPr>
                    <w:t>《发酵酒精和白酒工业水污染物排放标准》（GB 27631-2011）及修改单</w:t>
                  </w:r>
                  <w:r>
                    <w:rPr>
                      <w:rFonts w:hint="default" w:ascii="Times New Roman" w:hAnsi="Times New Roman" w:eastAsia="宋体" w:cs="Times New Roman"/>
                      <w:kern w:val="0"/>
                      <w:sz w:val="21"/>
                      <w:szCs w:val="21"/>
                      <w:lang w:val="en-US" w:eastAsia="zh-CN"/>
                    </w:rPr>
                    <w:t>中表2间接排放标准后通过园区下水管网进入园区污水处理厂进行处理。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A4.2土地资源</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〔A4.2-1〕土地资源上线指标控制在最终批复的国土空间规划控制指标内。</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w:t>
                  </w:r>
                  <w:r>
                    <w:rPr>
                      <w:rFonts w:hint="eastAsia" w:cs="Times New Roman"/>
                      <w:kern w:val="0"/>
                      <w:sz w:val="21"/>
                      <w:szCs w:val="21"/>
                      <w:lang w:val="en-US" w:eastAsia="zh-CN"/>
                    </w:rPr>
                    <w:t>位于园区内用地，用地在焉耆县国土空间规划控制指标内</w:t>
                  </w:r>
                  <w:r>
                    <w:rPr>
                      <w:rFonts w:hint="default" w:ascii="Times New Roman" w:hAnsi="Times New Roman" w:eastAsia="宋体" w:cs="Times New Roman"/>
                      <w:kern w:val="0"/>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A4.4禁燃区要求</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〔A4.4-1〕在禁燃区内，禁止销售、燃用高污染燃料；禁止新建、扩建燃用高污染燃料的设施。已建成的，应当在规定期限内改用清洁能源。</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符合，本项目不涉及。</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p>
              </w:tc>
              <w:tc>
                <w:tcPr>
                  <w:tcW w:w="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A4.5资源综合利用</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3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符合，本项目产生的一般工业固废酒糟集中收集后外售；废包装袋、废过滤材料、破损酒瓶</w:t>
                  </w:r>
                  <w:r>
                    <w:rPr>
                      <w:rFonts w:hint="eastAsia" w:cs="Times New Roman"/>
                      <w:kern w:val="0"/>
                      <w:sz w:val="21"/>
                      <w:szCs w:val="21"/>
                      <w:lang w:val="en-US" w:eastAsia="zh-CN"/>
                    </w:rPr>
                    <w:t>、污泥</w:t>
                  </w:r>
                  <w:r>
                    <w:rPr>
                      <w:rFonts w:hint="default" w:ascii="Times New Roman" w:hAnsi="Times New Roman" w:eastAsia="宋体" w:cs="Times New Roman"/>
                      <w:kern w:val="0"/>
                      <w:sz w:val="21"/>
                      <w:szCs w:val="21"/>
                      <w:lang w:val="en-US" w:eastAsia="zh-CN"/>
                    </w:rPr>
                    <w:t>集中收集后交由一般固废处置单位进行处置。</w:t>
                  </w:r>
                </w:p>
              </w:tc>
            </w:tr>
          </w:tbl>
          <w:p>
            <w:pPr>
              <w:pStyle w:val="46"/>
              <w:bidi w:val="0"/>
              <w:rPr>
                <w:rFonts w:hint="eastAsia"/>
                <w:lang w:eastAsia="zh-CN"/>
              </w:rPr>
            </w:pPr>
            <w:r>
              <w:rPr>
                <w:rFonts w:hint="eastAsia"/>
                <w:lang w:val="en-US" w:eastAsia="zh-CN"/>
              </w:rPr>
              <w:t>综上所述，本项目符合《关于印发&lt;新疆维吾尔自治区生态环境分区管控动态更新成果&gt;的通知》（新政发〔2024〕157号）管控要求</w:t>
            </w:r>
            <w:r>
              <w:rPr>
                <w:rFonts w:hint="eastAsia"/>
                <w:lang w:eastAsia="zh-CN"/>
              </w:rPr>
              <w:t>。</w:t>
            </w:r>
          </w:p>
          <w:p>
            <w:pPr>
              <w:pStyle w:val="46"/>
              <w:bidi w:val="0"/>
              <w:rPr>
                <w:rFonts w:hint="eastAsia"/>
                <w:lang w:eastAsia="zh-CN"/>
              </w:rPr>
            </w:pPr>
            <w:r>
              <w:rPr>
                <w:rFonts w:hint="eastAsia"/>
                <w:lang w:val="en-US" w:eastAsia="zh-CN"/>
              </w:rPr>
              <w:t>本项目与</w:t>
            </w:r>
            <w:r>
              <w:rPr>
                <w:rFonts w:hint="eastAsia"/>
              </w:rPr>
              <w:t>《新疆维吾尔自治区七大片区</w:t>
            </w:r>
            <w:r>
              <w:rPr>
                <w:rFonts w:hint="eastAsia"/>
                <w:lang w:eastAsia="zh-CN"/>
              </w:rPr>
              <w:t>“</w:t>
            </w:r>
            <w:r>
              <w:rPr>
                <w:rFonts w:hint="eastAsia"/>
              </w:rPr>
              <w:t>三线一单</w:t>
            </w:r>
            <w:r>
              <w:rPr>
                <w:rFonts w:hint="eastAsia"/>
                <w:lang w:eastAsia="zh-CN"/>
              </w:rPr>
              <w:t>”</w:t>
            </w:r>
            <w:r>
              <w:rPr>
                <w:rFonts w:hint="eastAsia"/>
              </w:rPr>
              <w:t>生态环境分区管控要求》（2021年版）（新环环评发〔2021〕162号）</w:t>
            </w:r>
            <w:r>
              <w:rPr>
                <w:rFonts w:hint="eastAsia"/>
                <w:lang w:val="en-US" w:eastAsia="zh-CN"/>
              </w:rPr>
              <w:t>符合性分析见表1-2</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表1-</w:t>
            </w:r>
            <w:r>
              <w:rPr>
                <w:rFonts w:hint="eastAsia"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新疆维吾尔自治区七大片区“三线一单”分析</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3932"/>
              <w:gridCol w:w="2823"/>
              <w:gridCol w:w="4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25" w:type="pct"/>
                  <w:tcBorders>
                    <w:tl2br w:val="nil"/>
                    <w:tr2bl w:val="nil"/>
                  </w:tcBorders>
                  <w:noWrap w:val="0"/>
                  <w:vAlign w:val="center"/>
                </w:tcPr>
                <w:p>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管控要求</w:t>
                  </w:r>
                </w:p>
              </w:tc>
              <w:tc>
                <w:tcPr>
                  <w:tcW w:w="2535" w:type="pct"/>
                  <w:tcBorders>
                    <w:tl2br w:val="nil"/>
                    <w:tr2bl w:val="nil"/>
                  </w:tcBorders>
                  <w:noWrap w:val="0"/>
                  <w:vAlign w:val="center"/>
                </w:tcPr>
                <w:p>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“三线一单”要求</w:t>
                  </w:r>
                </w:p>
              </w:tc>
              <w:tc>
                <w:tcPr>
                  <w:tcW w:w="1826" w:type="pct"/>
                  <w:tcBorders>
                    <w:tl2br w:val="nil"/>
                    <w:tr2bl w:val="nil"/>
                  </w:tcBorders>
                  <w:noWrap w:val="0"/>
                  <w:vAlign w:val="center"/>
                </w:tcPr>
                <w:p>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工程具体情况</w:t>
                  </w:r>
                </w:p>
              </w:tc>
              <w:tc>
                <w:tcPr>
                  <w:tcW w:w="212" w:type="pct"/>
                  <w:tcBorders>
                    <w:tl2br w:val="nil"/>
                    <w:tr2bl w:val="nil"/>
                  </w:tcBorders>
                  <w:noWrap w:val="0"/>
                  <w:vAlign w:val="center"/>
                </w:tcPr>
                <w:p>
                  <w:pPr>
                    <w:widowControl/>
                    <w:autoSpaceDE/>
                    <w:autoSpaceDN/>
                    <w:spacing w:line="320" w:lineRule="exact"/>
                    <w:jc w:val="center"/>
                    <w:rPr>
                      <w:rFonts w:hint="eastAsia" w:ascii="Times New Roman" w:hAnsi="Times New Roman" w:eastAsia="宋体" w:cs="Times New Roman"/>
                      <w:b/>
                      <w:bCs/>
                      <w:color w:val="000000"/>
                      <w:spacing w:val="0"/>
                      <w:kern w:val="0"/>
                      <w:sz w:val="21"/>
                      <w:szCs w:val="21"/>
                      <w:highlight w:val="none"/>
                      <w:lang w:val="en-US" w:eastAsia="zh-CN"/>
                    </w:rPr>
                  </w:pPr>
                  <w:r>
                    <w:rPr>
                      <w:rFonts w:hint="eastAsia" w:ascii="Times New Roman" w:hAnsi="Times New Roman" w:eastAsia="宋体" w:cs="Times New Roman"/>
                      <w:b/>
                      <w:bCs/>
                      <w:color w:val="000000"/>
                      <w:spacing w:val="0"/>
                      <w:kern w:val="0"/>
                      <w:sz w:val="21"/>
                      <w:szCs w:val="21"/>
                      <w:highlight w:val="none"/>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42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空间布局约束</w:t>
                  </w:r>
                </w:p>
              </w:tc>
              <w:tc>
                <w:tcPr>
                  <w:tcW w:w="253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严格执行国家、自治区产业政策和环境准入要求，严禁</w:t>
                  </w:r>
                  <w:r>
                    <w:rPr>
                      <w:rFonts w:hint="eastAsia"/>
                      <w:spacing w:val="0"/>
                      <w:kern w:val="0"/>
                      <w:lang w:eastAsia="zh-CN"/>
                    </w:rPr>
                    <w:t>“</w:t>
                  </w:r>
                  <w:r>
                    <w:rPr>
                      <w:rFonts w:hint="eastAsia"/>
                      <w:spacing w:val="0"/>
                      <w:kern w:val="0"/>
                    </w:rPr>
                    <w:t>三高</w:t>
                  </w:r>
                  <w:r>
                    <w:rPr>
                      <w:rFonts w:hint="eastAsia"/>
                      <w:spacing w:val="0"/>
                      <w:kern w:val="0"/>
                      <w:lang w:eastAsia="zh-CN"/>
                    </w:rPr>
                    <w:t>”</w:t>
                  </w:r>
                  <w:r>
                    <w:rPr>
                      <w:rFonts w:hint="eastAsia"/>
                      <w:spacing w:val="0"/>
                      <w:kern w:val="0"/>
                    </w:rPr>
                    <w:t>项目进入新疆，坚决遏制</w:t>
                  </w:r>
                  <w:r>
                    <w:rPr>
                      <w:rFonts w:hint="eastAsia"/>
                      <w:spacing w:val="0"/>
                      <w:kern w:val="0"/>
                      <w:lang w:eastAsia="zh-CN"/>
                    </w:rPr>
                    <w:t>“</w:t>
                  </w:r>
                  <w:r>
                    <w:rPr>
                      <w:rFonts w:hint="eastAsia"/>
                      <w:spacing w:val="0"/>
                      <w:kern w:val="0"/>
                    </w:rPr>
                    <w:t>两高</w:t>
                  </w:r>
                  <w:r>
                    <w:rPr>
                      <w:rFonts w:hint="eastAsia"/>
                      <w:spacing w:val="0"/>
                      <w:kern w:val="0"/>
                      <w:lang w:eastAsia="zh-CN"/>
                    </w:rPr>
                    <w:t>”</w:t>
                  </w:r>
                  <w:r>
                    <w:rPr>
                      <w:rFonts w:hint="eastAsia"/>
                      <w:spacing w:val="0"/>
                      <w:kern w:val="0"/>
                    </w:rPr>
                    <w:t>项目盲目发展。不得在水源涵养区、饮用水水源保护区内和河流、湖泊、水库周围建设重化工、涉重金属等工业污染项目。推动项目集聚发展，新建、改建、扩建工业项目原则应布置于县级及以上人民政府批准建立、环境保护设施完善的产业园区、工业聚集区或规划矿区，并且符合相关规划和规划环评要求。</w:t>
                  </w:r>
                </w:p>
              </w:tc>
              <w:tc>
                <w:tcPr>
                  <w:tcW w:w="1826"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spacing w:val="0"/>
                      <w:kern w:val="0"/>
                    </w:rPr>
                  </w:pPr>
                  <w:r>
                    <w:rPr>
                      <w:rFonts w:hint="eastAsia"/>
                      <w:spacing w:val="0"/>
                      <w:kern w:val="0"/>
                    </w:rPr>
                    <w:t>本项目不属于</w:t>
                  </w:r>
                  <w:r>
                    <w:rPr>
                      <w:rFonts w:hint="eastAsia"/>
                      <w:spacing w:val="0"/>
                      <w:kern w:val="0"/>
                      <w:lang w:eastAsia="zh-CN"/>
                    </w:rPr>
                    <w:t>“</w:t>
                  </w:r>
                  <w:r>
                    <w:rPr>
                      <w:rFonts w:hint="eastAsia"/>
                      <w:spacing w:val="0"/>
                      <w:kern w:val="0"/>
                    </w:rPr>
                    <w:t>三高项目</w:t>
                  </w:r>
                  <w:r>
                    <w:rPr>
                      <w:rFonts w:hint="eastAsia"/>
                      <w:spacing w:val="0"/>
                      <w:kern w:val="0"/>
                      <w:lang w:eastAsia="zh-CN"/>
                    </w:rPr>
                    <w:t>”</w:t>
                  </w:r>
                  <w:r>
                    <w:rPr>
                      <w:rFonts w:hint="eastAsia"/>
                      <w:spacing w:val="0"/>
                      <w:kern w:val="0"/>
                    </w:rPr>
                    <w:t>。项目周边无水源涵养区、饮用水水源</w:t>
                  </w:r>
                  <w:r>
                    <w:rPr>
                      <w:rFonts w:hint="eastAsia"/>
                      <w:spacing w:val="0"/>
                      <w:kern w:val="0"/>
                      <w:lang w:eastAsia="zh-CN"/>
                    </w:rPr>
                    <w:t>保护区</w:t>
                  </w:r>
                  <w:r>
                    <w:rPr>
                      <w:rFonts w:hint="eastAsia"/>
                      <w:spacing w:val="0"/>
                      <w:kern w:val="0"/>
                    </w:rPr>
                    <w:t>和河流、湖泊、水库。本项目</w:t>
                  </w:r>
                  <w:r>
                    <w:rPr>
                      <w:rFonts w:hint="eastAsia"/>
                      <w:spacing w:val="0"/>
                      <w:kern w:val="0"/>
                      <w:lang w:val="en-US" w:eastAsia="zh-CN"/>
                    </w:rPr>
                    <w:t>为C1512白酒制造</w:t>
                  </w:r>
                  <w:r>
                    <w:rPr>
                      <w:rFonts w:hint="eastAsia"/>
                      <w:spacing w:val="0"/>
                      <w:kern w:val="0"/>
                    </w:rPr>
                    <w:t>行业</w:t>
                  </w:r>
                  <w:r>
                    <w:rPr>
                      <w:rFonts w:hint="eastAsia"/>
                      <w:spacing w:val="0"/>
                      <w:kern w:val="0"/>
                      <w:lang w:eastAsia="zh-CN"/>
                    </w:rPr>
                    <w:t>，</w:t>
                  </w:r>
                  <w:r>
                    <w:rPr>
                      <w:rFonts w:hint="eastAsia"/>
                      <w:spacing w:val="0"/>
                      <w:kern w:val="0"/>
                      <w:lang w:val="en-US" w:eastAsia="zh-CN"/>
                    </w:rPr>
                    <w:t>符合</w:t>
                  </w:r>
                  <w:r>
                    <w:rPr>
                      <w:rFonts w:hint="eastAsia" w:cs="Times New Roman"/>
                      <w:color w:val="auto"/>
                      <w:spacing w:val="0"/>
                      <w:kern w:val="0"/>
                      <w:sz w:val="21"/>
                      <w:szCs w:val="21"/>
                      <w:highlight w:val="none"/>
                      <w:vertAlign w:val="baseline"/>
                      <w:lang w:val="en-US" w:eastAsia="zh-CN"/>
                    </w:rPr>
                    <w:t>焉耆工业园区农副产品加工园</w:t>
                  </w:r>
                  <w:r>
                    <w:rPr>
                      <w:rFonts w:hint="default" w:ascii="Times New Roman" w:hAnsi="Times New Roman" w:eastAsia="宋体" w:cs="Times New Roman"/>
                      <w:color w:val="auto"/>
                      <w:spacing w:val="0"/>
                      <w:kern w:val="0"/>
                      <w:sz w:val="21"/>
                      <w:szCs w:val="21"/>
                      <w:highlight w:val="none"/>
                      <w:vertAlign w:val="baseline"/>
                      <w:lang w:val="en-US" w:eastAsia="zh-CN"/>
                    </w:rPr>
                    <w:t>总体规划</w:t>
                  </w:r>
                  <w:r>
                    <w:rPr>
                      <w:rFonts w:hint="eastAsia" w:cs="Times New Roman"/>
                      <w:color w:val="auto"/>
                      <w:spacing w:val="0"/>
                      <w:kern w:val="0"/>
                      <w:sz w:val="21"/>
                      <w:szCs w:val="21"/>
                      <w:highlight w:val="none"/>
                      <w:vertAlign w:val="baseline"/>
                      <w:lang w:val="en-US" w:eastAsia="zh-CN"/>
                    </w:rPr>
                    <w:t>及规划环评要求</w:t>
                  </w:r>
                  <w:r>
                    <w:rPr>
                      <w:rFonts w:hint="eastAsia"/>
                      <w:spacing w:val="0"/>
                      <w:kern w:val="0"/>
                    </w:rPr>
                    <w:t>；符合空间布局约束要求。</w:t>
                  </w:r>
                </w:p>
              </w:tc>
              <w:tc>
                <w:tcPr>
                  <w:tcW w:w="212" w:type="pct"/>
                  <w:tcBorders>
                    <w:tl2br w:val="nil"/>
                    <w:tr2bl w:val="nil"/>
                  </w:tcBorders>
                  <w:noWrap w:val="0"/>
                  <w:vAlign w:val="center"/>
                </w:tcPr>
                <w:p>
                  <w:pPr>
                    <w:pStyle w:val="119"/>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污染物排放管控</w:t>
                  </w:r>
                </w:p>
              </w:tc>
              <w:tc>
                <w:tcPr>
                  <w:tcW w:w="253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深化行业污染源头治理，深入开展火电行业减排，全力推进钢铁行业超低排放改造，有序推进石化行业</w:t>
                  </w:r>
                  <w:r>
                    <w:rPr>
                      <w:rFonts w:hint="eastAsia"/>
                      <w:spacing w:val="0"/>
                      <w:kern w:val="0"/>
                      <w:lang w:eastAsia="zh-CN"/>
                    </w:rPr>
                    <w:t>“</w:t>
                  </w:r>
                  <w:r>
                    <w:rPr>
                      <w:rFonts w:hint="eastAsia"/>
                      <w:spacing w:val="0"/>
                      <w:kern w:val="0"/>
                    </w:rPr>
                    <w:t>泄漏检测与修复</w:t>
                  </w:r>
                  <w:r>
                    <w:rPr>
                      <w:rFonts w:hint="eastAsia"/>
                      <w:spacing w:val="0"/>
                      <w:kern w:val="0"/>
                      <w:lang w:eastAsia="zh-CN"/>
                    </w:rPr>
                    <w:t>”</w:t>
                  </w:r>
                  <w:r>
                    <w:rPr>
                      <w:rFonts w:hint="eastAsia"/>
                      <w:spacing w:val="0"/>
                      <w:kern w:val="0"/>
                    </w:rPr>
                    <w:t>技术改造。强化煤化工、石化、有机化工、表面涂装、包装印刷等重点行业挥发性有机物控制。深入开展燃煤锅炉污染综合整治，深化工业炉窑综合治理。加强</w:t>
                  </w:r>
                  <w:r>
                    <w:rPr>
                      <w:rFonts w:hint="eastAsia"/>
                      <w:spacing w:val="0"/>
                      <w:kern w:val="0"/>
                      <w:lang w:eastAsia="zh-CN"/>
                    </w:rPr>
                    <w:t>“</w:t>
                  </w:r>
                  <w:r>
                    <w:rPr>
                      <w:rFonts w:hint="eastAsia"/>
                      <w:spacing w:val="0"/>
                      <w:kern w:val="0"/>
                    </w:rPr>
                    <w:t>散乱污</w:t>
                  </w:r>
                  <w:r>
                    <w:rPr>
                      <w:rFonts w:hint="eastAsia"/>
                      <w:spacing w:val="0"/>
                      <w:kern w:val="0"/>
                      <w:lang w:eastAsia="zh-CN"/>
                    </w:rPr>
                    <w:t>”</w:t>
                  </w:r>
                  <w:r>
                    <w:rPr>
                      <w:rFonts w:hint="eastAsia"/>
                      <w:spacing w:val="0"/>
                      <w:kern w:val="0"/>
                    </w:rPr>
                    <w:t>企业综合整治。优化区域交通运输结构，加快货物运输绿色转型，做好车油联合管控。</w:t>
                  </w:r>
                </w:p>
              </w:tc>
              <w:tc>
                <w:tcPr>
                  <w:tcW w:w="18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sz w:val="21"/>
                      <w:szCs w:val="21"/>
                      <w:lang w:val="en-US" w:eastAsia="zh-CN"/>
                    </w:rPr>
                  </w:pPr>
                  <w:r>
                    <w:rPr>
                      <w:rFonts w:hint="eastAsia" w:ascii="Times New Roman" w:eastAsia="宋体"/>
                      <w:sz w:val="21"/>
                      <w:szCs w:val="21"/>
                      <w:lang w:val="en-US" w:eastAsia="zh-CN"/>
                    </w:rPr>
                    <w:t>本项目锅炉采用低氮燃烧技术，颗粒物、SO</w:t>
                  </w:r>
                  <w:r>
                    <w:rPr>
                      <w:rFonts w:hint="eastAsia" w:ascii="Times New Roman" w:eastAsia="宋体"/>
                      <w:sz w:val="21"/>
                      <w:szCs w:val="21"/>
                      <w:vertAlign w:val="subscript"/>
                      <w:lang w:val="en-US" w:eastAsia="zh-CN"/>
                    </w:rPr>
                    <w:t>2</w:t>
                  </w:r>
                  <w:r>
                    <w:rPr>
                      <w:rFonts w:hint="eastAsia" w:ascii="Times New Roman" w:eastAsia="宋体"/>
                      <w:sz w:val="21"/>
                      <w:szCs w:val="21"/>
                      <w:vertAlign w:val="baseline"/>
                      <w:lang w:val="en-US" w:eastAsia="zh-CN"/>
                    </w:rPr>
                    <w:t>、</w:t>
                  </w:r>
                  <w:r>
                    <w:rPr>
                      <w:rFonts w:hint="eastAsia" w:ascii="Times New Roman" w:eastAsia="宋体"/>
                      <w:sz w:val="21"/>
                      <w:szCs w:val="21"/>
                      <w:lang w:val="en-US" w:eastAsia="zh-CN"/>
                    </w:rPr>
                    <w:t>NO</w:t>
                  </w:r>
                  <w:r>
                    <w:rPr>
                      <w:rFonts w:hint="eastAsia" w:ascii="Times New Roman" w:eastAsia="宋体"/>
                      <w:sz w:val="21"/>
                      <w:szCs w:val="21"/>
                      <w:vertAlign w:val="subscript"/>
                      <w:lang w:val="en-US" w:eastAsia="zh-CN"/>
                    </w:rPr>
                    <w:t>X</w:t>
                  </w:r>
                  <w:r>
                    <w:rPr>
                      <w:rFonts w:hint="eastAsia" w:ascii="Times New Roman" w:eastAsia="宋体"/>
                      <w:sz w:val="21"/>
                      <w:szCs w:val="21"/>
                      <w:lang w:val="en-US" w:eastAsia="zh-CN"/>
                    </w:rPr>
                    <w:t>执行《锅炉大气污染物排放标准》（GB13271-2014）中表2排放限值。</w:t>
                  </w:r>
                </w:p>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default"/>
                      <w:spacing w:val="0"/>
                      <w:kern w:val="0"/>
                      <w:lang w:val="en-US" w:eastAsia="zh-CN"/>
                    </w:rPr>
                  </w:pPr>
                  <w:r>
                    <w:rPr>
                      <w:rFonts w:hint="eastAsia" w:ascii="Times New Roman" w:eastAsia="宋体"/>
                      <w:sz w:val="21"/>
                      <w:szCs w:val="21"/>
                      <w:lang w:val="en-US" w:eastAsia="zh-CN"/>
                    </w:rPr>
                    <w:t>生产异味可满足《恶臭污染物排放标准》GB14554-93) 中无组织限值。</w:t>
                  </w:r>
                </w:p>
              </w:tc>
              <w:tc>
                <w:tcPr>
                  <w:tcW w:w="212" w:type="pct"/>
                  <w:tcBorders>
                    <w:tl2br w:val="nil"/>
                    <w:tr2bl w:val="nil"/>
                  </w:tcBorders>
                  <w:noWrap w:val="0"/>
                  <w:vAlign w:val="center"/>
                </w:tcPr>
                <w:p>
                  <w:pPr>
                    <w:pStyle w:val="119"/>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环境风险防控</w:t>
                  </w:r>
                </w:p>
              </w:tc>
              <w:tc>
                <w:tcPr>
                  <w:tcW w:w="253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禁止在化工园区外新建、扩建危险化学品生产项目。严格落实危险废物处置相关要求。加强重点流域水环境风险管控，保障水环境安全。</w:t>
                  </w:r>
                </w:p>
              </w:tc>
              <w:tc>
                <w:tcPr>
                  <w:tcW w:w="1826"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spacing w:val="0"/>
                      <w:kern w:val="0"/>
                    </w:rPr>
                  </w:pPr>
                  <w:r>
                    <w:rPr>
                      <w:rFonts w:hint="eastAsia"/>
                      <w:spacing w:val="0"/>
                      <w:kern w:val="0"/>
                    </w:rPr>
                    <w:t>项目</w:t>
                  </w:r>
                  <w:r>
                    <w:rPr>
                      <w:rFonts w:hint="eastAsia"/>
                      <w:spacing w:val="0"/>
                      <w:kern w:val="0"/>
                      <w:lang w:val="en-US" w:eastAsia="zh-CN"/>
                    </w:rPr>
                    <w:t>位于</w:t>
                  </w:r>
                  <w:r>
                    <w:rPr>
                      <w:rFonts w:hint="eastAsia" w:cs="Times New Roman"/>
                      <w:color w:val="auto"/>
                      <w:spacing w:val="0"/>
                      <w:kern w:val="0"/>
                      <w:sz w:val="21"/>
                      <w:szCs w:val="21"/>
                      <w:highlight w:val="none"/>
                      <w:vertAlign w:val="baseline"/>
                      <w:lang w:val="en-US" w:eastAsia="zh-CN"/>
                    </w:rPr>
                    <w:t>焉耆工业园区农副产品加工园</w:t>
                  </w:r>
                  <w:r>
                    <w:rPr>
                      <w:rFonts w:hint="eastAsia"/>
                      <w:spacing w:val="0"/>
                      <w:kern w:val="0"/>
                      <w:lang w:eastAsia="zh-CN"/>
                    </w:rPr>
                    <w:t>。</w:t>
                  </w:r>
                  <w:r>
                    <w:rPr>
                      <w:rFonts w:hint="eastAsia"/>
                      <w:spacing w:val="0"/>
                      <w:kern w:val="0"/>
                    </w:rPr>
                    <w:t>本项目</w:t>
                  </w:r>
                  <w:r>
                    <w:rPr>
                      <w:rFonts w:hint="eastAsia"/>
                      <w:spacing w:val="0"/>
                      <w:kern w:val="0"/>
                      <w:lang w:val="en-US" w:eastAsia="zh-CN"/>
                    </w:rPr>
                    <w:t>不属于新建、扩建危险化学品生产项目</w:t>
                  </w:r>
                  <w:r>
                    <w:rPr>
                      <w:rFonts w:hint="eastAsia"/>
                      <w:spacing w:val="0"/>
                      <w:kern w:val="0"/>
                    </w:rPr>
                    <w:t>。</w:t>
                  </w:r>
                </w:p>
              </w:tc>
              <w:tc>
                <w:tcPr>
                  <w:tcW w:w="212" w:type="pct"/>
                  <w:tcBorders>
                    <w:tl2br w:val="nil"/>
                    <w:tr2bl w:val="nil"/>
                  </w:tcBorders>
                  <w:noWrap w:val="0"/>
                  <w:vAlign w:val="center"/>
                </w:tcPr>
                <w:p>
                  <w:pPr>
                    <w:pStyle w:val="119"/>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资源利用效率要求</w:t>
                  </w:r>
                </w:p>
              </w:tc>
              <w:tc>
                <w:tcPr>
                  <w:tcW w:w="2535"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rFonts w:hint="eastAsia"/>
                      <w:spacing w:val="0"/>
                      <w:kern w:val="0"/>
                    </w:rPr>
                  </w:pPr>
                  <w:r>
                    <w:rPr>
                      <w:rFonts w:hint="eastAsia"/>
                      <w:spacing w:val="0"/>
                      <w:kern w:val="0"/>
                    </w:rPr>
                    <w:t>优化能源结构，控制煤炭等化石能源使用量，鼓励使用清洁能源，协同推进减污降碳。全面实施节水工程，合理开发利用水资源，提升水资源利用效率，保障生态用水，严防地下水超采。</w:t>
                  </w:r>
                </w:p>
              </w:tc>
              <w:tc>
                <w:tcPr>
                  <w:tcW w:w="1826" w:type="pct"/>
                  <w:tcBorders>
                    <w:tl2br w:val="nil"/>
                    <w:tr2bl w:val="nil"/>
                  </w:tcBorders>
                  <w:noWrap w:val="0"/>
                  <w:vAlign w:val="center"/>
                </w:tcPr>
                <w:p>
                  <w:pPr>
                    <w:pStyle w:val="119"/>
                    <w:keepNext w:val="0"/>
                    <w:keepLines w:val="0"/>
                    <w:pageBreakBefore w:val="0"/>
                    <w:widowControl w:val="0"/>
                    <w:kinsoku/>
                    <w:wordWrap/>
                    <w:overflowPunct/>
                    <w:topLinePunct w:val="0"/>
                    <w:autoSpaceDE/>
                    <w:autoSpaceDN/>
                    <w:bidi w:val="0"/>
                    <w:adjustRightInd w:val="0"/>
                    <w:snapToGrid/>
                    <w:jc w:val="center"/>
                    <w:textAlignment w:val="baseline"/>
                    <w:rPr>
                      <w:spacing w:val="0"/>
                      <w:kern w:val="0"/>
                    </w:rPr>
                  </w:pPr>
                  <w:r>
                    <w:rPr>
                      <w:rFonts w:hint="eastAsia"/>
                      <w:spacing w:val="0"/>
                      <w:kern w:val="0"/>
                    </w:rPr>
                    <w:t>项目运营过程中消耗一定量的电力及</w:t>
                  </w:r>
                  <w:r>
                    <w:rPr>
                      <w:rFonts w:hint="eastAsia"/>
                      <w:spacing w:val="0"/>
                      <w:kern w:val="0"/>
                      <w:lang w:val="en-US" w:eastAsia="zh-CN"/>
                    </w:rPr>
                    <w:t>水</w:t>
                  </w:r>
                  <w:r>
                    <w:rPr>
                      <w:rFonts w:hint="eastAsia"/>
                      <w:spacing w:val="0"/>
                      <w:kern w:val="0"/>
                    </w:rPr>
                    <w:t>资源，项目资源消耗相对区域资源利用总量较少，不会超过当地资源利用上线。</w:t>
                  </w:r>
                </w:p>
              </w:tc>
              <w:tc>
                <w:tcPr>
                  <w:tcW w:w="212" w:type="pct"/>
                  <w:tcBorders>
                    <w:tl2br w:val="nil"/>
                    <w:tr2bl w:val="nil"/>
                  </w:tcBorders>
                  <w:noWrap w:val="0"/>
                  <w:vAlign w:val="center"/>
                </w:tcPr>
                <w:p>
                  <w:pPr>
                    <w:pStyle w:val="119"/>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restart"/>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color w:val="auto"/>
                      <w:spacing w:val="0"/>
                      <w:kern w:val="0"/>
                      <w:sz w:val="21"/>
                      <w:szCs w:val="21"/>
                      <w:vertAlign w:val="baseline"/>
                      <w:lang w:val="en-US" w:eastAsia="zh-CN" w:bidi="ar-SA"/>
                    </w:rPr>
                  </w:pPr>
                  <w:r>
                    <w:rPr>
                      <w:rFonts w:hint="eastAsia" w:ascii="Times New Roman" w:hAnsi="宋体" w:eastAsia="宋体" w:cs="宋体"/>
                      <w:color w:val="auto"/>
                      <w:spacing w:val="0"/>
                      <w:kern w:val="0"/>
                      <w:szCs w:val="21"/>
                      <w:highlight w:val="none"/>
                      <w:lang w:bidi="ar"/>
                    </w:rPr>
                    <w:t>天山南坡片区总体管控要求</w:t>
                  </w:r>
                </w:p>
              </w:tc>
              <w:tc>
                <w:tcPr>
                  <w:tcW w:w="2535" w:type="pct"/>
                  <w:tcBorders>
                    <w:tl2br w:val="nil"/>
                    <w:tr2bl w:val="nil"/>
                  </w:tcBorders>
                  <w:shd w:val="clear" w:color="auto" w:fill="auto"/>
                  <w:noWrap w:val="0"/>
                  <w:vAlign w:val="center"/>
                </w:tcPr>
                <w:p>
                  <w:pPr>
                    <w:widowControl/>
                    <w:spacing w:line="0" w:lineRule="atLeast"/>
                    <w:jc w:val="center"/>
                    <w:rPr>
                      <w:rFonts w:hint="eastAsia" w:ascii="Times New Roman" w:hAnsi="Times New Roman" w:eastAsia="宋体" w:cs="Times New Roman"/>
                      <w:color w:val="auto"/>
                      <w:spacing w:val="0"/>
                      <w:kern w:val="0"/>
                      <w:sz w:val="21"/>
                      <w:szCs w:val="21"/>
                      <w:vertAlign w:val="baseline"/>
                      <w:lang w:val="en-US" w:eastAsia="zh-CN" w:bidi="ar-SA"/>
                    </w:rPr>
                  </w:pPr>
                  <w:r>
                    <w:rPr>
                      <w:rFonts w:hint="eastAsia" w:hAnsi="宋体" w:cs="宋体"/>
                      <w:color w:val="auto"/>
                      <w:spacing w:val="0"/>
                      <w:kern w:val="0"/>
                      <w:szCs w:val="21"/>
                      <w:highlight w:val="none"/>
                      <w:lang w:bidi="ar"/>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826" w:type="pct"/>
                  <w:tcBorders>
                    <w:tl2br w:val="nil"/>
                    <w:tr2bl w:val="nil"/>
                  </w:tcBorders>
                  <w:shd w:val="clear" w:color="auto" w:fill="auto"/>
                  <w:noWrap w:val="0"/>
                  <w:vAlign w:val="center"/>
                </w:tcPr>
                <w:p>
                  <w:pPr>
                    <w:adjustRightInd w:val="0"/>
                    <w:spacing w:line="0" w:lineRule="atLeast"/>
                    <w:jc w:val="center"/>
                    <w:rPr>
                      <w:rFonts w:hint="eastAsia" w:ascii="Times New Roman" w:hAnsi="Times New Roman" w:eastAsia="宋体" w:cs="Times New Roman"/>
                      <w:color w:val="auto"/>
                      <w:spacing w:val="0"/>
                      <w:kern w:val="0"/>
                      <w:sz w:val="21"/>
                      <w:szCs w:val="24"/>
                      <w:lang w:val="en-US" w:eastAsia="zh-CN" w:bidi="ar-SA"/>
                    </w:rPr>
                  </w:pPr>
                  <w:r>
                    <w:rPr>
                      <w:rFonts w:hint="eastAsia" w:hAnsi="宋体" w:cs="宋体"/>
                      <w:color w:val="auto"/>
                      <w:spacing w:val="0"/>
                      <w:kern w:val="0"/>
                      <w:szCs w:val="21"/>
                      <w:highlight w:val="none"/>
                      <w:lang w:bidi="ar"/>
                    </w:rPr>
                    <w:t>本项目不在托木尔峰和天山南坡中段冰雪水源及生物多样性保护生态功能区</w:t>
                  </w:r>
                </w:p>
              </w:tc>
              <w:tc>
                <w:tcPr>
                  <w:tcW w:w="212" w:type="pct"/>
                  <w:tcBorders>
                    <w:tl2br w:val="nil"/>
                    <w:tr2bl w:val="nil"/>
                  </w:tcBorders>
                  <w:noWrap w:val="0"/>
                  <w:vAlign w:val="center"/>
                </w:tcPr>
                <w:p>
                  <w:pPr>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shd w:val="clear" w:color="auto" w:fill="auto"/>
                  <w:noWrap w:val="0"/>
                  <w:vAlign w:val="center"/>
                </w:tcPr>
                <w:p>
                  <w:pPr>
                    <w:widowControl/>
                    <w:spacing w:line="0" w:lineRule="atLeast"/>
                    <w:jc w:val="center"/>
                    <w:rPr>
                      <w:rFonts w:hint="eastAsia" w:ascii="Times New Roman" w:hAnsi="Times New Roman" w:eastAsia="宋体" w:cs="Times New Roman"/>
                      <w:color w:val="auto"/>
                      <w:spacing w:val="0"/>
                      <w:kern w:val="0"/>
                      <w:sz w:val="21"/>
                      <w:szCs w:val="21"/>
                      <w:vertAlign w:val="baseline"/>
                      <w:lang w:val="en-US" w:eastAsia="zh-CN" w:bidi="ar-SA"/>
                    </w:rPr>
                  </w:pPr>
                  <w:r>
                    <w:rPr>
                      <w:rFonts w:hint="eastAsia" w:hAnsi="宋体" w:cs="宋体"/>
                      <w:color w:val="auto"/>
                      <w:spacing w:val="0"/>
                      <w:kern w:val="0"/>
                      <w:szCs w:val="21"/>
                      <w:highlight w:val="none"/>
                      <w:lang w:bidi="ar"/>
                    </w:rPr>
                    <w:t>重点做好塔里木盆地北缘荒漠化防治。加强荒漠植被及河岸荒漠林保护，规范油气勘探开发作业，建立油田和公路扰动区域工程与生物相结合的防风固沙体系，逐步形成生态屏障。</w:t>
                  </w:r>
                </w:p>
              </w:tc>
              <w:tc>
                <w:tcPr>
                  <w:tcW w:w="1826" w:type="pct"/>
                  <w:tcBorders>
                    <w:tl2br w:val="nil"/>
                    <w:tr2bl w:val="nil"/>
                  </w:tcBorders>
                  <w:shd w:val="clear" w:color="auto" w:fill="auto"/>
                  <w:noWrap w:val="0"/>
                  <w:vAlign w:val="center"/>
                </w:tcPr>
                <w:p>
                  <w:pPr>
                    <w:adjustRightInd w:val="0"/>
                    <w:spacing w:line="0" w:lineRule="atLeast"/>
                    <w:jc w:val="center"/>
                    <w:rPr>
                      <w:rFonts w:hint="eastAsia" w:ascii="Times New Roman" w:hAnsi="Times New Roman" w:eastAsia="宋体" w:cs="Times New Roman"/>
                      <w:color w:val="auto"/>
                      <w:spacing w:val="0"/>
                      <w:kern w:val="0"/>
                      <w:sz w:val="21"/>
                      <w:szCs w:val="24"/>
                      <w:lang w:val="en-US" w:eastAsia="zh-CN" w:bidi="ar-SA"/>
                    </w:rPr>
                  </w:pPr>
                  <w:r>
                    <w:rPr>
                      <w:rFonts w:hint="eastAsia" w:hAnsi="宋体" w:cs="宋体"/>
                      <w:color w:val="auto"/>
                      <w:spacing w:val="0"/>
                      <w:kern w:val="0"/>
                      <w:szCs w:val="21"/>
                      <w:highlight w:val="none"/>
                    </w:rPr>
                    <w:t>本项目不涉及</w:t>
                  </w:r>
                </w:p>
              </w:tc>
              <w:tc>
                <w:tcPr>
                  <w:tcW w:w="212" w:type="pct"/>
                  <w:tcBorders>
                    <w:tl2br w:val="nil"/>
                    <w:tr2bl w:val="nil"/>
                  </w:tcBorders>
                  <w:noWrap w:val="0"/>
                  <w:vAlign w:val="center"/>
                </w:tcPr>
                <w:p>
                  <w:pPr>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shd w:val="clear" w:color="auto" w:fill="auto"/>
                  <w:noWrap w:val="0"/>
                  <w:vAlign w:val="center"/>
                </w:tcPr>
                <w:p>
                  <w:pPr>
                    <w:autoSpaceDE w:val="0"/>
                    <w:autoSpaceDN w:val="0"/>
                    <w:adjustRightInd w:val="0"/>
                    <w:spacing w:line="0" w:lineRule="atLeast"/>
                    <w:jc w:val="center"/>
                    <w:rPr>
                      <w:rFonts w:hint="eastAsia" w:ascii="Times New Roman" w:hAnsi="Times New Roman" w:eastAsia="宋体" w:cs="Times New Roman"/>
                      <w:color w:val="auto"/>
                      <w:spacing w:val="0"/>
                      <w:kern w:val="0"/>
                      <w:sz w:val="21"/>
                      <w:szCs w:val="21"/>
                      <w:vertAlign w:val="baseline"/>
                      <w:lang w:val="en-US" w:eastAsia="zh-CN" w:bidi="ar-SA"/>
                    </w:rPr>
                  </w:pPr>
                  <w:r>
                    <w:rPr>
                      <w:rFonts w:hint="eastAsia" w:hAnsi="宋体" w:cs="宋体"/>
                      <w:color w:val="auto"/>
                      <w:spacing w:val="0"/>
                      <w:kern w:val="0"/>
                      <w:szCs w:val="21"/>
                      <w:highlight w:val="none"/>
                      <w:lang w:bidi="ar"/>
                    </w:rPr>
                    <w:t>推进塔里木河流域用水结构调整，维护塔里木河、博斯腾湖基本生态用水。</w:t>
                  </w:r>
                </w:p>
              </w:tc>
              <w:tc>
                <w:tcPr>
                  <w:tcW w:w="1826" w:type="pct"/>
                  <w:tcBorders>
                    <w:tl2br w:val="nil"/>
                    <w:tr2bl w:val="nil"/>
                  </w:tcBorders>
                  <w:shd w:val="clear" w:color="auto" w:fill="auto"/>
                  <w:noWrap w:val="0"/>
                  <w:vAlign w:val="center"/>
                </w:tcPr>
                <w:p>
                  <w:pPr>
                    <w:adjustRightInd w:val="0"/>
                    <w:spacing w:line="0" w:lineRule="atLeast"/>
                    <w:jc w:val="center"/>
                    <w:rPr>
                      <w:rFonts w:hint="eastAsia" w:ascii="Times New Roman" w:hAnsi="Times New Roman" w:eastAsia="宋体" w:cs="Times New Roman"/>
                      <w:color w:val="auto"/>
                      <w:spacing w:val="0"/>
                      <w:kern w:val="0"/>
                      <w:sz w:val="21"/>
                      <w:szCs w:val="24"/>
                      <w:lang w:val="en-US" w:eastAsia="zh-CN" w:bidi="ar-SA"/>
                    </w:rPr>
                  </w:pPr>
                  <w:r>
                    <w:rPr>
                      <w:rFonts w:hint="eastAsia" w:hAnsi="宋体" w:cs="宋体"/>
                      <w:color w:val="auto"/>
                      <w:spacing w:val="0"/>
                      <w:kern w:val="0"/>
                      <w:szCs w:val="21"/>
                      <w:highlight w:val="none"/>
                    </w:rPr>
                    <w:t>本项目不涉及塔里木河、博斯腾湖生态用水</w:t>
                  </w:r>
                </w:p>
              </w:tc>
              <w:tc>
                <w:tcPr>
                  <w:tcW w:w="212" w:type="pct"/>
                  <w:tcBorders>
                    <w:tl2br w:val="nil"/>
                    <w:tr2bl w:val="nil"/>
                  </w:tcBorders>
                  <w:noWrap w:val="0"/>
                  <w:vAlign w:val="center"/>
                </w:tcPr>
                <w:p>
                  <w:pPr>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shd w:val="clear" w:color="auto" w:fill="auto"/>
                  <w:noWrap w:val="0"/>
                  <w:vAlign w:val="center"/>
                </w:tcPr>
                <w:p>
                  <w:pPr>
                    <w:autoSpaceDE w:val="0"/>
                    <w:autoSpaceDN w:val="0"/>
                    <w:adjustRightInd w:val="0"/>
                    <w:spacing w:line="0" w:lineRule="atLeast"/>
                    <w:jc w:val="center"/>
                    <w:rPr>
                      <w:rFonts w:hint="eastAsia" w:ascii="Times New Roman" w:hAnsi="Times New Roman" w:eastAsia="宋体" w:cs="Times New Roman"/>
                      <w:color w:val="auto"/>
                      <w:spacing w:val="0"/>
                      <w:kern w:val="0"/>
                      <w:sz w:val="21"/>
                      <w:szCs w:val="21"/>
                      <w:vertAlign w:val="baseline"/>
                      <w:lang w:val="en-US" w:eastAsia="zh-CN" w:bidi="ar-SA"/>
                    </w:rPr>
                  </w:pPr>
                  <w:r>
                    <w:rPr>
                      <w:rFonts w:hint="eastAsia" w:hAnsi="宋体" w:cs="宋体"/>
                      <w:color w:val="auto"/>
                      <w:spacing w:val="0"/>
                      <w:kern w:val="0"/>
                      <w:szCs w:val="21"/>
                      <w:highlight w:val="none"/>
                    </w:rPr>
                    <w:t>加强塔里木河流域水环境风险管控。加大博斯腾湖污染源头达标排放治理和监督力度，实施博斯腾湖综合治理。</w:t>
                  </w:r>
                </w:p>
              </w:tc>
              <w:tc>
                <w:tcPr>
                  <w:tcW w:w="1826" w:type="pct"/>
                  <w:tcBorders>
                    <w:tl2br w:val="nil"/>
                    <w:tr2bl w:val="nil"/>
                  </w:tcBorders>
                  <w:shd w:val="clear" w:color="auto" w:fill="auto"/>
                  <w:noWrap w:val="0"/>
                  <w:vAlign w:val="center"/>
                </w:tcPr>
                <w:p>
                  <w:pPr>
                    <w:adjustRightInd w:val="0"/>
                    <w:spacing w:line="0" w:lineRule="atLeast"/>
                    <w:jc w:val="center"/>
                    <w:rPr>
                      <w:rFonts w:hint="eastAsia" w:ascii="Times New Roman" w:hAnsi="Times New Roman" w:eastAsia="宋体" w:cs="Times New Roman"/>
                      <w:color w:val="auto"/>
                      <w:spacing w:val="0"/>
                      <w:kern w:val="0"/>
                      <w:sz w:val="21"/>
                      <w:szCs w:val="24"/>
                      <w:lang w:val="en-US" w:eastAsia="zh-CN" w:bidi="ar-SA"/>
                    </w:rPr>
                  </w:pPr>
                  <w:r>
                    <w:rPr>
                      <w:rFonts w:hint="eastAsia" w:hAnsi="宋体" w:cs="宋体"/>
                      <w:color w:val="auto"/>
                      <w:spacing w:val="0"/>
                      <w:kern w:val="0"/>
                      <w:szCs w:val="21"/>
                      <w:highlight w:val="none"/>
                    </w:rPr>
                    <w:t>本项目不涉及</w:t>
                  </w:r>
                </w:p>
              </w:tc>
              <w:tc>
                <w:tcPr>
                  <w:tcW w:w="212" w:type="pct"/>
                  <w:tcBorders>
                    <w:tl2br w:val="nil"/>
                    <w:tr2bl w:val="nil"/>
                  </w:tcBorders>
                  <w:noWrap w:val="0"/>
                  <w:vAlign w:val="center"/>
                </w:tcPr>
                <w:p>
                  <w:pPr>
                    <w:bidi w:val="0"/>
                    <w:jc w:val="center"/>
                    <w:rPr>
                      <w:rFonts w:hint="eastAsia"/>
                      <w:spacing w:val="0"/>
                      <w:kern w:val="0"/>
                    </w:rPr>
                  </w:pPr>
                  <w:r>
                    <w:rPr>
                      <w:rFonts w:hint="eastAsia"/>
                      <w:spacing w:val="0"/>
                      <w:kern w:val="0"/>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5" w:type="pct"/>
                  <w:vMerge w:val="continue"/>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宋体" w:eastAsia="宋体" w:cs="宋体"/>
                      <w:color w:val="auto"/>
                      <w:spacing w:val="0"/>
                      <w:kern w:val="0"/>
                      <w:szCs w:val="21"/>
                      <w:highlight w:val="none"/>
                      <w:lang w:bidi="ar"/>
                    </w:rPr>
                  </w:pPr>
                </w:p>
              </w:tc>
              <w:tc>
                <w:tcPr>
                  <w:tcW w:w="2535" w:type="pct"/>
                  <w:tcBorders>
                    <w:tl2br w:val="nil"/>
                    <w:tr2bl w:val="nil"/>
                  </w:tcBorders>
                  <w:shd w:val="clear" w:color="auto" w:fill="auto"/>
                  <w:noWrap w:val="0"/>
                  <w:vAlign w:val="center"/>
                </w:tcPr>
                <w:p>
                  <w:pPr>
                    <w:autoSpaceDE w:val="0"/>
                    <w:autoSpaceDN w:val="0"/>
                    <w:adjustRightInd w:val="0"/>
                    <w:spacing w:line="0" w:lineRule="atLeast"/>
                    <w:jc w:val="center"/>
                    <w:rPr>
                      <w:rFonts w:hint="eastAsia" w:ascii="Times New Roman" w:hAnsi="Times New Roman" w:eastAsia="宋体" w:cs="Times New Roman"/>
                      <w:color w:val="auto"/>
                      <w:spacing w:val="0"/>
                      <w:kern w:val="0"/>
                      <w:sz w:val="21"/>
                      <w:szCs w:val="21"/>
                      <w:vertAlign w:val="baseline"/>
                      <w:lang w:val="en-US" w:eastAsia="zh-CN" w:bidi="ar-SA"/>
                    </w:rPr>
                  </w:pPr>
                  <w:r>
                    <w:rPr>
                      <w:rFonts w:hint="eastAsia" w:hAnsi="宋体" w:cs="宋体"/>
                      <w:color w:val="auto"/>
                      <w:spacing w:val="0"/>
                      <w:kern w:val="0"/>
                      <w:szCs w:val="21"/>
                      <w:highlight w:val="none"/>
                    </w:rPr>
                    <w:t>加强油</w:t>
                  </w:r>
                  <w:r>
                    <w:rPr>
                      <w:rFonts w:hint="eastAsia" w:hAnsi="宋体" w:cs="宋体"/>
                      <w:color w:val="auto"/>
                      <w:spacing w:val="0"/>
                      <w:kern w:val="0"/>
                      <w:szCs w:val="21"/>
                      <w:highlight w:val="none"/>
                      <w:lang w:eastAsia="zh-CN"/>
                    </w:rPr>
                    <w:t>（</w:t>
                  </w:r>
                  <w:r>
                    <w:rPr>
                      <w:rFonts w:hint="eastAsia" w:hAnsi="宋体" w:cs="宋体"/>
                      <w:color w:val="auto"/>
                      <w:spacing w:val="0"/>
                      <w:kern w:val="0"/>
                      <w:szCs w:val="21"/>
                      <w:highlight w:val="none"/>
                    </w:rPr>
                    <w:t>气</w:t>
                  </w:r>
                  <w:r>
                    <w:rPr>
                      <w:rFonts w:hint="eastAsia" w:hAnsi="宋体" w:cs="宋体"/>
                      <w:color w:val="auto"/>
                      <w:spacing w:val="0"/>
                      <w:kern w:val="0"/>
                      <w:szCs w:val="21"/>
                      <w:highlight w:val="none"/>
                      <w:lang w:eastAsia="zh-CN"/>
                    </w:rPr>
                    <w:t>）</w:t>
                  </w:r>
                  <w:r>
                    <w:rPr>
                      <w:rFonts w:hint="eastAsia" w:hAnsi="宋体" w:cs="宋体"/>
                      <w:color w:val="auto"/>
                      <w:spacing w:val="0"/>
                      <w:kern w:val="0"/>
                      <w:szCs w:val="21"/>
                      <w:highlight w:val="none"/>
                    </w:rPr>
                    <w:t>资源开发区土壤环境污染综合整治。强化涉重金属行业污染防控与工业废物处理处置。</w:t>
                  </w:r>
                </w:p>
              </w:tc>
              <w:tc>
                <w:tcPr>
                  <w:tcW w:w="1826" w:type="pct"/>
                  <w:tcBorders>
                    <w:tl2br w:val="nil"/>
                    <w:tr2bl w:val="nil"/>
                  </w:tcBorders>
                  <w:shd w:val="clear" w:color="auto" w:fill="auto"/>
                  <w:noWrap w:val="0"/>
                  <w:vAlign w:val="center"/>
                </w:tcPr>
                <w:p>
                  <w:pPr>
                    <w:adjustRightInd w:val="0"/>
                    <w:spacing w:line="0" w:lineRule="atLeast"/>
                    <w:jc w:val="center"/>
                    <w:rPr>
                      <w:rFonts w:hint="eastAsia" w:ascii="Times New Roman" w:hAnsi="Times New Roman" w:eastAsia="宋体" w:cs="Times New Roman"/>
                      <w:color w:val="auto"/>
                      <w:spacing w:val="0"/>
                      <w:kern w:val="0"/>
                      <w:sz w:val="21"/>
                      <w:szCs w:val="24"/>
                      <w:lang w:val="en-US" w:eastAsia="zh-CN" w:bidi="ar-SA"/>
                    </w:rPr>
                  </w:pPr>
                  <w:r>
                    <w:rPr>
                      <w:rFonts w:hint="eastAsia" w:hAnsi="宋体" w:cs="宋体"/>
                      <w:color w:val="auto"/>
                      <w:spacing w:val="0"/>
                      <w:kern w:val="0"/>
                      <w:szCs w:val="21"/>
                      <w:highlight w:val="none"/>
                    </w:rPr>
                    <w:t>本项目</w:t>
                  </w:r>
                  <w:r>
                    <w:rPr>
                      <w:rFonts w:hint="eastAsia" w:hAnsi="宋体" w:cs="宋体"/>
                      <w:color w:val="auto"/>
                      <w:spacing w:val="0"/>
                      <w:kern w:val="0"/>
                      <w:szCs w:val="21"/>
                      <w:highlight w:val="none"/>
                      <w:lang w:bidi="ar"/>
                    </w:rPr>
                    <w:t>不涉及重金属排放</w:t>
                  </w:r>
                </w:p>
              </w:tc>
              <w:tc>
                <w:tcPr>
                  <w:tcW w:w="212" w:type="pct"/>
                  <w:tcBorders>
                    <w:tl2br w:val="nil"/>
                    <w:tr2bl w:val="nil"/>
                  </w:tcBorders>
                  <w:noWrap w:val="0"/>
                  <w:vAlign w:val="center"/>
                </w:tcPr>
                <w:p>
                  <w:pPr>
                    <w:bidi w:val="0"/>
                    <w:jc w:val="center"/>
                    <w:rPr>
                      <w:rFonts w:hint="eastAsia"/>
                      <w:spacing w:val="0"/>
                      <w:kern w:val="0"/>
                    </w:rPr>
                  </w:pPr>
                  <w:r>
                    <w:rPr>
                      <w:rFonts w:hint="eastAsia"/>
                      <w:spacing w:val="0"/>
                      <w:kern w:val="0"/>
                    </w:rPr>
                    <w:t>符合</w:t>
                  </w:r>
                </w:p>
              </w:tc>
            </w:tr>
          </w:tbl>
          <w:p>
            <w:pPr>
              <w:pStyle w:val="46"/>
              <w:bidi w:val="0"/>
              <w:rPr>
                <w:rFonts w:hint="eastAsia"/>
                <w:lang w:eastAsia="zh-CN"/>
              </w:rPr>
            </w:pPr>
            <w:r>
              <w:rPr>
                <w:rFonts w:hint="eastAsia"/>
                <w:lang w:val="en-US" w:eastAsia="zh-CN"/>
              </w:rPr>
              <w:t>综上所述，本项目符合</w:t>
            </w:r>
            <w:r>
              <w:rPr>
                <w:rFonts w:hint="eastAsia"/>
              </w:rPr>
              <w:t>《新疆维吾尔自治区七大片区</w:t>
            </w:r>
            <w:r>
              <w:rPr>
                <w:rFonts w:hint="eastAsia"/>
                <w:lang w:eastAsia="zh-CN"/>
              </w:rPr>
              <w:t>“</w:t>
            </w:r>
            <w:r>
              <w:rPr>
                <w:rFonts w:hint="eastAsia"/>
              </w:rPr>
              <w:t>三线一单</w:t>
            </w:r>
            <w:r>
              <w:rPr>
                <w:rFonts w:hint="eastAsia"/>
                <w:lang w:eastAsia="zh-CN"/>
              </w:rPr>
              <w:t>”</w:t>
            </w:r>
            <w:r>
              <w:rPr>
                <w:rFonts w:hint="eastAsia"/>
              </w:rPr>
              <w:t>生态环境分区管控要求》（2021年版）（新环环评发〔2021〕162号）</w:t>
            </w:r>
            <w:r>
              <w:rPr>
                <w:rFonts w:hint="eastAsia"/>
                <w:lang w:val="en-US" w:eastAsia="zh-CN"/>
              </w:rPr>
              <w:t>管控要求</w:t>
            </w:r>
            <w:r>
              <w:rPr>
                <w:rFonts w:hint="eastAsia"/>
                <w:lang w:eastAsia="zh-CN"/>
              </w:rPr>
              <w:t>。</w:t>
            </w:r>
          </w:p>
          <w:p>
            <w:pPr>
              <w:pStyle w:val="46"/>
              <w:bidi w:val="0"/>
              <w:rPr>
                <w:rFonts w:hint="default"/>
                <w:lang w:val="en-US" w:eastAsia="zh-CN"/>
              </w:rPr>
            </w:pPr>
            <w:r>
              <w:rPr>
                <w:rFonts w:hint="eastAsia"/>
                <w:lang w:val="en-US" w:eastAsia="zh-CN"/>
              </w:rPr>
              <w:t>本项目与《关于印发巴音郭楞蒙古自治州“三线一单”生态环境分区管控动态更新成果（2023年）的通知》（巴政办发〔2024〕32号）表1-3</w:t>
            </w:r>
            <w:r>
              <w:rPr>
                <w:rFonts w:hint="eastAsia"/>
                <w:lang w:eastAsia="zh-CN"/>
              </w:rPr>
              <w:t>。</w:t>
            </w:r>
            <w:r>
              <w:rPr>
                <w:rFonts w:hint="eastAsia"/>
                <w:lang w:val="en-US" w:eastAsia="zh-CN"/>
              </w:rPr>
              <w:t>项目与巴音郭楞蒙古自治州“三线一单”生态环境分区管控方案位置关系图见附图1。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heme="minorBidi"/>
                <w:b/>
                <w:bCs w:val="0"/>
                <w:color w:val="auto"/>
                <w:kern w:val="2"/>
                <w:sz w:val="24"/>
                <w:szCs w:val="21"/>
                <w:highlight w:val="none"/>
                <w:lang w:val="en-US" w:eastAsia="zh-CN" w:bidi="ar-SA"/>
              </w:rPr>
            </w:pPr>
            <w:r>
              <w:rPr>
                <w:rFonts w:hint="eastAsia" w:cstheme="minorBidi"/>
                <w:b/>
                <w:bCs w:val="0"/>
                <w:color w:val="auto"/>
                <w:kern w:val="2"/>
                <w:sz w:val="24"/>
                <w:szCs w:val="21"/>
                <w:highlight w:val="none"/>
                <w:lang w:val="en-US" w:eastAsia="zh-CN" w:bidi="ar-SA"/>
              </w:rPr>
              <w:t>表</w:t>
            </w:r>
            <w:r>
              <w:rPr>
                <w:rFonts w:hint="eastAsia" w:ascii="Times New Roman" w:hAnsi="Times New Roman" w:eastAsia="宋体" w:cstheme="minorBidi"/>
                <w:b/>
                <w:bCs w:val="0"/>
                <w:color w:val="auto"/>
                <w:kern w:val="2"/>
                <w:sz w:val="24"/>
                <w:szCs w:val="21"/>
                <w:highlight w:val="none"/>
                <w:lang w:val="en-US" w:eastAsia="zh-CN" w:bidi="ar-SA"/>
              </w:rPr>
              <w:t>1-</w:t>
            </w:r>
            <w:r>
              <w:rPr>
                <w:rFonts w:hint="eastAsia" w:cstheme="minorBidi"/>
                <w:b/>
                <w:bCs w:val="0"/>
                <w:color w:val="auto"/>
                <w:kern w:val="2"/>
                <w:sz w:val="24"/>
                <w:szCs w:val="21"/>
                <w:highlight w:val="none"/>
                <w:lang w:val="en-US" w:eastAsia="zh-CN" w:bidi="ar-SA"/>
              </w:rPr>
              <w:t>3</w:t>
            </w:r>
            <w:r>
              <w:rPr>
                <w:rFonts w:hint="eastAsia" w:ascii="Times New Roman" w:hAnsi="Times New Roman" w:eastAsia="宋体" w:cstheme="minorBidi"/>
                <w:b/>
                <w:bCs w:val="0"/>
                <w:color w:val="auto"/>
                <w:kern w:val="2"/>
                <w:sz w:val="24"/>
                <w:szCs w:val="21"/>
                <w:highlight w:val="none"/>
                <w:lang w:val="en-US" w:eastAsia="zh-CN" w:bidi="ar-SA"/>
              </w:rPr>
              <w:t xml:space="preserve"> 与自治州生态环境分区管控方案</w:t>
            </w:r>
            <w:r>
              <w:rPr>
                <w:rFonts w:hint="default" w:ascii="Times New Roman" w:hAnsi="Times New Roman" w:eastAsia="宋体" w:cstheme="minorBidi"/>
                <w:b/>
                <w:bCs w:val="0"/>
                <w:color w:val="auto"/>
                <w:kern w:val="2"/>
                <w:sz w:val="24"/>
                <w:szCs w:val="21"/>
                <w:highlight w:val="none"/>
                <w:lang w:val="en-US" w:eastAsia="zh-CN" w:bidi="ar-SA"/>
              </w:rPr>
              <w:t>符合分析</w:t>
            </w:r>
          </w:p>
          <w:tbl>
            <w:tblPr>
              <w:tblStyle w:val="33"/>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064"/>
              <w:gridCol w:w="426"/>
              <w:gridCol w:w="2330"/>
              <w:gridCol w:w="2569"/>
              <w:gridCol w:w="42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t>环境管控单元名称及编码</w:t>
                  </w:r>
                </w:p>
              </w:tc>
              <w:tc>
                <w:tcPr>
                  <w:tcW w:w="2233" w:type="pct"/>
                  <w:gridSpan w:val="2"/>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t>“三线一单”要求</w:t>
                  </w:r>
                </w:p>
              </w:tc>
              <w:tc>
                <w:tcPr>
                  <w:tcW w:w="1924"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t>本项目</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i w:val="0"/>
                      <w:caps w:val="0"/>
                      <w:color w:val="000000" w:themeColor="text1"/>
                      <w:spacing w:val="0"/>
                      <w:w w:val="100"/>
                      <w:kern w:val="2"/>
                      <w:sz w:val="21"/>
                      <w:szCs w:val="21"/>
                      <w:highlight w:val="none"/>
                      <w:lang w:val="en-US" w:eastAsia="zh-CN" w:bidi="ar-SA"/>
                      <w14:textFill>
                        <w14:solidFill>
                          <w14:schemeClr w14:val="tx1"/>
                        </w14:solidFill>
                      </w14:textFill>
                    </w:rPr>
                    <w:t>符合性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restar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焉耆工业园区</w:t>
                  </w:r>
                  <w:r>
                    <w:rPr>
                      <w:rFonts w:hint="eastAsia"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，重点管控单元（ZH65282620011）</w:t>
                  </w:r>
                </w:p>
              </w:tc>
              <w:tc>
                <w:tcPr>
                  <w:tcW w:w="314" w:type="pct"/>
                  <w:vMerge w:val="restar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空间布局约束</w:t>
                  </w:r>
                </w:p>
              </w:tc>
              <w:tc>
                <w:tcPr>
                  <w:tcW w:w="1919" w:type="pct"/>
                  <w:tcBorders>
                    <w:tl2br w:val="nil"/>
                    <w:tr2bl w:val="nil"/>
                  </w:tcBorders>
                  <w:shd w:val="clear" w:color="auto" w:fill="auto"/>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1.从严核定水域纳污容量，严格控制入河排污总量；严格控制高耗水企业入驻。</w:t>
                  </w:r>
                </w:p>
              </w:tc>
              <w:tc>
                <w:tcPr>
                  <w:tcW w:w="1924" w:type="pct"/>
                  <w:tcBorders>
                    <w:tl2br w:val="nil"/>
                    <w:tr2bl w:val="nil"/>
                  </w:tcBorders>
                  <w:shd w:val="clear" w:color="auto" w:fill="auto"/>
                  <w:noWrap w:val="0"/>
                  <w:vAlign w:val="center"/>
                </w:tcPr>
                <w:p>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本项目不属于高耗水企业。</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1919" w:type="pct"/>
                  <w:tcBorders>
                    <w:tl2br w:val="nil"/>
                    <w:tr2bl w:val="nil"/>
                  </w:tcBorders>
                  <w:shd w:val="clear" w:color="auto" w:fill="auto"/>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2.企业准入需满足《产业结构调整指导目录》《产业转移指导目录（2012 年本）》（工信部〔2012〕31 号）《新疆维吾尔自治区重点行业环境准入条件（修订）》中涉及的园区产业准入条件。</w:t>
                  </w:r>
                </w:p>
              </w:tc>
              <w:tc>
                <w:tcPr>
                  <w:tcW w:w="1924" w:type="pct"/>
                  <w:tcBorders>
                    <w:tl2br w:val="nil"/>
                    <w:tr2bl w:val="nil"/>
                  </w:tcBorders>
                  <w:shd w:val="clear" w:color="auto" w:fill="auto"/>
                  <w:noWrap w:val="0"/>
                  <w:vAlign w:val="center"/>
                </w:tcPr>
                <w:p>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本项目属于《产业结构调整指导目录（2024 年本）》允许类项目，不属于《市场准入负面清单（2025年版）》禁止准入事项。本项目不涉及《新疆维吾尔自治区重点行业环境准入条件（修订）》中产业。</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restar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污染物排放管控</w:t>
                  </w:r>
                </w:p>
              </w:tc>
              <w:tc>
                <w:tcPr>
                  <w:tcW w:w="1919"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1.环境空气质量需满足《环境空气质量标准》（GB3095-2012）的二级标准要求。区域地下水质量不恶化。土壤环境质量满足《土壤环境质量建设用地土壤污染风险管控标准（试行）》</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GB36600-2018) 第二类用地筛选值。</w:t>
                  </w:r>
                </w:p>
              </w:tc>
              <w:tc>
                <w:tcPr>
                  <w:tcW w:w="1924" w:type="pct"/>
                  <w:tcBorders>
                    <w:tl2br w:val="nil"/>
                    <w:tr2bl w:val="nil"/>
                  </w:tcBorders>
                  <w:noWrap w:val="0"/>
                  <w:vAlign w:val="center"/>
                </w:tcPr>
                <w:p>
                  <w:pPr>
                    <w:widowControl/>
                    <w:numPr>
                      <w:ilvl w:val="0"/>
                      <w:numId w:val="0"/>
                    </w:numPr>
                    <w:snapToGrid/>
                    <w:spacing w:before="0" w:beforeAutospacing="0" w:after="0" w:afterAutospacing="0" w:line="240" w:lineRule="auto"/>
                    <w:jc w:val="center"/>
                    <w:textAlignment w:val="baseline"/>
                    <w:rPr>
                      <w:rFonts w:hint="default" w:eastAsiaTheme="minorEastAsia"/>
                      <w:color w:val="000000" w:themeColor="text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本项目位于不达标区内，</w:t>
                  </w:r>
                  <w:r>
                    <w:rPr>
                      <w:rFonts w:hint="default" w:ascii="Times New Roman" w:hAnsi="Times New Roman" w:cs="Times New Roman" w:eastAsiaTheme="minorEastAsia"/>
                      <w:i w:val="0"/>
                      <w:iCs w:val="0"/>
                      <w:caps w:val="0"/>
                      <w:color w:val="000000" w:themeColor="text1"/>
                      <w:spacing w:val="0"/>
                      <w:sz w:val="21"/>
                      <w:szCs w:val="21"/>
                      <w:u w:val="none"/>
                      <w:shd w:val="clear" w:fill="FFFFFF"/>
                      <w14:textFill>
                        <w14:solidFill>
                          <w14:schemeClr w14:val="tx1"/>
                        </w14:solidFill>
                      </w14:textFill>
                    </w:rPr>
                    <w:t>PM</w:t>
                  </w:r>
                  <w:r>
                    <w:rPr>
                      <w:rFonts w:hint="default" w:ascii="Times New Roman" w:hAnsi="Times New Roman" w:cs="Times New Roman" w:eastAsiaTheme="minorEastAsia"/>
                      <w:i w:val="0"/>
                      <w:iCs w:val="0"/>
                      <w:caps w:val="0"/>
                      <w:color w:val="000000" w:themeColor="text1"/>
                      <w:spacing w:val="0"/>
                      <w:sz w:val="21"/>
                      <w:szCs w:val="21"/>
                      <w:u w:val="none"/>
                      <w:shd w:val="clear" w:fill="FFFFFF"/>
                      <w:vertAlign w:val="subscript"/>
                      <w14:textFill>
                        <w14:solidFill>
                          <w14:schemeClr w14:val="tx1"/>
                        </w14:solidFill>
                      </w14:textFill>
                    </w:rPr>
                    <w:t>2.5</w:t>
                  </w:r>
                  <w:r>
                    <w:rPr>
                      <w:rFonts w:hint="default" w:ascii="Times New Roman" w:hAnsi="Times New Roman" w:cs="Times New Roman" w:eastAsiaTheme="minorEastAsia"/>
                      <w:i w:val="0"/>
                      <w:iCs w:val="0"/>
                      <w:caps w:val="0"/>
                      <w:color w:val="000000" w:themeColor="text1"/>
                      <w:spacing w:val="0"/>
                      <w:sz w:val="21"/>
                      <w:szCs w:val="21"/>
                      <w:u w:val="none"/>
                      <w:shd w:val="clear" w:fill="FFFFFF"/>
                      <w14:textFill>
                        <w14:solidFill>
                          <w14:schemeClr w14:val="tx1"/>
                        </w14:solidFill>
                      </w14:textFill>
                    </w:rPr>
                    <w:t>、O</w:t>
                  </w:r>
                  <w:r>
                    <w:rPr>
                      <w:rFonts w:hint="default" w:ascii="Times New Roman" w:hAnsi="Times New Roman" w:cs="Times New Roman" w:eastAsiaTheme="minorEastAsia"/>
                      <w:i w:val="0"/>
                      <w:iCs w:val="0"/>
                      <w:caps w:val="0"/>
                      <w:color w:val="000000" w:themeColor="text1"/>
                      <w:spacing w:val="0"/>
                      <w:sz w:val="21"/>
                      <w:szCs w:val="21"/>
                      <w:u w:val="none"/>
                      <w:shd w:val="clear" w:fill="FFFFFF"/>
                      <w:vertAlign w:val="subscript"/>
                      <w14:textFill>
                        <w14:solidFill>
                          <w14:schemeClr w14:val="tx1"/>
                        </w14:solidFill>
                      </w14:textFill>
                    </w:rPr>
                    <w:t>3-8</w:t>
                  </w:r>
                  <w:r>
                    <w:rPr>
                      <w:rFonts w:hint="eastAsia" w:ascii="Times New Roman" w:hAnsi="Times New Roman" w:cs="Times New Roman" w:eastAsiaTheme="minorEastAsia"/>
                      <w:i w:val="0"/>
                      <w:iCs w:val="0"/>
                      <w:caps w:val="0"/>
                      <w:color w:val="000000" w:themeColor="text1"/>
                      <w:spacing w:val="0"/>
                      <w:sz w:val="21"/>
                      <w:szCs w:val="21"/>
                      <w:u w:val="none"/>
                      <w:shd w:val="clear" w:fill="FFFFFF"/>
                      <w:vertAlign w:val="subscript"/>
                      <w:lang w:val="en-US" w:eastAsia="zh-CN"/>
                      <w14:textFill>
                        <w14:solidFill>
                          <w14:schemeClr w14:val="tx1"/>
                        </w14:solidFill>
                      </w14:textFill>
                    </w:rPr>
                    <w:t>h</w:t>
                  </w:r>
                  <w:r>
                    <w:rPr>
                      <w:rFonts w:hint="default" w:ascii="Times New Roman" w:hAnsi="Times New Roman" w:cs="Times New Roman" w:eastAsiaTheme="minorEastAsia"/>
                      <w:i w:val="0"/>
                      <w:iCs w:val="0"/>
                      <w:caps w:val="0"/>
                      <w:color w:val="000000" w:themeColor="text1"/>
                      <w:spacing w:val="0"/>
                      <w:sz w:val="21"/>
                      <w:szCs w:val="21"/>
                      <w:u w:val="none"/>
                      <w:shd w:val="clear" w:fill="FFFFFF"/>
                      <w14:textFill>
                        <w14:solidFill>
                          <w14:schemeClr w14:val="tx1"/>
                        </w14:solidFill>
                      </w14:textFill>
                    </w:rPr>
                    <w:t>、SO</w:t>
                  </w:r>
                  <w:r>
                    <w:rPr>
                      <w:rFonts w:hint="default" w:ascii="Times New Roman" w:hAnsi="Times New Roman" w:cs="Times New Roman" w:eastAsiaTheme="minorEastAsia"/>
                      <w:i w:val="0"/>
                      <w:iCs w:val="0"/>
                      <w:caps w:val="0"/>
                      <w:color w:val="000000" w:themeColor="text1"/>
                      <w:spacing w:val="0"/>
                      <w:sz w:val="21"/>
                      <w:szCs w:val="21"/>
                      <w:u w:val="none"/>
                      <w:shd w:val="clear" w:fill="FFFFFF"/>
                      <w:vertAlign w:val="subscript"/>
                      <w14:textFill>
                        <w14:solidFill>
                          <w14:schemeClr w14:val="tx1"/>
                        </w14:solidFill>
                      </w14:textFill>
                    </w:rPr>
                    <w:t>2</w:t>
                  </w:r>
                  <w:r>
                    <w:rPr>
                      <w:rFonts w:hint="default" w:ascii="Times New Roman" w:hAnsi="Times New Roman" w:cs="Times New Roman" w:eastAsiaTheme="minorEastAsia"/>
                      <w:i w:val="0"/>
                      <w:iCs w:val="0"/>
                      <w:caps w:val="0"/>
                      <w:color w:val="000000" w:themeColor="text1"/>
                      <w:spacing w:val="0"/>
                      <w:sz w:val="21"/>
                      <w:szCs w:val="21"/>
                      <w:u w:val="none"/>
                      <w:shd w:val="clear" w:fill="FFFFFF"/>
                      <w14:textFill>
                        <w14:solidFill>
                          <w14:schemeClr w14:val="tx1"/>
                        </w14:solidFill>
                      </w14:textFill>
                    </w:rPr>
                    <w:t>、NO</w:t>
                  </w:r>
                  <w:r>
                    <w:rPr>
                      <w:rFonts w:hint="default" w:ascii="Times New Roman" w:hAnsi="Times New Roman" w:cs="Times New Roman" w:eastAsiaTheme="minorEastAsia"/>
                      <w:i w:val="0"/>
                      <w:iCs w:val="0"/>
                      <w:caps w:val="0"/>
                      <w:color w:val="000000" w:themeColor="text1"/>
                      <w:spacing w:val="0"/>
                      <w:sz w:val="21"/>
                      <w:szCs w:val="21"/>
                      <w:u w:val="none"/>
                      <w:shd w:val="clear" w:fill="FFFFFF"/>
                      <w:vertAlign w:val="subscript"/>
                      <w14:textFill>
                        <w14:solidFill>
                          <w14:schemeClr w14:val="tx1"/>
                        </w14:solidFill>
                      </w14:textFill>
                    </w:rPr>
                    <w:t>2</w:t>
                  </w:r>
                  <w:r>
                    <w:rPr>
                      <w:rFonts w:hint="default" w:ascii="Times New Roman" w:hAnsi="Times New Roman" w:cs="Times New Roman" w:eastAsiaTheme="minorEastAsia"/>
                      <w:i w:val="0"/>
                      <w:iCs w:val="0"/>
                      <w:caps w:val="0"/>
                      <w:color w:val="000000" w:themeColor="text1"/>
                      <w:spacing w:val="0"/>
                      <w:sz w:val="21"/>
                      <w:szCs w:val="21"/>
                      <w:u w:val="none"/>
                      <w:shd w:val="clear" w:fill="FFFFFF"/>
                      <w14:textFill>
                        <w14:solidFill>
                          <w14:schemeClr w14:val="tx1"/>
                        </w14:solidFill>
                      </w14:textFill>
                    </w:rPr>
                    <w:t>、CO</w:t>
                  </w:r>
                  <w:r>
                    <w:rPr>
                      <w:rFonts w:hint="eastAsia" w:ascii="Times New Roman" w:hAnsi="Times New Roman" w:cs="Times New Roman" w:eastAsiaTheme="minorEastAsia"/>
                      <w:i w:val="0"/>
                      <w:iCs w:val="0"/>
                      <w:caps w:val="0"/>
                      <w:color w:val="000000" w:themeColor="text1"/>
                      <w:spacing w:val="0"/>
                      <w:sz w:val="21"/>
                      <w:szCs w:val="21"/>
                      <w:u w:val="none"/>
                      <w:shd w:val="clear" w:fill="FFFFFF"/>
                      <w:lang w:val="en-US" w:eastAsia="zh-CN"/>
                      <w14:textFill>
                        <w14:solidFill>
                          <w14:schemeClr w14:val="tx1"/>
                        </w14:solidFill>
                      </w14:textFill>
                    </w:rPr>
                    <w:t>满足《环境空气质量标准》（GB3095-2012）的二级标准要求。本项目不涉及地下水、土壤污染途径。</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1919"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园区企业污染排放需符合《大气污染物综合排放标准》（GB16297-1996）中二级标准，《锅炉大气污染物排放标准》（GB13271-2014）新建锅炉大气污染物排放限值，《恶臭污染物排放标准》（GB14554-93）中二级标准，《污水综合排放标准》（GB8978-1996）中二级标准，《工业企业厂界环境噪声排放标准》</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GB12348-2008</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 3 类标准，《建筑施工场界环境噪声排放标准》</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GB12523-2011</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，《一般工业固体废物贮存、处置场污染控制标准》（GB18599-2001）及其修改单。有行业标准的优先执行行业排放标准。</w:t>
                  </w:r>
                </w:p>
              </w:tc>
              <w:tc>
                <w:tcPr>
                  <w:tcW w:w="19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sz w:val="21"/>
                      <w:szCs w:val="21"/>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本项目锅炉采用低氮燃烧技术，</w:t>
                  </w:r>
                  <w:r>
                    <w:rPr>
                      <w:rFonts w:hint="eastAsia" w:ascii="Times New Roman" w:eastAsia="宋体"/>
                      <w:sz w:val="21"/>
                      <w:szCs w:val="21"/>
                      <w:lang w:val="en-US" w:eastAsia="zh-CN"/>
                    </w:rPr>
                    <w:t>颗粒物、SO</w:t>
                  </w:r>
                  <w:r>
                    <w:rPr>
                      <w:rFonts w:hint="eastAsia" w:ascii="Times New Roman" w:eastAsia="宋体"/>
                      <w:sz w:val="21"/>
                      <w:szCs w:val="21"/>
                      <w:vertAlign w:val="subscript"/>
                      <w:lang w:val="en-US" w:eastAsia="zh-CN"/>
                    </w:rPr>
                    <w:t>2</w:t>
                  </w:r>
                  <w:r>
                    <w:rPr>
                      <w:rFonts w:hint="eastAsia" w:ascii="Times New Roman" w:eastAsia="宋体"/>
                      <w:sz w:val="21"/>
                      <w:szCs w:val="21"/>
                      <w:vertAlign w:val="baseline"/>
                      <w:lang w:val="en-US" w:eastAsia="zh-CN"/>
                    </w:rPr>
                    <w:t>、</w:t>
                  </w:r>
                  <w:r>
                    <w:rPr>
                      <w:rFonts w:hint="eastAsia" w:ascii="Times New Roman" w:eastAsia="宋体"/>
                      <w:sz w:val="21"/>
                      <w:szCs w:val="21"/>
                      <w:lang w:val="en-US" w:eastAsia="zh-CN"/>
                    </w:rPr>
                    <w:t>NO</w:t>
                  </w:r>
                  <w:r>
                    <w:rPr>
                      <w:rFonts w:hint="eastAsia" w:ascii="Times New Roman" w:eastAsia="宋体"/>
                      <w:sz w:val="21"/>
                      <w:szCs w:val="21"/>
                      <w:vertAlign w:val="subscript"/>
                      <w:lang w:val="en-US" w:eastAsia="zh-CN"/>
                    </w:rPr>
                    <w:t>X</w:t>
                  </w:r>
                  <w:r>
                    <w:rPr>
                      <w:rFonts w:hint="eastAsia" w:ascii="Times New Roman" w:eastAsia="宋体"/>
                      <w:sz w:val="21"/>
                      <w:szCs w:val="21"/>
                      <w:lang w:val="en-US" w:eastAsia="zh-CN"/>
                    </w:rPr>
                    <w:t>执行《锅炉大气污染物排放标准》（GB13271-2014）中表2排放限值。</w:t>
                  </w:r>
                </w:p>
                <w:p>
                  <w:pPr>
                    <w:widowControl/>
                    <w:numPr>
                      <w:ilvl w:val="0"/>
                      <w:numId w:val="0"/>
                    </w:numPr>
                    <w:snapToGrid/>
                    <w:spacing w:before="0" w:beforeAutospacing="0" w:after="0" w:afterAutospacing="0" w:line="240" w:lineRule="auto"/>
                    <w:jc w:val="center"/>
                    <w:textAlignment w:val="baseline"/>
                    <w:rPr>
                      <w:rFonts w:hint="eastAsia" w:ascii="Times New Roman" w:eastAsia="宋体"/>
                      <w:sz w:val="21"/>
                      <w:szCs w:val="21"/>
                      <w:lang w:val="en-US" w:eastAsia="zh-CN"/>
                    </w:rPr>
                  </w:pPr>
                  <w:r>
                    <w:rPr>
                      <w:rFonts w:hint="eastAsia" w:ascii="Times New Roman" w:eastAsia="宋体"/>
                      <w:sz w:val="21"/>
                      <w:szCs w:val="21"/>
                      <w:lang w:val="en-US" w:eastAsia="zh-CN"/>
                    </w:rPr>
                    <w:t>生产异味可满足《恶臭污染物排放标准》GB14554-93) 中无组织限值。</w:t>
                  </w:r>
                </w:p>
                <w:p>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生产废水集中收集至厂区内污水处理站进行处理，处理满足</w:t>
                  </w:r>
                  <w:r>
                    <w:rPr>
                      <w:rFonts w:hint="eastAsia" w:cs="Times New Roman"/>
                      <w:color w:val="000000" w:themeColor="text1"/>
                      <w:sz w:val="21"/>
                      <w:szCs w:val="21"/>
                      <w:lang w:val="en-US" w:eastAsia="zh-CN"/>
                      <w14:textFill>
                        <w14:solidFill>
                          <w14:schemeClr w14:val="tx1"/>
                        </w14:solidFill>
                      </w14:textFill>
                    </w:rPr>
                    <w:t>《发酵酒精和白酒工业水污染物排放标准》（GB 27631-2011）及修改单</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中表2间接排放标准后通过园区下水管网进入园区污水处理厂进行处理。</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1919"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严格实施污染物总量控制和排污许可证制度，力求区域内空气环境和水环境按功能实现达标。主要污染物排放实现稳定达标；化学需氧量、二氧化硫等主要污染物的排放总量满足自治州总量控制计划的要求，严格实施主要污染物排放总量控制，不断巩固和扩大污染治理成果，加大对企业的污染治理工作，依托自治州博斯腾湖流域环境保护规划，争取项目资金开展企业污染治理工作，实现企业污染物减排的目标。加强环境监管工作，严格执行建设项目环境保护“三同时”制度，所有新建项目必须实现污染物达标排放才能允许生产，从源头上控制污染物的排放。</w:t>
                  </w:r>
                </w:p>
              </w:tc>
              <w:tc>
                <w:tcPr>
                  <w:tcW w:w="1924" w:type="pct"/>
                  <w:tcBorders>
                    <w:tl2br w:val="nil"/>
                    <w:tr2bl w:val="nil"/>
                  </w:tcBorders>
                  <w:noWrap w:val="0"/>
                  <w:vAlign w:val="center"/>
                </w:tcPr>
                <w:p>
                  <w:pPr>
                    <w:widowControl/>
                    <w:numPr>
                      <w:ilvl w:val="0"/>
                      <w:numId w:val="0"/>
                    </w:numPr>
                    <w:snapToGrid/>
                    <w:spacing w:before="0" w:beforeAutospacing="0" w:after="0" w:afterAutospacing="0" w:line="240" w:lineRule="auto"/>
                    <w:jc w:val="center"/>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本项目废水最终进入焉耆县污水处理厂进行处理，不涉及化学需氧量总量控制指标。</w:t>
                  </w:r>
                </w:p>
                <w:p>
                  <w:pPr>
                    <w:widowControl/>
                    <w:numPr>
                      <w:ilvl w:val="0"/>
                      <w:numId w:val="0"/>
                    </w:numPr>
                    <w:snapToGrid/>
                    <w:spacing w:before="0" w:beforeAutospacing="0" w:after="0" w:afterAutospacing="0" w:line="240" w:lineRule="auto"/>
                    <w:jc w:val="center"/>
                    <w:textAlignment w:val="baseline"/>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本项目需对氮氧化物进行总量控制。</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restar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环境风险</w:t>
                  </w:r>
                </w:p>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防控</w:t>
                  </w:r>
                </w:p>
              </w:tc>
              <w:tc>
                <w:tcPr>
                  <w:tcW w:w="191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1.严格环境风险控制。防范环境风险，定期评估工业集聚区环境和健康风险，加强预案管理，落实防控措施，排除水污染隐患。</w:t>
                  </w:r>
                </w:p>
              </w:tc>
              <w:tc>
                <w:tcPr>
                  <w:tcW w:w="1924"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本项目建成后需编制突发环境事件应急预案。</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191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2.加强对地下水、地表水污染的动态监测，禁止利用渗坑、渗井排放工业废水和生活污水，</w:t>
                  </w:r>
                </w:p>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控制或杜绝污染。</w:t>
                  </w:r>
                </w:p>
              </w:tc>
              <w:tc>
                <w:tcPr>
                  <w:tcW w:w="1924"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本项目产生的生活污水及生产废水最终进入焉耆县污水处理厂进行处理，不乱排放。</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1919"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3.严格执行项目安全和卫生防护距离要求，项目卫生防护距离内不得规划、建设居民区、</w:t>
                  </w:r>
                  <w:r>
                    <w:rPr>
                      <w:rFonts w:hint="eastAsia" w:cs="Times New Roman"/>
                      <w:color w:val="000000" w:themeColor="text1"/>
                      <w:kern w:val="0"/>
                      <w:sz w:val="21"/>
                      <w:szCs w:val="21"/>
                      <w:lang w:val="en-US" w:eastAsia="zh-CN"/>
                      <w14:textFill>
                        <w14:solidFill>
                          <w14:schemeClr w14:val="tx1"/>
                        </w14:solidFill>
                      </w14:textFill>
                    </w:rPr>
                    <w:t>学校</w:t>
                  </w:r>
                </w:p>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校、医院等环境敏感目标，对于已存在的环境敏感目标要采取合理措施加以保护。</w:t>
                  </w:r>
                </w:p>
              </w:tc>
              <w:tc>
                <w:tcPr>
                  <w:tcW w:w="1924"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本项目位于焉耆工业园区农副产品加工园内周边无上述环境敏感目标。</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restar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资源利用效率</w:t>
                  </w:r>
                </w:p>
              </w:tc>
              <w:tc>
                <w:tcPr>
                  <w:tcW w:w="1919"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1.园区工业用水总量达到焉耆县用水总量控制指标要求。</w:t>
                  </w:r>
                </w:p>
              </w:tc>
              <w:tc>
                <w:tcPr>
                  <w:tcW w:w="1924" w:type="pct"/>
                  <w:tcBorders>
                    <w:tl2br w:val="nil"/>
                    <w:tr2bl w:val="nil"/>
                  </w:tcBorders>
                  <w:noWrap w:val="0"/>
                  <w:vAlign w:val="center"/>
                </w:tcPr>
                <w:p>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本项目工业用水量较小，满足焉耆县用水总量控制指标。</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63"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314" w:type="pct"/>
                  <w:vMerge w:val="continue"/>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p>
              </w:tc>
              <w:tc>
                <w:tcPr>
                  <w:tcW w:w="1919"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2.加强园区土地集约、节约利用。</w:t>
                  </w:r>
                </w:p>
              </w:tc>
              <w:tc>
                <w:tcPr>
                  <w:tcW w:w="1924" w:type="pct"/>
                  <w:tcBorders>
                    <w:tl2br w:val="nil"/>
                    <w:tr2bl w:val="nil"/>
                  </w:tcBorders>
                  <w:noWrap w:val="0"/>
                  <w:vAlign w:val="center"/>
                </w:tcPr>
                <w:p>
                  <w:pPr>
                    <w:widowControl/>
                    <w:numPr>
                      <w:ilvl w:val="0"/>
                      <w:numId w:val="0"/>
                    </w:num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本项目用地符合园区的要求。</w:t>
                  </w:r>
                </w:p>
              </w:tc>
              <w:tc>
                <w:tcPr>
                  <w:tcW w:w="277" w:type="pct"/>
                  <w:tcBorders>
                    <w:tl2br w:val="nil"/>
                    <w:tr2bl w:val="nil"/>
                  </w:tcBorders>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kern w:val="2"/>
                      <w:sz w:val="21"/>
                      <w:szCs w:val="21"/>
                      <w:highlight w:val="none"/>
                      <w:lang w:val="en-US" w:eastAsia="zh-CN" w:bidi="ar-SA"/>
                      <w14:textFill>
                        <w14:solidFill>
                          <w14:schemeClr w14:val="tx1"/>
                        </w14:solidFill>
                      </w14:textFill>
                    </w:rPr>
                    <w:t>符合</w:t>
                  </w:r>
                </w:p>
              </w:tc>
            </w:tr>
          </w:tbl>
          <w:p>
            <w:pPr>
              <w:pStyle w:val="46"/>
              <w:bidi w:val="0"/>
              <w:rPr>
                <w:rFonts w:hint="eastAsia" w:eastAsia="宋体"/>
                <w:lang w:eastAsia="zh-CN"/>
              </w:rPr>
            </w:pPr>
            <w:r>
              <w:rPr>
                <w:rFonts w:hint="eastAsia"/>
              </w:rPr>
              <w:t>综合</w:t>
            </w:r>
            <w:r>
              <w:rPr>
                <w:rFonts w:hint="eastAsia"/>
                <w:lang w:val="en-US" w:eastAsia="zh-CN"/>
              </w:rPr>
              <w:t>所述</w:t>
            </w:r>
            <w:r>
              <w:rPr>
                <w:rFonts w:hint="eastAsia"/>
              </w:rPr>
              <w:t>，本项目符合</w:t>
            </w:r>
            <w:r>
              <w:rPr>
                <w:rFonts w:hint="eastAsia"/>
                <w:lang w:val="en-US" w:eastAsia="zh-CN"/>
              </w:rPr>
              <w:t>《关于印发巴音郭楞蒙古自治州“三线一单”生态环境分区管控动态更新成果（2023年）的通知》（巴政办发〔2024〕32号）</w:t>
            </w:r>
            <w:r>
              <w:rPr>
                <w:rFonts w:hint="eastAsia"/>
              </w:rPr>
              <w:t>文件</w:t>
            </w:r>
            <w:r>
              <w:rPr>
                <w:rFonts w:hint="eastAsia"/>
                <w:lang w:val="en-US" w:eastAsia="zh-CN"/>
              </w:rPr>
              <w:t>管控</w:t>
            </w:r>
            <w:r>
              <w:rPr>
                <w:rFonts w:hint="eastAsia"/>
              </w:rPr>
              <w:t>要求</w:t>
            </w:r>
            <w:r>
              <w:rPr>
                <w:rFonts w:hint="eastAsia"/>
                <w:lang w:eastAsia="zh-CN"/>
              </w:rPr>
              <w:t>。</w:t>
            </w:r>
          </w:p>
          <w:p>
            <w:pPr>
              <w:pStyle w:val="6"/>
              <w:keepNext w:val="0"/>
              <w:keepLines w:val="0"/>
              <w:suppressLineNumbers w:val="0"/>
              <w:adjustRightInd w:val="0"/>
              <w:snapToGrid w:val="0"/>
              <w:spacing w:before="0" w:beforeAutospacing="0" w:after="0" w:afterAutospacing="0"/>
              <w:ind w:left="0" w:leftChars="0" w:right="0" w:firstLine="0" w:firstLineChars="0"/>
              <w:rPr>
                <w:rFonts w:hint="default" w:ascii="Times New Roman" w:hAnsi="Times New Roman" w:eastAsia="宋体" w:cs="Times New Roman"/>
                <w:b/>
                <w:bCs/>
                <w:color w:val="000000"/>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000000"/>
                <w:highlight w:val="none"/>
                <w:lang w:val="en-US" w:eastAsia="zh-CN"/>
              </w:rPr>
              <w:t>与《新疆生态环境保护</w:t>
            </w:r>
            <w:r>
              <w:rPr>
                <w:rFonts w:hint="eastAsia" w:ascii="Times New Roman" w:hAnsi="Times New Roman" w:eastAsia="宋体" w:cs="Times New Roman"/>
                <w:b/>
                <w:bCs/>
                <w:color w:val="000000"/>
                <w:highlight w:val="none"/>
                <w:lang w:val="en-US" w:eastAsia="zh-CN"/>
              </w:rPr>
              <w:t>“</w:t>
            </w:r>
            <w:r>
              <w:rPr>
                <w:rFonts w:hint="default" w:ascii="Times New Roman" w:hAnsi="Times New Roman" w:eastAsia="宋体" w:cs="Times New Roman"/>
                <w:b/>
                <w:bCs/>
                <w:color w:val="000000"/>
                <w:highlight w:val="none"/>
                <w:lang w:val="en-US" w:eastAsia="zh-CN"/>
              </w:rPr>
              <w:t>十四五</w:t>
            </w:r>
            <w:r>
              <w:rPr>
                <w:rFonts w:hint="eastAsia" w:ascii="Times New Roman" w:hAnsi="Times New Roman" w:eastAsia="宋体" w:cs="Times New Roman"/>
                <w:b/>
                <w:bCs/>
                <w:color w:val="000000"/>
                <w:highlight w:val="none"/>
                <w:lang w:val="en-US" w:eastAsia="zh-CN"/>
              </w:rPr>
              <w:t>”</w:t>
            </w:r>
            <w:r>
              <w:rPr>
                <w:rFonts w:hint="default" w:ascii="Times New Roman" w:hAnsi="Times New Roman" w:eastAsia="宋体" w:cs="Times New Roman"/>
                <w:b/>
                <w:bCs/>
                <w:color w:val="000000"/>
                <w:highlight w:val="none"/>
                <w:lang w:val="en-US" w:eastAsia="zh-CN"/>
              </w:rPr>
              <w:t>规划》符合性分析</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《新疆生态环境保护</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十四五</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规划》第三节 建设清洁低碳能源体系严格控制煤炭消费。加强能耗</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双控</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管理，合理控制能源消费增量，优化能源消费结构，对</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乌—昌—石</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奎—独—乌</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等重点区域实施新建用煤项目等量或减量替代。合理控制煤电装机规模，有序淘汰煤电落后产能，推进燃煤电厂灵活性和供热改造。按照宜电则电、宜气则气的原则，继续推进</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电气化新疆</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建设，实施清洁能源行动计划，加快城乡结合部、农村民用和农业生产散烧煤的清洁能源替代，加大可再生能源消纳力度。稳步推进</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煤改电</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工程，拓展多种清洁供暖方式，提高清洁能源利用水平，暂不能通过清洁供暖替代散煤的地区，严禁使用劣质煤，可利用</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洁净煤+节能环保炉具</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替代散烧煤，或鼓励在小城镇和农村地区用户使用太阳能供暖系统。</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本项目为燃气锅炉项目，采用清洁能源天然气为燃料。符合《新疆生态环境保护</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十四五</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规划》相关要求。</w:t>
            </w:r>
          </w:p>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default"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4、</w:t>
            </w:r>
            <w:r>
              <w:rPr>
                <w:rFonts w:hint="default" w:ascii="Times New Roman" w:hAnsi="Times New Roman" w:eastAsia="宋体" w:cs="Times New Roman"/>
                <w:b/>
                <w:bCs/>
                <w:color w:val="000000"/>
                <w:kern w:val="2"/>
                <w:sz w:val="24"/>
                <w:szCs w:val="24"/>
                <w:highlight w:val="none"/>
                <w:lang w:val="en-US" w:eastAsia="zh-CN" w:bidi="ar-SA"/>
              </w:rPr>
              <w:t>与《巴州生态环境保护</w:t>
            </w:r>
            <w:r>
              <w:rPr>
                <w:rFonts w:hint="eastAsia" w:ascii="Times New Roman" w:hAnsi="Times New Roman" w:eastAsia="宋体" w:cs="Times New Roman"/>
                <w:b/>
                <w:bCs/>
                <w:color w:val="000000"/>
                <w:kern w:val="2"/>
                <w:sz w:val="24"/>
                <w:szCs w:val="24"/>
                <w:highlight w:val="none"/>
                <w:lang w:val="en-US" w:eastAsia="zh-CN" w:bidi="ar-SA"/>
              </w:rPr>
              <w:t>“</w:t>
            </w:r>
            <w:r>
              <w:rPr>
                <w:rFonts w:hint="default" w:ascii="Times New Roman" w:hAnsi="Times New Roman" w:eastAsia="宋体" w:cs="Times New Roman"/>
                <w:b/>
                <w:bCs/>
                <w:color w:val="000000"/>
                <w:kern w:val="2"/>
                <w:sz w:val="24"/>
                <w:szCs w:val="24"/>
                <w:highlight w:val="none"/>
                <w:lang w:val="en-US" w:eastAsia="zh-CN" w:bidi="ar-SA"/>
              </w:rPr>
              <w:t>十四五</w:t>
            </w:r>
            <w:r>
              <w:rPr>
                <w:rFonts w:hint="eastAsia" w:ascii="Times New Roman" w:hAnsi="Times New Roman" w:eastAsia="宋体" w:cs="Times New Roman"/>
                <w:b/>
                <w:bCs/>
                <w:color w:val="000000"/>
                <w:kern w:val="2"/>
                <w:sz w:val="24"/>
                <w:szCs w:val="24"/>
                <w:highlight w:val="none"/>
                <w:lang w:val="en-US" w:eastAsia="zh-CN" w:bidi="ar-SA"/>
              </w:rPr>
              <w:t>”</w:t>
            </w:r>
            <w:r>
              <w:rPr>
                <w:rFonts w:hint="default" w:ascii="Times New Roman" w:hAnsi="Times New Roman" w:eastAsia="宋体" w:cs="Times New Roman"/>
                <w:b/>
                <w:bCs/>
                <w:color w:val="000000"/>
                <w:kern w:val="2"/>
                <w:sz w:val="24"/>
                <w:szCs w:val="24"/>
                <w:highlight w:val="none"/>
                <w:lang w:val="en-US" w:eastAsia="zh-CN" w:bidi="ar-SA"/>
              </w:rPr>
              <w:t>规划》符合性分析</w:t>
            </w:r>
          </w:p>
          <w:p>
            <w:pPr>
              <w:keepNext w:val="0"/>
              <w:keepLines w:val="0"/>
              <w:widowControl w:val="0"/>
              <w:suppressLineNumbers w:val="0"/>
              <w:adjustRightInd w:val="0"/>
              <w:snapToGrid w:val="0"/>
              <w:spacing w:before="0" w:beforeAutospacing="0" w:after="0" w:afterAutospacing="0" w:line="360" w:lineRule="auto"/>
              <w:ind w:left="0" w:right="0" w:firstLine="456" w:firstLineChars="200"/>
              <w:jc w:val="both"/>
              <w:rPr>
                <w:rFonts w:hint="default" w:ascii="Times New Roman" w:hAnsi="Times New Roman" w:eastAsia="宋体" w:cs="Times New Roman"/>
                <w:color w:val="000000"/>
                <w:spacing w:val="-6"/>
                <w:kern w:val="2"/>
                <w:sz w:val="24"/>
                <w:szCs w:val="24"/>
                <w:highlight w:val="none"/>
                <w:lang w:val="en-US" w:eastAsia="zh-CN" w:bidi="ar-SA"/>
              </w:rPr>
            </w:pPr>
            <w:bookmarkStart w:id="4" w:name="_Toc31380_WPSOffice_Level2"/>
            <w:r>
              <w:rPr>
                <w:rFonts w:hint="default" w:ascii="Times New Roman" w:hAnsi="Times New Roman" w:eastAsia="宋体" w:cs="Times New Roman"/>
                <w:color w:val="000000"/>
                <w:spacing w:val="-6"/>
                <w:kern w:val="2"/>
                <w:sz w:val="24"/>
                <w:szCs w:val="24"/>
                <w:highlight w:val="none"/>
                <w:lang w:val="en-US" w:eastAsia="zh-CN" w:bidi="ar-SA"/>
              </w:rPr>
              <w:t>持续推进能源清洁化利用。加大民用散煤清洁化治理。到2022年，禁燃区逐步由县级及以上城市建成区扩展到近郊。禁燃区内禁止使用散煤等高污染燃料，采用清洁能源，宜气则气、宜电则电，逐步实现禁燃区内无煤化。禁燃区外，逐步推行清洁能源替代散煤。持续推进清洁供暖，因地制宜制定实施自治州清洁取暖方案，逐步提高清洁取暖面积占比。加强建筑节能改造，积极创建绿色建筑行动，到2025年，当年城镇新建民用建筑中绿色建筑面积占比达到100%，新建民用建筑严格执行强制性节能标准，执行率达到100%。</w:t>
            </w:r>
          </w:p>
          <w:bookmarkEnd w:id="4"/>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ascii="Times New Roman" w:hAnsi="Times New Roman" w:eastAsia="宋体" w:cs="Times New Roman"/>
                <w:kern w:val="0"/>
                <w:sz w:val="24"/>
                <w:szCs w:val="20"/>
                <w:lang w:val="en-US" w:eastAsia="zh-CN" w:bidi="ar-SA"/>
              </w:rPr>
            </w:pPr>
            <w:r>
              <w:rPr>
                <w:rFonts w:hint="default" w:ascii="Times New Roman" w:hAnsi="Times New Roman" w:eastAsia="宋体" w:cs="Times New Roman"/>
                <w:color w:val="000000"/>
                <w:kern w:val="2"/>
                <w:sz w:val="24"/>
                <w:szCs w:val="24"/>
                <w:highlight w:val="none"/>
                <w:lang w:val="en-US" w:eastAsia="zh-CN" w:bidi="ar-SA"/>
              </w:rPr>
              <w:t>本项目为燃气锅炉项目，采用清洁能源天然气为燃料。符合《巴州生态环境保护</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十四五</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规划》相关要求。</w:t>
            </w: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5、与《关于开展自治区2022年度夏秋季大气污染防治“冬病夏治”工作的通知》（新环大气函〔2022〕483号）的符合性分析</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（一） 推进清洁取暖，加大散煤治理力度</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按照宜电则电、宜气则气、宜热则热的原则，因地制宜推进冬季清洁取暖。乌鲁木齐市、昌吉州分别制定本行政区北方地区清洁取暖项目年度改造方案，“乌-昌”区域9月底前完成约5.5万户散煤用户清洁取暖改造，其他地 （州、市） 积极申报中央大气污染防治资金清洁取暖项目。各地要对已实施散煤替代的区域开展巡查，严防散煤复烧；对暂未实施的地区，加大散煤经销点监督检查力度，严厉打击销售劣质煤，确保燃煤质量符合标准要求。推进设施农业、粮食烘干等农业生产加工领域燃煤设施实施清洁能源改造。各地已完成清洁取暖改造的区域划定为高污染燃料禁燃区，9月底前完成划定工作，报生态环境厅备案。</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加快推进燃煤锅炉超低排放改造和燃气锅炉低氮燃烧改造2022年10月底前，县级及以上城市建成区淘汰30%现有35蒸吨/小时及以下的燃煤锅炉，“乌-昌-石”区域淘汰50%现有65蒸吨小时以下燃煤锅炉。重点区域保留的燃煤锅炉基本完成超低排放改造，其他地区65蒸吨/小时及以上燃煤锅炉 （含电力）累计完成总数的60%。</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本项目燃气锅炉需进行低氮燃烧技术改造。符合《关于开展自治区2022年度夏秋季大气污染防治“冬病夏治”工作的通知》（新环大气函〔2022〕483号）中的要求。</w:t>
            </w: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6、与国务院关于印发《空气质量持续改善行动计划》的通知（国发〔2023〕24号）的符合性分析</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cs="Times New Roman"/>
                <w:color w:val="000000"/>
                <w:kern w:val="2"/>
                <w:sz w:val="24"/>
                <w:szCs w:val="24"/>
                <w:highlight w:val="none"/>
                <w:lang w:val="en-US" w:eastAsia="zh-CN" w:bidi="ar-SA"/>
              </w:rPr>
            </w:pPr>
            <w:r>
              <w:rPr>
                <w:rFonts w:hint="default" w:cs="Times New Roman"/>
                <w:color w:val="000000"/>
                <w:kern w:val="2"/>
                <w:sz w:val="24"/>
                <w:szCs w:val="24"/>
                <w:highlight w:val="none"/>
                <w:lang w:val="en-US" w:eastAsia="zh-CN" w:bidi="ar-SA"/>
              </w:rPr>
              <w:t>（二十二）推进重点行业污染深度治理。高质量推进钢铁、水泥、焦化等重点行业及燃煤锅炉超低排放改造。到2025年，全国80%以上的钢铁产能完成超低排放改造任务；重点区域全部实现钢铁行业超低排放，基本完成燃煤锅炉超低排放改造。</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cs="Times New Roman"/>
                <w:color w:val="000000"/>
                <w:kern w:val="2"/>
                <w:sz w:val="24"/>
                <w:szCs w:val="24"/>
                <w:highlight w:val="none"/>
                <w:lang w:val="en-US" w:eastAsia="zh-CN" w:bidi="ar-SA"/>
              </w:rPr>
            </w:pPr>
            <w:r>
              <w:rPr>
                <w:rFonts w:hint="default" w:cs="Times New Roman"/>
                <w:color w:val="000000"/>
                <w:kern w:val="2"/>
                <w:sz w:val="24"/>
                <w:szCs w:val="24"/>
                <w:highlight w:val="none"/>
                <w:lang w:val="en-US" w:eastAsia="zh-CN" w:bidi="ar-SA"/>
              </w:rPr>
              <w:t>确保工业企业全面稳定达标排放。推进玻璃、石灰、矿棉、有色等行业深度治理。全面开展锅炉和工业炉窑简易低效污染治理设施排查，通过清洁能源替代、升级改造、整合退出等方式实施分类处置。推进燃气锅炉低氮燃烧改造。生物质锅炉采用专用锅炉，配套布袋等高效除尘设施，禁止掺烧煤炭、生活垃圾等其他物料。推进整合小型生物质锅炉，积极引导城市建成区内生物质锅炉（含电力）超低排放改造。强化治污设施运行维护，减少非正常工况排放。重点涉气企业逐步取消烟气和含VOCs废气旁路，因安全生产需要无法取消的，安装在线监控系统及备用处置设施。</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r>
              <w:rPr>
                <w:rFonts w:hint="default" w:cs="Times New Roman"/>
                <w:color w:val="000000"/>
                <w:kern w:val="2"/>
                <w:sz w:val="24"/>
                <w:szCs w:val="24"/>
                <w:highlight w:val="none"/>
                <w:lang w:val="en-US" w:eastAsia="zh-CN" w:bidi="ar-SA"/>
              </w:rPr>
              <w:t>本项目燃气锅炉需进行低氮燃烧技术改造。</w:t>
            </w:r>
            <w:r>
              <w:rPr>
                <w:rFonts w:hint="eastAsia" w:cs="Times New Roman"/>
                <w:color w:val="000000"/>
                <w:kern w:val="2"/>
                <w:sz w:val="24"/>
                <w:szCs w:val="24"/>
                <w:highlight w:val="none"/>
                <w:lang w:val="en-US" w:eastAsia="zh-CN" w:bidi="ar-SA"/>
              </w:rPr>
              <w:t>符合文件中的要求。</w:t>
            </w:r>
          </w:p>
          <w:p>
            <w:pPr>
              <w:widowControl w:val="0"/>
              <w:adjustRightInd w:val="0"/>
              <w:snapToGrid w:val="0"/>
              <w:spacing w:line="360" w:lineRule="auto"/>
              <w:ind w:firstLine="0" w:firstLineChars="0"/>
              <w:jc w:val="both"/>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7、</w:t>
            </w:r>
            <w:r>
              <w:rPr>
                <w:rFonts w:hint="eastAsia" w:cs="Times New Roman"/>
                <w:b/>
                <w:bCs/>
                <w:kern w:val="2"/>
                <w:sz w:val="24"/>
                <w:szCs w:val="24"/>
                <w:lang w:val="en-US" w:eastAsia="zh-CN" w:bidi="ar-SA"/>
              </w:rPr>
              <w:t>与</w:t>
            </w:r>
            <w:r>
              <w:rPr>
                <w:rFonts w:hint="eastAsia" w:ascii="Times New Roman" w:hAnsi="Times New Roman" w:eastAsia="宋体" w:cs="Times New Roman"/>
                <w:b/>
                <w:bCs/>
                <w:kern w:val="2"/>
                <w:sz w:val="24"/>
                <w:szCs w:val="24"/>
                <w:lang w:val="en-US" w:eastAsia="zh-CN" w:bidi="ar-SA"/>
              </w:rPr>
              <w:t>《关于发布〈饮料酒制造业污染防治技术政策＞的公告》（环保部公告2018年第7号）</w:t>
            </w:r>
            <w:r>
              <w:rPr>
                <w:rFonts w:hint="eastAsia" w:cs="Times New Roman"/>
                <w:b/>
                <w:bCs/>
                <w:kern w:val="2"/>
                <w:sz w:val="24"/>
                <w:szCs w:val="24"/>
                <w:lang w:val="en-US" w:eastAsia="zh-CN" w:bidi="ar-SA"/>
              </w:rPr>
              <w:t>的符合分析</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both"/>
              <w:textAlignment w:val="auto"/>
              <w:rPr>
                <w:rFonts w:hint="default" w:ascii="Times New Roman" w:hAnsi="Times New Roman" w:eastAsia="宋体" w:cs="Times New Roman"/>
                <w:b/>
                <w:bCs/>
                <w:kern w:val="2"/>
                <w:sz w:val="24"/>
                <w:szCs w:val="24"/>
                <w:lang w:val="en-US" w:eastAsia="zh-CN" w:bidi="ar-SA"/>
              </w:rPr>
            </w:pPr>
            <w:r>
              <w:rPr>
                <w:rFonts w:hint="eastAsia" w:cs="Times New Roman"/>
                <w:b/>
                <w:bCs/>
                <w:kern w:val="2"/>
                <w:sz w:val="24"/>
                <w:szCs w:val="24"/>
                <w:lang w:val="en-US" w:eastAsia="zh-CN" w:bidi="ar-SA"/>
              </w:rPr>
              <w:t>表1-4《关于发布〈饮料酒制造业污染防治技术政策＞的公告》（环保部公告2018年第7号）的符合性分析</w:t>
            </w:r>
          </w:p>
          <w:tbl>
            <w:tblPr>
              <w:tblStyle w:val="117"/>
              <w:tblW w:w="0" w:type="auto"/>
              <w:tblInd w:w="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85"/>
              <w:gridCol w:w="396"/>
              <w:gridCol w:w="3177"/>
              <w:gridCol w:w="3271"/>
              <w:gridCol w:w="4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gridSpan w:val="2"/>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项目</w:t>
                  </w: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4"/>
                      <w:sz w:val="21"/>
                      <w:szCs w:val="21"/>
                      <w14:textFill>
                        <w14:solidFill>
                          <w14:schemeClr w14:val="tx1"/>
                        </w14:solidFill>
                      </w14:textFill>
                    </w:rPr>
                    <w:t>要求</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7"/>
                      <w:sz w:val="21"/>
                      <w:szCs w:val="21"/>
                      <w14:textFill>
                        <w14:solidFill>
                          <w14:schemeClr w14:val="tx1"/>
                        </w14:solidFill>
                      </w14:textFill>
                    </w:rPr>
                    <w:t>本项目情况</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6"/>
                      <w:sz w:val="21"/>
                      <w:szCs w:val="21"/>
                      <w14:textFill>
                        <w14:solidFill>
                          <w14:schemeClr w14:val="tx1"/>
                        </w14:solidFill>
                      </w14:textFill>
                    </w:rPr>
                    <w:t>符合情</w:t>
                  </w:r>
                  <w:r>
                    <w:rPr>
                      <w:rFonts w:hint="default" w:ascii="Times New Roman" w:hAnsi="Times New Roman" w:cs="Times New Roman" w:eastAsiaTheme="minorEastAsia"/>
                      <w:color w:val="000000" w:themeColor="text1"/>
                      <w:sz w:val="21"/>
                      <w:szCs w:val="21"/>
                      <w14:textFill>
                        <w14:solidFill>
                          <w14:schemeClr w14:val="tx1"/>
                        </w14:solidFill>
                      </w14:textFill>
                    </w:rPr>
                    <w:t>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gridSpan w:val="2"/>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7"/>
                      <w:sz w:val="21"/>
                      <w:szCs w:val="21"/>
                      <w14:textFill>
                        <w14:solidFill>
                          <w14:schemeClr w14:val="tx1"/>
                        </w14:solidFill>
                      </w14:textFill>
                    </w:rPr>
                    <w:t>源头及</w:t>
                  </w:r>
                  <w:r>
                    <w:rPr>
                      <w:rFonts w:hint="default" w:ascii="Times New Roman" w:hAnsi="Times New Roman" w:cs="Times New Roman" w:eastAsiaTheme="minorEastAsia"/>
                      <w:color w:val="000000" w:themeColor="text1"/>
                      <w:spacing w:val="6"/>
                      <w:sz w:val="21"/>
                      <w:szCs w:val="21"/>
                      <w14:textFill>
                        <w14:solidFill>
                          <w14:schemeClr w14:val="tx1"/>
                        </w14:solidFill>
                      </w14:textFill>
                    </w:rPr>
                    <w:t>生产过</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程污染</w:t>
                  </w:r>
                  <w:r>
                    <w:rPr>
                      <w:rFonts w:hint="default" w:ascii="Times New Roman" w:hAnsi="Times New Roman" w:cs="Times New Roman" w:eastAsiaTheme="minorEastAsia"/>
                      <w:color w:val="000000" w:themeColor="text1"/>
                      <w:spacing w:val="-2"/>
                      <w:sz w:val="21"/>
                      <w:szCs w:val="21"/>
                      <w14:textFill>
                        <w14:solidFill>
                          <w14:schemeClr w14:val="tx1"/>
                        </w14:solidFill>
                      </w14:textFill>
                    </w:rPr>
                    <w:t>防控</w:t>
                  </w: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6"/>
                      <w:sz w:val="21"/>
                      <w:szCs w:val="21"/>
                      <w14:textFill>
                        <w14:solidFill>
                          <w14:schemeClr w14:val="tx1"/>
                        </w14:solidFill>
                      </w14:textFill>
                    </w:rPr>
                    <w:t>白酒、啤酒、黄</w:t>
                  </w:r>
                  <w:r>
                    <w:rPr>
                      <w:rFonts w:hint="eastAsia" w:ascii="Times New Roman" w:hAnsi="Times New Roman" w:cs="Times New Roman" w:eastAsiaTheme="minorEastAsia"/>
                      <w:color w:val="000000" w:themeColor="text1"/>
                      <w:spacing w:val="6"/>
                      <w:sz w:val="21"/>
                      <w:szCs w:val="21"/>
                      <w:lang w:eastAsia="zh-CN"/>
                      <w14:textFill>
                        <w14:solidFill>
                          <w14:schemeClr w14:val="tx1"/>
                        </w14:solidFill>
                      </w14:textFill>
                    </w:rPr>
                    <w:t>酒制</w:t>
                  </w:r>
                  <w:r>
                    <w:rPr>
                      <w:rFonts w:hint="default" w:ascii="Times New Roman" w:hAnsi="Times New Roman" w:cs="Times New Roman" w:eastAsiaTheme="minorEastAsia"/>
                      <w:color w:val="000000" w:themeColor="text1"/>
                      <w:spacing w:val="6"/>
                      <w:sz w:val="21"/>
                      <w:szCs w:val="21"/>
                      <w14:textFill>
                        <w14:solidFill>
                          <w14:schemeClr w14:val="tx1"/>
                        </w14:solidFill>
                      </w14:textFill>
                    </w:rPr>
                    <w:t>造业应</w:t>
                  </w:r>
                  <w:r>
                    <w:rPr>
                      <w:rFonts w:hint="default" w:ascii="Times New Roman" w:hAnsi="Times New Roman" w:cs="Times New Roman" w:eastAsiaTheme="minorEastAsia"/>
                      <w:color w:val="000000" w:themeColor="text1"/>
                      <w:spacing w:val="9"/>
                      <w:sz w:val="21"/>
                      <w:szCs w:val="21"/>
                      <w14:textFill>
                        <w14:solidFill>
                          <w14:schemeClr w14:val="tx1"/>
                        </w14:solidFill>
                      </w14:textFill>
                    </w:rPr>
                    <w:t>加强原料存储与输送过程</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的污染控制，原料宜采用</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仓储、密闭输送</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本项目原料全部采用全密闭原料仓库存放，粮料为袋装运输，输送至泡米工序后再行拆袋泡米</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Merge w:val="restart"/>
                  <w:tcBorders>
                    <w:top w:val="single" w:color="000000" w:sz="12" w:space="0"/>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000000" w:themeColor="text1"/>
                      <w:kern w:val="2"/>
                      <w:sz w:val="21"/>
                      <w:szCs w:val="21"/>
                      <w:lang w:val="en-US" w:eastAsia="en-US" w:bidi="ar-SA"/>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生产过程污染防控</w:t>
                  </w:r>
                </w:p>
              </w:tc>
              <w:tc>
                <w:tcPr>
                  <w:tcW w:w="0" w:type="auto"/>
                  <w:vMerge w:val="restart"/>
                  <w:tcBorders>
                    <w:top w:val="single" w:color="000000" w:sz="12" w:space="0"/>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000000" w:themeColor="text1"/>
                      <w:kern w:val="2"/>
                      <w:sz w:val="21"/>
                      <w:szCs w:val="21"/>
                      <w:lang w:val="en-US" w:eastAsia="en-US" w:bidi="ar-SA"/>
                      <w14:textFill>
                        <w14:solidFill>
                          <w14:schemeClr w14:val="tx1"/>
                        </w14:solidFill>
                      </w14:textFill>
                    </w:rPr>
                  </w:pPr>
                  <w:r>
                    <w:rPr>
                      <w:rFonts w:hint="default" w:ascii="Times New Roman" w:hAnsi="Times New Roman" w:cs="Times New Roman" w:eastAsiaTheme="minorEastAsia"/>
                      <w:color w:val="000000" w:themeColor="text1"/>
                      <w:spacing w:val="9"/>
                      <w:position w:val="1"/>
                      <w:sz w:val="21"/>
                      <w:szCs w:val="21"/>
                      <w14:textFill>
                        <w14:solidFill>
                          <w14:schemeClr w14:val="tx1"/>
                        </w14:solidFill>
                      </w14:textFill>
                    </w:rPr>
                    <w:t>白</w:t>
                  </w:r>
                  <w:r>
                    <w:rPr>
                      <w:rFonts w:hint="default" w:ascii="Times New Roman" w:hAnsi="Times New Roman" w:cs="Times New Roman" w:eastAsiaTheme="minorEastAsia"/>
                      <w:color w:val="000000" w:themeColor="text1"/>
                      <w:spacing w:val="9"/>
                      <w:sz w:val="21"/>
                      <w:szCs w:val="21"/>
                      <w14:textFill>
                        <w14:solidFill>
                          <w14:schemeClr w14:val="tx1"/>
                        </w14:solidFill>
                      </w14:textFill>
                    </w:rPr>
                    <w:t>酒制造业</w:t>
                  </w:r>
                </w:p>
              </w:tc>
              <w:tc>
                <w:tcPr>
                  <w:tcW w:w="3177" w:type="dxa"/>
                  <w:tcBorders>
                    <w:top w:val="single" w:color="000000" w:sz="12" w:space="0"/>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提高生产用水的重复利用率。蒸馏用冷却水应封闭循环利用，洗瓶水经单独</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净化后回用</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pacing w:val="8"/>
                      <w:sz w:val="21"/>
                      <w:szCs w:val="21"/>
                      <w:lang w:val="en-US" w:eastAsia="zh-CN"/>
                      <w14:textFill>
                        <w14:solidFill>
                          <w14:schemeClr w14:val="tx1"/>
                        </w14:solidFill>
                      </w14:textFill>
                    </w:rPr>
                    <w:t>蒸馏冷却水循环使用不外排。</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项目洗瓶用水第一</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次为自来水，第二次为纯净水，来自全自</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动清洗机自带纯水</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制备系统，对瓶内进行冲洗，冲洗后水经</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循环水槽收集后作</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为一级洗瓶用水</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鼓励蒸粮车间安装集气排气系统，实现蒸粮、馏酒及摊晾过程中废气的集中</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收集、处理和排放</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项目</w:t>
                  </w:r>
                  <w:r>
                    <w:rPr>
                      <w:rFonts w:hint="eastAsia" w:ascii="Times New Roman" w:hAnsi="Times New Roman" w:cs="Times New Roman" w:eastAsiaTheme="minorEastAsia"/>
                      <w:color w:val="000000" w:themeColor="text1"/>
                      <w:spacing w:val="8"/>
                      <w:sz w:val="21"/>
                      <w:szCs w:val="21"/>
                      <w:lang w:val="en-US" w:eastAsia="zh-CN"/>
                      <w14:textFill>
                        <w14:solidFill>
                          <w14:schemeClr w14:val="tx1"/>
                        </w14:solidFill>
                      </w14:textFill>
                    </w:rPr>
                    <w:t>蒸粮、馏酒及摊晾过程中产生的废气经换气扇排放</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应推进粉碎车间采用大功率、低能耗的新型制粉成套设备，并安装高效的除</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尘设备及降噪系统</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pacing w:val="5"/>
                      <w:sz w:val="21"/>
                      <w:szCs w:val="21"/>
                      <w:lang w:val="en-US" w:eastAsia="zh-CN"/>
                      <w14:textFill>
                        <w14:solidFill>
                          <w14:schemeClr w14:val="tx1"/>
                        </w14:solidFill>
                      </w14:textFill>
                    </w:rPr>
                    <w:t>项目外购的粮食均不需再进行破碎</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5"/>
                      <w:sz w:val="21"/>
                      <w:szCs w:val="21"/>
                      <w14:textFill>
                        <w14:solidFill>
                          <w14:schemeClr w14:val="tx1"/>
                        </w14:solidFill>
                      </w14:textFill>
                    </w:rPr>
                    <w:t>不涉及</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Merge w:val="restart"/>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污染治理及综合利用</w:t>
                  </w:r>
                </w:p>
              </w:tc>
              <w:tc>
                <w:tcPr>
                  <w:tcW w:w="0" w:type="auto"/>
                  <w:vMerge w:val="restart"/>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大气污染防治</w:t>
                  </w: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原料输送、粉碎工产生的</w:t>
                  </w:r>
                  <w:r>
                    <w:rPr>
                      <w:rFonts w:hint="default" w:ascii="Times New Roman" w:hAnsi="Times New Roman" w:cs="Times New Roman" w:eastAsiaTheme="minorEastAsia"/>
                      <w:color w:val="000000" w:themeColor="text1"/>
                      <w:spacing w:val="9"/>
                      <w:sz w:val="21"/>
                      <w:szCs w:val="21"/>
                      <w14:textFill>
                        <w14:solidFill>
                          <w14:schemeClr w14:val="tx1"/>
                        </w14:solidFill>
                      </w14:textFill>
                    </w:rPr>
                    <w:t>粉尘应采用封闭粉碎、袋式除尘或喷水降尘等方法</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与技术进行收集与处理。</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5"/>
                      <w:sz w:val="21"/>
                      <w:szCs w:val="21"/>
                      <w:lang w:val="en-US" w:eastAsia="zh-CN"/>
                      <w14:textFill>
                        <w14:solidFill>
                          <w14:schemeClr w14:val="tx1"/>
                        </w14:solidFill>
                      </w14:textFill>
                    </w:rPr>
                    <w:t>项目外购的粮食均不需再进行破碎</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酒糟、滤渣堆场应采取封</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闭措施对产生废气进行收</w:t>
                  </w:r>
                  <w:r>
                    <w:rPr>
                      <w:rFonts w:hint="default" w:ascii="Times New Roman" w:hAnsi="Times New Roman" w:cs="Times New Roman" w:eastAsiaTheme="minorEastAsia"/>
                      <w:color w:val="000000" w:themeColor="text1"/>
                      <w:spacing w:val="9"/>
                      <w:sz w:val="21"/>
                      <w:szCs w:val="21"/>
                      <w14:textFill>
                        <w14:solidFill>
                          <w14:schemeClr w14:val="tx1"/>
                        </w14:solidFill>
                      </w14:textFill>
                    </w:rPr>
                    <w:t>集，采用化学吸收法或活性炭吸附法等技术对收集</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废气进行处理。</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pacing w:val="-1"/>
                      <w:sz w:val="21"/>
                      <w:szCs w:val="21"/>
                      <w:lang w:val="en-US" w:eastAsia="zh-CN"/>
                      <w14:textFill>
                        <w14:solidFill>
                          <w14:schemeClr w14:val="tx1"/>
                        </w14:solidFill>
                      </w14:textFill>
                    </w:rPr>
                    <w:t>本项目在酒糟晾晒过程中喷洒生物除臭剂，</w:t>
                  </w:r>
                  <w:r>
                    <w:rPr>
                      <w:rFonts w:hint="default" w:ascii="Times New Roman" w:hAnsi="Times New Roman" w:cs="Times New Roman" w:eastAsiaTheme="minorEastAsia"/>
                      <w:color w:val="000000" w:themeColor="text1"/>
                      <w:spacing w:val="-1"/>
                      <w:sz w:val="21"/>
                      <w:szCs w:val="21"/>
                      <w14:textFill>
                        <w14:solidFill>
                          <w14:schemeClr w14:val="tx1"/>
                        </w14:solidFill>
                      </w14:textFill>
                    </w:rPr>
                    <w:t>脱水酒糟</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日产日清，厂区内暂</w:t>
                  </w:r>
                  <w:r>
                    <w:rPr>
                      <w:rFonts w:hint="default" w:ascii="Times New Roman" w:hAnsi="Times New Roman" w:cs="Times New Roman" w:eastAsiaTheme="minorEastAsia"/>
                      <w:color w:val="000000" w:themeColor="text1"/>
                      <w:spacing w:val="3"/>
                      <w:sz w:val="21"/>
                      <w:szCs w:val="21"/>
                      <w14:textFill>
                        <w14:solidFill>
                          <w14:schemeClr w14:val="tx1"/>
                        </w14:solidFill>
                      </w14:textFill>
                    </w:rPr>
                    <w:t>存时间不超过1天。</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0" w:type="auto"/>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水污染防治</w:t>
                  </w: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综合废水宜采取</w:t>
                  </w:r>
                  <w:r>
                    <w:rPr>
                      <w:rFonts w:hint="eastAsia" w:ascii="Times New Roman" w:hAnsi="Times New Roman" w:cs="Times New Roman" w:eastAsiaTheme="minorEastAsia"/>
                      <w:color w:val="000000" w:themeColor="text1"/>
                      <w:spacing w:val="8"/>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预处理</w:t>
                  </w:r>
                  <w:r>
                    <w:rPr>
                      <w:rFonts w:hint="default" w:ascii="Times New Roman" w:hAnsi="Times New Roman" w:cs="Times New Roman" w:eastAsiaTheme="minorEastAsia"/>
                      <w:color w:val="000000" w:themeColor="text1"/>
                      <w:spacing w:val="10"/>
                      <w:sz w:val="21"/>
                      <w:szCs w:val="21"/>
                      <w14:textFill>
                        <w14:solidFill>
                          <w14:schemeClr w14:val="tx1"/>
                        </w14:solidFill>
                      </w14:textFill>
                    </w:rPr>
                    <w:t>+</w:t>
                  </w:r>
                  <w:r>
                    <w:rPr>
                      <w:rFonts w:hint="eastAsia" w:ascii="Times New Roman" w:hAnsi="Times New Roman" w:cs="Times New Roman" w:eastAsiaTheme="minorEastAsia"/>
                      <w:color w:val="000000" w:themeColor="text1"/>
                      <w:spacing w:val="10"/>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pacing w:val="10"/>
                      <w:sz w:val="21"/>
                      <w:szCs w:val="21"/>
                      <w14:textFill>
                        <w14:solidFill>
                          <w14:schemeClr w14:val="tx1"/>
                        </w14:solidFill>
                      </w14:textFill>
                    </w:rPr>
                    <w:t>厌氧</w:t>
                  </w:r>
                  <w:r>
                    <w:rPr>
                      <w:rFonts w:hint="eastAsia" w:ascii="Times New Roman" w:hAnsi="Times New Roman" w:cs="Times New Roman" w:eastAsiaTheme="minorEastAsia"/>
                      <w:color w:val="000000" w:themeColor="text1"/>
                      <w:spacing w:val="10"/>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pacing w:val="10"/>
                      <w:sz w:val="21"/>
                      <w:szCs w:val="21"/>
                      <w14:textFill>
                        <w14:solidFill>
                          <w14:schemeClr w14:val="tx1"/>
                        </w14:solidFill>
                      </w14:textFill>
                    </w:rPr>
                    <w:t>好氧</w:t>
                  </w:r>
                  <w:r>
                    <w:rPr>
                      <w:rFonts w:hint="eastAsia" w:ascii="Times New Roman" w:hAnsi="Times New Roman" w:cs="Times New Roman" w:eastAsiaTheme="minorEastAsia"/>
                      <w:color w:val="000000" w:themeColor="text1"/>
                      <w:spacing w:val="8"/>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pacing w:val="10"/>
                      <w:sz w:val="21"/>
                      <w:szCs w:val="21"/>
                      <w14:textFill>
                        <w14:solidFill>
                          <w14:schemeClr w14:val="tx1"/>
                        </w14:solidFill>
                      </w14:textFill>
                    </w:rPr>
                    <w:t>的废水处</w:t>
                  </w:r>
                  <w:r>
                    <w:rPr>
                      <w:rFonts w:hint="eastAsia" w:ascii="Times New Roman" w:hAnsi="Times New Roman" w:cs="Times New Roman" w:eastAsiaTheme="minorEastAsia"/>
                      <w:color w:val="000000" w:themeColor="text1"/>
                      <w:spacing w:val="10"/>
                      <w:sz w:val="21"/>
                      <w:szCs w:val="21"/>
                      <w:lang w:eastAsia="zh-CN"/>
                      <w14:textFill>
                        <w14:solidFill>
                          <w14:schemeClr w14:val="tx1"/>
                        </w14:solidFill>
                      </w14:textFill>
                    </w:rPr>
                    <w:t>理工</w:t>
                  </w:r>
                  <w:r>
                    <w:rPr>
                      <w:rFonts w:hint="default" w:ascii="Times New Roman" w:hAnsi="Times New Roman" w:cs="Times New Roman" w:eastAsiaTheme="minorEastAsia"/>
                      <w:color w:val="000000" w:themeColor="text1"/>
                      <w:spacing w:val="9"/>
                      <w:sz w:val="21"/>
                      <w:szCs w:val="21"/>
                      <w14:textFill>
                        <w14:solidFill>
                          <w14:schemeClr w14:val="tx1"/>
                        </w14:solidFill>
                      </w14:textFill>
                    </w:rPr>
                    <w:t>艺技术路线。对于排放标准要求高的区域或需废水回用的企业，废水应进行深度处理，宜在生物处理后再增加混凝沉淀、过滤</w:t>
                  </w:r>
                  <w:r>
                    <w:rPr>
                      <w:rFonts w:hint="default" w:ascii="Times New Roman" w:hAnsi="Times New Roman" w:cs="Times New Roman" w:eastAsiaTheme="minorEastAsia"/>
                      <w:color w:val="000000" w:themeColor="text1"/>
                      <w:spacing w:val="18"/>
                      <w:sz w:val="21"/>
                      <w:szCs w:val="21"/>
                      <w14:textFill>
                        <w14:solidFill>
                          <w14:schemeClr w14:val="tx1"/>
                        </w14:solidFill>
                      </w14:textFill>
                    </w:rPr>
                    <w:t>或膜分离等处理单元。</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本项目生产废水采用</w:t>
                  </w:r>
                  <w:r>
                    <w:rPr>
                      <w:rFonts w:hint="eastAsia" w:ascii="Times New Roman" w:hAnsi="Times New Roman" w:cs="Times New Roman" w:eastAsiaTheme="minorEastAsia"/>
                      <w:color w:val="000000" w:themeColor="text1"/>
                      <w:spacing w:val="8"/>
                      <w:sz w:val="21"/>
                      <w:szCs w:val="21"/>
                      <w:lang w:eastAsia="zh-CN"/>
                      <w14:textFill>
                        <w14:solidFill>
                          <w14:schemeClr w14:val="tx1"/>
                        </w14:solidFill>
                      </w14:textFill>
                    </w:rPr>
                    <w:t>“</w:t>
                  </w:r>
                  <w:r>
                    <w:rPr>
                      <w:rFonts w:hint="eastAsia" w:ascii="Times New Roman" w:hAnsi="Times New Roman" w:cs="Times New Roman" w:eastAsiaTheme="minorEastAsia"/>
                      <w:color w:val="000000" w:themeColor="text1"/>
                      <w:spacing w:val="8"/>
                      <w:sz w:val="21"/>
                      <w:szCs w:val="21"/>
                      <w:lang w:val="en-US" w:eastAsia="zh-CN"/>
                      <w14:textFill>
                        <w14:solidFill>
                          <w14:schemeClr w14:val="tx1"/>
                        </w14:solidFill>
                      </w14:textFill>
                    </w:rPr>
                    <w:t>调节池+气浮+UASB+A/O</w:t>
                  </w:r>
                  <w:r>
                    <w:rPr>
                      <w:rFonts w:hint="eastAsia" w:ascii="Times New Roman" w:hAnsi="Times New Roman" w:cs="Times New Roman" w:eastAsiaTheme="minorEastAsia"/>
                      <w:color w:val="000000" w:themeColor="text1"/>
                      <w:spacing w:val="8"/>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pacing w:val="5"/>
                      <w:sz w:val="21"/>
                      <w:szCs w:val="21"/>
                      <w14:textFill>
                        <w14:solidFill>
                          <w14:schemeClr w14:val="tx1"/>
                        </w14:solidFill>
                      </w14:textFill>
                    </w:rPr>
                    <w:t>工</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艺处理后</w:t>
                  </w:r>
                  <w:r>
                    <w:rPr>
                      <w:rFonts w:hint="eastAsia" w:ascii="Times New Roman" w:hAnsi="Times New Roman" w:cs="Times New Roman" w:eastAsiaTheme="minorEastAsia"/>
                      <w:color w:val="000000" w:themeColor="text1"/>
                      <w:spacing w:val="8"/>
                      <w:sz w:val="21"/>
                      <w:szCs w:val="21"/>
                      <w:lang w:val="en-US" w:eastAsia="zh-CN"/>
                      <w14:textFill>
                        <w14:solidFill>
                          <w14:schemeClr w14:val="tx1"/>
                        </w14:solidFill>
                      </w14:textFill>
                    </w:rPr>
                    <w:t>废水达标后排入园区下水管网，最终进入焉耆县污水处理厂进行处理</w:t>
                  </w:r>
                  <w:r>
                    <w:rPr>
                      <w:rFonts w:hint="default" w:ascii="Times New Roman" w:hAnsi="Times New Roman" w:cs="Times New Roman" w:eastAsiaTheme="minorEastAsia"/>
                      <w:color w:val="000000" w:themeColor="text1"/>
                      <w:spacing w:val="6"/>
                      <w:sz w:val="21"/>
                      <w:szCs w:val="21"/>
                      <w14:textFill>
                        <w14:solidFill>
                          <w14:schemeClr w14:val="tx1"/>
                        </w14:solidFill>
                      </w14:textFill>
                    </w:rPr>
                    <w:t>。</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0" w:type="auto"/>
                  <w:vMerge w:val="restart"/>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固废处置</w:t>
                  </w: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酒糟、麦糟宜作为优质饲</w:t>
                  </w:r>
                  <w:r>
                    <w:rPr>
                      <w:rFonts w:hint="default" w:ascii="Times New Roman" w:hAnsi="Times New Roman" w:cs="Times New Roman" w:eastAsiaTheme="minorEastAsia"/>
                      <w:color w:val="000000" w:themeColor="text1"/>
                      <w:spacing w:val="12"/>
                      <w:sz w:val="21"/>
                      <w:szCs w:val="21"/>
                      <w14:textFill>
                        <w14:solidFill>
                          <w14:schemeClr w14:val="tx1"/>
                        </w14:solidFill>
                      </w14:textFill>
                    </w:rPr>
                    <w:t>料或锅炉燃料。酒糟宜制备糟烧酒、调味料、栽培</w:t>
                  </w:r>
                  <w:r>
                    <w:rPr>
                      <w:rFonts w:hint="default" w:ascii="Times New Roman" w:hAnsi="Times New Roman" w:cs="Times New Roman" w:eastAsiaTheme="minorEastAsia"/>
                      <w:color w:val="000000" w:themeColor="text1"/>
                      <w:spacing w:val="3"/>
                      <w:sz w:val="21"/>
                      <w:szCs w:val="21"/>
                      <w14:textFill>
                        <w14:solidFill>
                          <w14:schemeClr w14:val="tx1"/>
                        </w14:solidFill>
                      </w14:textFill>
                    </w:rPr>
                    <w:t>食用菌，开发饲料蛋白等。</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项目脱水酒糟作为周边养殖场饲料外</w:t>
                  </w:r>
                  <w:r>
                    <w:rPr>
                      <w:rFonts w:hint="default" w:ascii="Times New Roman" w:hAnsi="Times New Roman" w:cs="Times New Roman" w:eastAsiaTheme="minorEastAsia"/>
                      <w:color w:val="000000" w:themeColor="text1"/>
                      <w:spacing w:val="14"/>
                      <w:sz w:val="21"/>
                      <w:szCs w:val="21"/>
                      <w14:textFill>
                        <w14:solidFill>
                          <w14:schemeClr w14:val="tx1"/>
                        </w14:solidFill>
                      </w14:textFill>
                    </w:rPr>
                    <w:t>运，日产日清。</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0" w:type="auto"/>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鼓励采用坛式储酒方式的</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企业回收和减少封坛泥用</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量，节约资源。</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本项目采用发酵罐</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发酵，不涉及封坛泥</w:t>
                  </w:r>
                  <w:r>
                    <w:rPr>
                      <w:rFonts w:hint="default" w:ascii="Times New Roman" w:hAnsi="Times New Roman" w:cs="Times New Roman" w:eastAsiaTheme="minorEastAsia"/>
                      <w:color w:val="000000" w:themeColor="text1"/>
                      <w:spacing w:val="1"/>
                      <w:sz w:val="21"/>
                      <w:szCs w:val="21"/>
                      <w14:textFill>
                        <w14:solidFill>
                          <w14:schemeClr w14:val="tx1"/>
                        </w14:solidFill>
                      </w14:textFill>
                    </w:rPr>
                    <w:t>的使用</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gridSpan w:val="2"/>
                  <w:vMerge w:val="restart"/>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5"/>
                      <w:sz w:val="21"/>
                      <w:szCs w:val="21"/>
                      <w14:textFill>
                        <w14:solidFill>
                          <w14:schemeClr w14:val="tx1"/>
                        </w14:solidFill>
                      </w14:textFill>
                    </w:rPr>
                    <w:t>二次污染防治</w:t>
                  </w: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鼓励将废水厌氧生化处理过程中产生的沼气，经净</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化处理后作为燃料使用。</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本项目废水产生量</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极小，因此废水厌氧</w:t>
                  </w:r>
                  <w:r>
                    <w:rPr>
                      <w:rFonts w:hint="default" w:ascii="Times New Roman" w:hAnsi="Times New Roman" w:cs="Times New Roman" w:eastAsiaTheme="minorEastAsia"/>
                      <w:color w:val="000000" w:themeColor="text1"/>
                      <w:spacing w:val="8"/>
                      <w:sz w:val="21"/>
                      <w:szCs w:val="21"/>
                      <w14:textFill>
                        <w14:solidFill>
                          <w14:schemeClr w14:val="tx1"/>
                        </w14:solidFill>
                      </w14:textFill>
                    </w:rPr>
                    <w:t>生化处理过程中产生的沼气量极小，不进行收集使用</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废水处理过程中产生的恶臭气体应收集和处理，采用生物、化学或物理等技</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术进行处理</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污水处理站加盖密闭，定期投加除臭剂</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9"/>
                      <w:sz w:val="21"/>
                      <w:szCs w:val="21"/>
                      <w14:textFill>
                        <w14:solidFill>
                          <w14:schemeClr w14:val="tx1"/>
                        </w14:solidFill>
                      </w14:textFill>
                    </w:rPr>
                    <w:t>鼓励将废水生物处理产生</w:t>
                  </w:r>
                  <w:r>
                    <w:rPr>
                      <w:rFonts w:hint="default" w:ascii="Times New Roman" w:hAnsi="Times New Roman" w:cs="Times New Roman" w:eastAsiaTheme="minorEastAsia"/>
                      <w:color w:val="000000" w:themeColor="text1"/>
                      <w:spacing w:val="7"/>
                      <w:sz w:val="21"/>
                      <w:szCs w:val="21"/>
                      <w14:textFill>
                        <w14:solidFill>
                          <w14:schemeClr w14:val="tx1"/>
                        </w14:solidFill>
                      </w14:textFill>
                    </w:rPr>
                    <w:t>的剩余污泥、沼渣等进行资源化综合利用</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污水处理站污泥经脱水后</w:t>
                  </w:r>
                  <w:r>
                    <w:rPr>
                      <w:rFonts w:hint="eastAsia" w:ascii="Times New Roman" w:hAnsi="Times New Roman" w:cs="Times New Roman" w:eastAsiaTheme="minorEastAsia"/>
                      <w:color w:val="000000" w:themeColor="text1"/>
                      <w:spacing w:val="8"/>
                      <w:sz w:val="21"/>
                      <w:szCs w:val="21"/>
                      <w:lang w:val="en-US" w:eastAsia="zh-CN"/>
                      <w14:textFill>
                        <w14:solidFill>
                          <w14:schemeClr w14:val="tx1"/>
                        </w14:solidFill>
                      </w14:textFill>
                    </w:rPr>
                    <w:t>交由一般固废处置单位进行处置。</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5"/>
                      <w:sz w:val="21"/>
                      <w:szCs w:val="21"/>
                      <w14:textFill>
                        <w14:solidFill>
                          <w14:schemeClr w14:val="tx1"/>
                        </w14:solidFill>
                      </w14:textFill>
                    </w:rPr>
                    <w:t>不违背</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177"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5"/>
                      <w:sz w:val="21"/>
                      <w:szCs w:val="21"/>
                      <w14:textFill>
                        <w14:solidFill>
                          <w14:schemeClr w14:val="tx1"/>
                        </w14:solidFill>
                      </w14:textFill>
                    </w:rPr>
                    <w:t>酒糟、滤渣等堆场应防雨、</w:t>
                  </w:r>
                  <w:r>
                    <w:rPr>
                      <w:rFonts w:hint="default" w:ascii="Times New Roman" w:hAnsi="Times New Roman" w:cs="Times New Roman" w:eastAsiaTheme="minorEastAsia"/>
                      <w:color w:val="000000" w:themeColor="text1"/>
                      <w:spacing w:val="-2"/>
                      <w:sz w:val="21"/>
                      <w:szCs w:val="21"/>
                      <w14:textFill>
                        <w14:solidFill>
                          <w14:schemeClr w14:val="tx1"/>
                        </w14:solidFill>
                      </w14:textFill>
                    </w:rPr>
                    <w:t>防渗。</w:t>
                  </w:r>
                </w:p>
              </w:tc>
              <w:tc>
                <w:tcPr>
                  <w:tcW w:w="3271"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8"/>
                      <w:sz w:val="21"/>
                      <w:szCs w:val="21"/>
                      <w14:textFill>
                        <w14:solidFill>
                          <w14:schemeClr w14:val="tx1"/>
                        </w14:solidFill>
                      </w14:textFill>
                    </w:rPr>
                    <w:t>本项目脱水酒糟置</w:t>
                  </w:r>
                  <w:r>
                    <w:rPr>
                      <w:rFonts w:hint="default" w:ascii="Times New Roman" w:hAnsi="Times New Roman" w:cs="Times New Roman" w:eastAsiaTheme="minorEastAsia"/>
                      <w:color w:val="000000" w:themeColor="text1"/>
                      <w:spacing w:val="21"/>
                      <w:sz w:val="21"/>
                      <w:szCs w:val="21"/>
                      <w14:textFill>
                        <w14:solidFill>
                          <w14:schemeClr w14:val="tx1"/>
                        </w14:solidFill>
                      </w14:textFill>
                    </w:rPr>
                    <w:t>于</w:t>
                  </w:r>
                  <w:r>
                    <w:rPr>
                      <w:rFonts w:hint="eastAsia" w:ascii="Times New Roman" w:hAnsi="Times New Roman" w:cs="Times New Roman" w:eastAsiaTheme="minorEastAsia"/>
                      <w:color w:val="000000" w:themeColor="text1"/>
                      <w:spacing w:val="21"/>
                      <w:sz w:val="21"/>
                      <w:szCs w:val="21"/>
                      <w:lang w:val="en-US" w:eastAsia="zh-CN"/>
                      <w14:textFill>
                        <w14:solidFill>
                          <w14:schemeClr w14:val="tx1"/>
                        </w14:solidFill>
                      </w14:textFill>
                    </w:rPr>
                    <w:t>晒场内，晒场水泥硬化，加盖防雨棚</w:t>
                  </w:r>
                  <w:r>
                    <w:rPr>
                      <w:rFonts w:hint="default" w:ascii="Times New Roman" w:hAnsi="Times New Roman" w:cs="Times New Roman" w:eastAsiaTheme="minorEastAsia"/>
                      <w:color w:val="000000" w:themeColor="text1"/>
                      <w:spacing w:val="3"/>
                      <w:sz w:val="21"/>
                      <w:szCs w:val="21"/>
                      <w14:textFill>
                        <w14:solidFill>
                          <w14:schemeClr w14:val="tx1"/>
                        </w14:solidFill>
                      </w14:textFill>
                    </w:rPr>
                    <w:t>。</w:t>
                  </w:r>
                </w:p>
              </w:tc>
              <w:tc>
                <w:tcPr>
                  <w:tcW w:w="488" w:type="dxa"/>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pacing w:val="3"/>
                      <w:sz w:val="21"/>
                      <w:szCs w:val="21"/>
                      <w14:textFill>
                        <w14:solidFill>
                          <w14:schemeClr w14:val="tx1"/>
                        </w14:solidFill>
                      </w14:textFill>
                    </w:rPr>
                    <w:t>符合</w:t>
                  </w:r>
                </w:p>
              </w:tc>
            </w:tr>
          </w:tbl>
          <w:p>
            <w:pPr>
              <w:widowControl w:val="0"/>
              <w:numPr>
                <w:ilvl w:val="0"/>
                <w:numId w:val="2"/>
              </w:numPr>
              <w:adjustRightInd w:val="0"/>
              <w:snapToGrid w:val="0"/>
              <w:spacing w:line="360" w:lineRule="auto"/>
              <w:ind w:firstLine="0" w:firstLineChars="0"/>
              <w:jc w:val="both"/>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选址合理性分析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000000"/>
                <w:kern w:val="2"/>
                <w:sz w:val="24"/>
                <w:szCs w:val="24"/>
                <w:highlight w:val="none"/>
                <w:lang w:val="en-US" w:eastAsia="zh-CN" w:bidi="ar-SA"/>
              </w:rPr>
            </w:pPr>
            <w:r>
              <w:rPr>
                <w:rFonts w:hint="eastAsia" w:ascii="Times New Roman" w:hAnsi="Times New Roman" w:eastAsia="宋体" w:cs="Times New Roman"/>
                <w:kern w:val="0"/>
                <w:sz w:val="24"/>
                <w:szCs w:val="20"/>
                <w:lang w:val="en-US" w:eastAsia="zh-CN" w:bidi="ar-SA"/>
              </w:rPr>
              <w:t>本项目厂址位于焉耆工业园区农副产品加工园，项目用地类型为工业用地。场址周围无饮用水源地、自然保护区、文物景观等环境敏感目标。项目区道路交通条件完备，项目用水用电均有保障。选址符合“三线一单”中的要求。因此，本项目建设交通、能源方面均有保障，项目内部、外部条件均能满足建设要求。</w:t>
            </w: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cs="Times New Roman"/>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cs="Times New Roman"/>
                <w:color w:val="000000"/>
                <w:kern w:val="2"/>
                <w:sz w:val="24"/>
                <w:szCs w:val="24"/>
                <w:highlight w:val="none"/>
                <w:lang w:val="en-US" w:eastAsia="zh-CN" w:bidi="ar-SA"/>
              </w:rPr>
            </w:pPr>
          </w:p>
        </w:tc>
      </w:tr>
    </w:tbl>
    <w:p>
      <w:pPr>
        <w:spacing w:line="360" w:lineRule="auto"/>
        <w:outlineLvl w:val="0"/>
        <w:rPr>
          <w:rFonts w:hint="eastAsia" w:ascii="宋体" w:hAnsi="宋体" w:eastAsia="宋体" w:cs="宋体"/>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eastAsia" w:ascii="黑体" w:hAnsi="黑体" w:eastAsia="黑体" w:cs="黑体"/>
          <w:snapToGrid w:val="0"/>
          <w:sz w:val="30"/>
          <w:szCs w:val="30"/>
          <w:highlight w:val="none"/>
        </w:rPr>
      </w:pPr>
      <w:bookmarkStart w:id="5" w:name="_Toc23290"/>
      <w:r>
        <w:rPr>
          <w:rFonts w:hint="eastAsia" w:ascii="黑体" w:hAnsi="黑体" w:eastAsia="黑体" w:cs="黑体"/>
          <w:snapToGrid w:val="0"/>
          <w:sz w:val="30"/>
          <w:szCs w:val="30"/>
          <w:highlight w:val="none"/>
        </w:rPr>
        <w:t>二、建设项目工程分析</w:t>
      </w:r>
      <w:bookmarkEnd w:id="5"/>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54"/>
        <w:gridCol w:w="860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55" w:type="dxa"/>
            <w:tcBorders>
              <w:tl2br w:val="nil"/>
              <w:tr2bl w:val="nil"/>
            </w:tcBorders>
            <w:noWrap w:val="0"/>
            <w:vAlign w:val="center"/>
          </w:tcPr>
          <w:p>
            <w:pPr>
              <w:pStyle w:val="29"/>
              <w:adjustRightInd w:val="0"/>
              <w:snapToGrid w:val="0"/>
              <w:spacing w:before="0" w:beforeAutospacing="0" w:after="0" w:afterAutospacing="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建设内容</w:t>
            </w:r>
          </w:p>
        </w:tc>
        <w:tc>
          <w:tcPr>
            <w:tcW w:w="8605" w:type="dxa"/>
            <w:tcBorders>
              <w:tl2br w:val="nil"/>
              <w:tr2bl w:val="nil"/>
            </w:tcBorders>
            <w:noWrap w:val="0"/>
            <w:vAlign w:val="top"/>
          </w:tcPr>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建设内容及规模</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（1）项目名称：</w:t>
            </w:r>
            <w:r>
              <w:rPr>
                <w:rFonts w:hint="eastAsia" w:cs="Times New Roman"/>
                <w:color w:val="000000" w:themeColor="text1"/>
                <w:sz w:val="24"/>
                <w:highlight w:val="none"/>
                <w:lang w:val="en-US" w:eastAsia="zh-CN"/>
                <w14:textFill>
                  <w14:solidFill>
                    <w14:schemeClr w14:val="tx1"/>
                  </w14:solidFill>
                </w14:textFill>
              </w:rPr>
              <w:t>新疆康喜酒业白酒生产基地建设项目</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（2）项目性质：新建</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（3）占地面积：</w:t>
            </w:r>
            <w:r>
              <w:rPr>
                <w:rFonts w:hint="eastAsia" w:cs="Times New Roman"/>
                <w:color w:val="000000" w:themeColor="text1"/>
                <w:kern w:val="2"/>
                <w:sz w:val="24"/>
                <w:szCs w:val="24"/>
                <w:highlight w:val="none"/>
                <w:lang w:val="en-US" w:eastAsia="zh-CN" w:bidi="ar-SA"/>
                <w14:textFill>
                  <w14:solidFill>
                    <w14:schemeClr w14:val="tx1"/>
                  </w14:solidFill>
                </w14:textFill>
              </w:rPr>
              <w:t>总占地面积17406.20m</w:t>
            </w:r>
            <w:r>
              <w:rPr>
                <w:rFonts w:hint="eastAsia"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eastAsia" w:cs="Times New Roman"/>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（4）建设地点：新疆巴州</w:t>
            </w:r>
            <w:r>
              <w:rPr>
                <w:rFonts w:hint="eastAsia" w:cs="Times New Roman"/>
                <w:color w:val="000000" w:themeColor="text1"/>
                <w:kern w:val="2"/>
                <w:sz w:val="24"/>
                <w:szCs w:val="24"/>
                <w:highlight w:val="none"/>
                <w:lang w:val="en-US" w:eastAsia="zh-CN" w:bidi="ar-SA"/>
                <w14:textFill>
                  <w14:solidFill>
                    <w14:schemeClr w14:val="tx1"/>
                  </w14:solidFill>
                </w14:textFill>
              </w:rPr>
              <w:t>焉耆工业园区农副产品加工园</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，新疆红帆生物科技有限公司东侧，中心地理坐标为东经：86°35′47.339″，北纬：42°5′4.626″。</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本项目地理位置见附图</w:t>
            </w:r>
            <w:r>
              <w:rPr>
                <w:rFonts w:hint="eastAsia" w:cs="Times New Roman"/>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（5）总投资：</w:t>
            </w:r>
            <w:r>
              <w:rPr>
                <w:rFonts w:hint="eastAsia" w:cs="Times New Roman"/>
                <w:color w:val="000000" w:themeColor="text1"/>
                <w:kern w:val="2"/>
                <w:sz w:val="24"/>
                <w:szCs w:val="24"/>
                <w:highlight w:val="none"/>
                <w:lang w:val="en-US" w:eastAsia="zh-CN" w:bidi="ar-SA"/>
                <w14:textFill>
                  <w14:solidFill>
                    <w14:schemeClr w14:val="tx1"/>
                  </w14:solidFill>
                </w14:textFill>
              </w:rPr>
              <w:t>2618</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万元，其中环保投资</w:t>
            </w:r>
            <w:r>
              <w:rPr>
                <w:rFonts w:hint="eastAsia" w:cs="Times New Roman"/>
                <w:color w:val="000000" w:themeColor="text1"/>
                <w:kern w:val="2"/>
                <w:sz w:val="24"/>
                <w:szCs w:val="24"/>
                <w:highlight w:val="none"/>
                <w:lang w:val="en-US" w:eastAsia="zh-CN" w:bidi="ar-SA"/>
                <w14:textFill>
                  <w14:solidFill>
                    <w14:schemeClr w14:val="tx1"/>
                  </w14:solidFill>
                </w14:textFill>
              </w:rPr>
              <w:t>21.5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万元，占总投资的</w:t>
            </w:r>
            <w:r>
              <w:rPr>
                <w:rFonts w:hint="eastAsia" w:cs="Times New Roman"/>
                <w:color w:val="000000" w:themeColor="text1"/>
                <w:kern w:val="2"/>
                <w:sz w:val="24"/>
                <w:szCs w:val="24"/>
                <w:highlight w:val="none"/>
                <w:lang w:val="en-US" w:eastAsia="zh-CN" w:bidi="ar-SA"/>
                <w14:textFill>
                  <w14:solidFill>
                    <w14:schemeClr w14:val="tx1"/>
                  </w14:solidFill>
                </w14:textFill>
              </w:rPr>
              <w:t>0.82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（6）周围环境概况：</w:t>
            </w:r>
            <w:r>
              <w:rPr>
                <w:rFonts w:hint="eastAsia" w:cs="Times New Roman"/>
                <w:color w:val="000000" w:themeColor="text1"/>
                <w:kern w:val="2"/>
                <w:sz w:val="24"/>
                <w:szCs w:val="24"/>
                <w:highlight w:val="none"/>
                <w:lang w:val="en-US" w:eastAsia="zh-CN" w:bidi="ar-SA"/>
                <w14:textFill>
                  <w14:solidFill>
                    <w14:schemeClr w14:val="tx1"/>
                  </w14:solidFill>
                </w14:textFill>
              </w:rPr>
              <w:t>项目区南侧为巴州鸿一农业科技有限公司，西侧为新疆红帆生物科技有限公司，项目区东侧为空地，项目区北侧为浩林农副产品厂</w:t>
            </w:r>
            <w:r>
              <w:rPr>
                <w:rFonts w:hint="default" w:cs="Times New Roman"/>
                <w:color w:val="000000" w:themeColor="text1"/>
                <w:kern w:val="2"/>
                <w:sz w:val="24"/>
                <w:szCs w:val="24"/>
                <w:highlight w:val="none"/>
                <w:lang w:val="en-US" w:eastAsia="zh-CN" w:bidi="ar-SA"/>
                <w14:textFill>
                  <w14:solidFill>
                    <w14:schemeClr w14:val="tx1"/>
                  </w14:solidFill>
                </w14:textFill>
              </w:rPr>
              <w:t>。</w:t>
            </w:r>
            <w:r>
              <w:rPr>
                <w:rFonts w:hint="eastAsia" w:cs="Times New Roman"/>
                <w:color w:val="000000" w:themeColor="text1"/>
                <w:kern w:val="2"/>
                <w:sz w:val="24"/>
                <w:szCs w:val="24"/>
                <w:highlight w:val="none"/>
                <w:lang w:val="en-US" w:eastAsia="zh-CN" w:bidi="ar-SA"/>
                <w14:textFill>
                  <w14:solidFill>
                    <w14:schemeClr w14:val="tx1"/>
                  </w14:solidFill>
                </w14:textFill>
              </w:rPr>
              <w:t>周边环境见附图2-2。</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（7）建设内容及规模：</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本项目总占地面积17406.20m</w:t>
            </w:r>
            <w:r>
              <w:rPr>
                <w:rFonts w:hint="eastAsia" w:ascii="Times New Roman" w:hAnsi="Times New Roman" w:cs="Times New Roman"/>
                <w:color w:val="000000" w:themeColor="text1"/>
                <w:sz w:val="24"/>
                <w:highlight w:val="none"/>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val="en-US" w:eastAsia="zh-CN"/>
                <w14:textFill>
                  <w14:solidFill>
                    <w14:schemeClr w14:val="tx1"/>
                  </w14:solidFill>
                </w14:textFill>
              </w:rPr>
              <w:t>，总建筑面积</w:t>
            </w:r>
            <w:r>
              <w:rPr>
                <w:rFonts w:hint="eastAsia" w:cs="Times New Roman"/>
                <w:color w:val="000000" w:themeColor="text1"/>
                <w:sz w:val="24"/>
                <w:highlight w:val="none"/>
                <w:lang w:val="en-US" w:eastAsia="zh-CN"/>
                <w14:textFill>
                  <w14:solidFill>
                    <w14:schemeClr w14:val="tx1"/>
                  </w14:solidFill>
                </w14:textFill>
              </w:rPr>
              <w:t>8661.50</w:t>
            </w:r>
            <w:r>
              <w:rPr>
                <w:rFonts w:hint="eastAsia" w:ascii="Times New Roman" w:hAnsi="Times New Roman" w:cs="Times New Roman"/>
                <w:color w:val="000000" w:themeColor="text1"/>
                <w:sz w:val="24"/>
                <w:highlight w:val="none"/>
                <w:lang w:val="en-US" w:eastAsia="zh-CN"/>
                <w14:textFill>
                  <w14:solidFill>
                    <w14:schemeClr w14:val="tx1"/>
                  </w14:solidFill>
                </w14:textFill>
              </w:rPr>
              <w:t>m</w:t>
            </w:r>
            <w:r>
              <w:rPr>
                <w:rFonts w:hint="eastAsia" w:ascii="Times New Roman" w:hAnsi="Times New Roman" w:cs="Times New Roman"/>
                <w:color w:val="000000" w:themeColor="text1"/>
                <w:sz w:val="24"/>
                <w:highlight w:val="none"/>
                <w:vertAlign w:val="superscript"/>
                <w:lang w:val="en-US" w:eastAsia="zh-CN"/>
                <w14:textFill>
                  <w14:solidFill>
                    <w14:schemeClr w14:val="tx1"/>
                  </w14:solidFill>
                </w14:textFill>
              </w:rPr>
              <w:t>2</w:t>
            </w:r>
            <w:r>
              <w:rPr>
                <w:rFonts w:hint="eastAsia" w:cs="Times New Roman"/>
                <w:color w:val="000000" w:themeColor="text1"/>
                <w:sz w:val="24"/>
                <w:highlight w:val="none"/>
                <w:vertAlign w:val="baseline"/>
                <w:lang w:val="en-US" w:eastAsia="zh-CN"/>
                <w14:textFill>
                  <w14:solidFill>
                    <w14:schemeClr w14:val="tx1"/>
                  </w14:solidFill>
                </w14:textFill>
              </w:rPr>
              <w:t>，一期建筑面积为4010.5m</w:t>
            </w:r>
            <w:r>
              <w:rPr>
                <w:rFonts w:hint="eastAsia" w:cs="Times New Roman"/>
                <w:color w:val="000000" w:themeColor="text1"/>
                <w:sz w:val="24"/>
                <w:highlight w:val="none"/>
                <w:vertAlign w:val="superscript"/>
                <w:lang w:val="en-US" w:eastAsia="zh-CN"/>
                <w14:textFill>
                  <w14:solidFill>
                    <w14:schemeClr w14:val="tx1"/>
                  </w14:solidFill>
                </w14:textFill>
              </w:rPr>
              <w:t>2</w:t>
            </w:r>
            <w:r>
              <w:rPr>
                <w:rFonts w:hint="eastAsia" w:cs="Times New Roman"/>
                <w:color w:val="000000" w:themeColor="text1"/>
                <w:sz w:val="24"/>
                <w:highlight w:val="none"/>
                <w:vertAlign w:val="baseline"/>
                <w:lang w:val="en-US" w:eastAsia="zh-CN"/>
                <w14:textFill>
                  <w14:solidFill>
                    <w14:schemeClr w14:val="tx1"/>
                  </w14:solidFill>
                </w14:textFill>
              </w:rPr>
              <w:t>。项目共分二期建设，一期建设内容为生产车间、发酵车间、成品库、原料库、综合办公楼等内容，设置白酒生产线1条，一期设计年产白酒150t；二期设计建设生产车间2栋、产品库2栋。</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vertAlign w:val="baseline"/>
                <w:lang w:val="en-US" w:eastAsia="zh-CN"/>
                <w14:textFill>
                  <w14:solidFill>
                    <w14:schemeClr w14:val="tx1"/>
                  </w14:solidFill>
                </w14:textFill>
              </w:rPr>
            </w:pPr>
            <w:r>
              <w:rPr>
                <w:rFonts w:hint="eastAsia" w:cs="Times New Roman"/>
                <w:color w:val="000000" w:themeColor="text1"/>
                <w:sz w:val="24"/>
                <w:highlight w:val="none"/>
                <w:vertAlign w:val="baseline"/>
                <w:lang w:val="en-US" w:eastAsia="zh-CN"/>
                <w14:textFill>
                  <w14:solidFill>
                    <w14:schemeClr w14:val="tx1"/>
                  </w14:solidFill>
                </w14:textFill>
              </w:rPr>
              <w:t>本次项目仅针对一期建设内容进行评价。</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项目工程组成情况见表2-1</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1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项目</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工程组成</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内容一览</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w:t>
            </w:r>
          </w:p>
          <w:tbl>
            <w:tblPr>
              <w:tblStyle w:val="3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886"/>
              <w:gridCol w:w="69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b/>
                      <w:bCs w:val="0"/>
                      <w:color w:val="000000" w:themeColor="text1"/>
                      <w:kern w:val="0"/>
                      <w:sz w:val="21"/>
                      <w:szCs w:val="21"/>
                      <w:highlight w:val="none"/>
                      <w:lang w:val="zh-CN"/>
                      <w14:textFill>
                        <w14:solidFill>
                          <w14:schemeClr w14:val="tx1"/>
                        </w14:solidFill>
                      </w14:textFill>
                    </w:rPr>
                  </w:pPr>
                  <w:r>
                    <w:rPr>
                      <w:b/>
                      <w:bCs w:val="0"/>
                      <w:color w:val="000000" w:themeColor="text1"/>
                      <w:kern w:val="0"/>
                      <w:sz w:val="21"/>
                      <w:szCs w:val="21"/>
                      <w:highlight w:val="none"/>
                      <w:lang w:val="zh-CN"/>
                      <w14:textFill>
                        <w14:solidFill>
                          <w14:schemeClr w14:val="tx1"/>
                        </w14:solidFill>
                      </w14:textFill>
                    </w:rPr>
                    <w:t>类别</w:t>
                  </w:r>
                </w:p>
              </w:tc>
              <w:tc>
                <w:tcPr>
                  <w:tcW w:w="4697" w:type="pct"/>
                  <w:gridSpan w:val="2"/>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eastAsia" w:eastAsia="宋体"/>
                      <w:b/>
                      <w:bCs w:val="0"/>
                      <w:color w:val="000000" w:themeColor="text1"/>
                      <w:kern w:val="0"/>
                      <w:sz w:val="21"/>
                      <w:szCs w:val="21"/>
                      <w:highlight w:val="none"/>
                      <w:lang w:val="en-US" w:eastAsia="zh-CN"/>
                      <w14:textFill>
                        <w14:solidFill>
                          <w14:schemeClr w14:val="tx1"/>
                        </w14:solidFill>
                      </w14:textFill>
                    </w:rPr>
                  </w:pPr>
                  <w:r>
                    <w:rPr>
                      <w:b/>
                      <w:bCs w:val="0"/>
                      <w:color w:val="000000" w:themeColor="text1"/>
                      <w:kern w:val="0"/>
                      <w:sz w:val="21"/>
                      <w:szCs w:val="21"/>
                      <w:highlight w:val="none"/>
                      <w14:textFill>
                        <w14:solidFill>
                          <w14:schemeClr w14:val="tx1"/>
                        </w14:solidFill>
                      </w14:textFill>
                    </w:rPr>
                    <w:t>建设内容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lang w:val="zh-CN"/>
                      <w14:textFill>
                        <w14:solidFill>
                          <w14:schemeClr w14:val="tx1"/>
                        </w14:solidFill>
                      </w14:textFill>
                    </w:rPr>
                  </w:pPr>
                  <w:r>
                    <w:rPr>
                      <w:color w:val="000000" w:themeColor="text1"/>
                      <w:kern w:val="0"/>
                      <w:sz w:val="21"/>
                      <w:szCs w:val="21"/>
                      <w:highlight w:val="none"/>
                      <w:lang w:val="zh-CN"/>
                      <w14:textFill>
                        <w14:solidFill>
                          <w14:schemeClr w14:val="tx1"/>
                        </w14:solidFill>
                      </w14:textFill>
                    </w:rPr>
                    <w:t>主体工程</w:t>
                  </w: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生产车间</w:t>
                  </w:r>
                </w:p>
              </w:tc>
              <w:tc>
                <w:tcPr>
                  <w:tcW w:w="4169"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新建生产车间1栋，建筑面积957m</w:t>
                  </w:r>
                  <w:r>
                    <w:rPr>
                      <w:rFonts w:hint="eastAsia" w:cs="Times New Roman"/>
                      <w:color w:val="000000" w:themeColor="text1"/>
                      <w:kern w:val="0"/>
                      <w:sz w:val="21"/>
                      <w:szCs w:val="21"/>
                      <w:highlight w:val="none"/>
                      <w:vertAlign w:val="superscript"/>
                      <w:lang w:val="en-US" w:eastAsia="zh-CN"/>
                      <w14:textFill>
                        <w14:solidFill>
                          <w14:schemeClr w14:val="tx1"/>
                        </w14:solidFill>
                      </w14:textFill>
                    </w:rPr>
                    <w:t>2</w:t>
                  </w:r>
                  <w:r>
                    <w:rPr>
                      <w:rFonts w:hint="eastAsia" w:cs="Times New Roman"/>
                      <w:color w:val="000000" w:themeColor="text1"/>
                      <w:kern w:val="0"/>
                      <w:sz w:val="21"/>
                      <w:szCs w:val="21"/>
                      <w:highlight w:val="none"/>
                      <w:lang w:val="en-US" w:eastAsia="zh-CN"/>
                      <w14:textFill>
                        <w14:solidFill>
                          <w14:schemeClr w14:val="tx1"/>
                        </w14:solidFill>
                      </w14:textFill>
                    </w:rPr>
                    <w:t>，1F，框架结构，内部设置馏酒设备、蒸粮设备、锅炉、灌装机、净水设备等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lang w:val="zh-CN"/>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发酵车间</w:t>
                  </w:r>
                </w:p>
              </w:tc>
              <w:tc>
                <w:tcPr>
                  <w:tcW w:w="4169"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新建发酵车间1栋，建筑面积527m</w:t>
                  </w:r>
                  <w:r>
                    <w:rPr>
                      <w:rFonts w:hint="eastAsia" w:cs="Times New Roman"/>
                      <w:color w:val="000000" w:themeColor="text1"/>
                      <w:kern w:val="0"/>
                      <w:sz w:val="21"/>
                      <w:szCs w:val="21"/>
                      <w:highlight w:val="none"/>
                      <w:vertAlign w:val="superscript"/>
                      <w:lang w:val="en-US" w:eastAsia="zh-CN"/>
                      <w14:textFill>
                        <w14:solidFill>
                          <w14:schemeClr w14:val="tx1"/>
                        </w14:solidFill>
                      </w14:textFill>
                    </w:rPr>
                    <w:t>2</w:t>
                  </w:r>
                  <w:r>
                    <w:rPr>
                      <w:rFonts w:hint="eastAsia" w:cs="Times New Roman"/>
                      <w:color w:val="000000" w:themeColor="text1"/>
                      <w:kern w:val="0"/>
                      <w:sz w:val="21"/>
                      <w:szCs w:val="21"/>
                      <w:highlight w:val="none"/>
                      <w:lang w:val="en-US" w:eastAsia="zh-CN"/>
                      <w14:textFill>
                        <w14:solidFill>
                          <w14:schemeClr w14:val="tx1"/>
                        </w14:solidFill>
                      </w14:textFill>
                    </w:rPr>
                    <w:t>，1F，框架结构，内部设置发酵池、发酵缸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储运工程</w:t>
                  </w: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成品库</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新建成品库1栋，建筑面积1089m</w:t>
                  </w:r>
                  <w:r>
                    <w:rPr>
                      <w:rFonts w:hint="eastAsia" w:cs="Times New Roman"/>
                      <w:color w:val="000000" w:themeColor="text1"/>
                      <w:kern w:val="0"/>
                      <w:sz w:val="21"/>
                      <w:szCs w:val="21"/>
                      <w:highlight w:val="none"/>
                      <w:vertAlign w:val="superscript"/>
                      <w:lang w:val="en-US" w:eastAsia="zh-CN"/>
                      <w14:textFill>
                        <w14:solidFill>
                          <w14:schemeClr w14:val="tx1"/>
                        </w14:solidFill>
                      </w14:textFill>
                    </w:rPr>
                    <w:t>2</w:t>
                  </w:r>
                  <w:r>
                    <w:rPr>
                      <w:rFonts w:hint="eastAsia" w:cs="Times New Roman"/>
                      <w:color w:val="000000" w:themeColor="text1"/>
                      <w:kern w:val="0"/>
                      <w:sz w:val="21"/>
                      <w:szCs w:val="21"/>
                      <w:highlight w:val="none"/>
                      <w:lang w:val="en-US" w:eastAsia="zh-CN"/>
                      <w14:textFill>
                        <w14:solidFill>
                          <w14:schemeClr w14:val="tx1"/>
                        </w14:solidFill>
                      </w14:textFill>
                    </w:rPr>
                    <w:t>，1F，框架结构，内部设置4个成品筒仓总容积为150t，用于贮存成品白酒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lang w:val="zh-CN"/>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原料库</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新建原料库1栋，建筑面积973.5m</w:t>
                  </w:r>
                  <w:r>
                    <w:rPr>
                      <w:rFonts w:hint="eastAsia" w:cs="Times New Roman"/>
                      <w:color w:val="000000" w:themeColor="text1"/>
                      <w:kern w:val="0"/>
                      <w:sz w:val="21"/>
                      <w:szCs w:val="21"/>
                      <w:highlight w:val="none"/>
                      <w:vertAlign w:val="superscript"/>
                      <w:lang w:val="en-US" w:eastAsia="zh-CN"/>
                      <w14:textFill>
                        <w14:solidFill>
                          <w14:schemeClr w14:val="tx1"/>
                        </w14:solidFill>
                      </w14:textFill>
                    </w:rPr>
                    <w:t>2</w:t>
                  </w:r>
                  <w:r>
                    <w:rPr>
                      <w:rFonts w:hint="eastAsia" w:cs="Times New Roman"/>
                      <w:color w:val="000000" w:themeColor="text1"/>
                      <w:kern w:val="0"/>
                      <w:sz w:val="21"/>
                      <w:szCs w:val="21"/>
                      <w:highlight w:val="none"/>
                      <w:lang w:val="en-US" w:eastAsia="zh-CN"/>
                      <w14:textFill>
                        <w14:solidFill>
                          <w14:schemeClr w14:val="tx1"/>
                        </w14:solidFill>
                      </w14:textFill>
                    </w:rPr>
                    <w:t>，1F，框架结构，用于贮存原料粮食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辅助工程</w:t>
                  </w: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综合办公楼</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新建综合办公楼1栋，建筑面积464m</w:t>
                  </w:r>
                  <w:r>
                    <w:rPr>
                      <w:rFonts w:hint="eastAsia" w:cs="Times New Roman"/>
                      <w:color w:val="000000" w:themeColor="text1"/>
                      <w:kern w:val="0"/>
                      <w:sz w:val="21"/>
                      <w:szCs w:val="21"/>
                      <w:highlight w:val="none"/>
                      <w:vertAlign w:val="superscript"/>
                      <w:lang w:val="en-US" w:eastAsia="zh-CN"/>
                      <w14:textFill>
                        <w14:solidFill>
                          <w14:schemeClr w14:val="tx1"/>
                        </w14:solidFill>
                      </w14:textFill>
                    </w:rPr>
                    <w:t>2</w:t>
                  </w:r>
                  <w:r>
                    <w:rPr>
                      <w:rFonts w:hint="eastAsia" w:cs="Times New Roman"/>
                      <w:color w:val="000000" w:themeColor="text1"/>
                      <w:kern w:val="0"/>
                      <w:sz w:val="21"/>
                      <w:szCs w:val="21"/>
                      <w:highlight w:val="none"/>
                      <w:lang w:val="en-US" w:eastAsia="zh-CN"/>
                      <w14:textFill>
                        <w14:solidFill>
                          <w14:schemeClr w14:val="tx1"/>
                        </w14:solidFill>
                      </w14:textFill>
                    </w:rPr>
                    <w:t>，2F，框架结构，设置办公区及生活区，生活区不设置食堂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eastAsia"/>
                      <w:color w:val="000000" w:themeColor="text1"/>
                      <w:kern w:val="0"/>
                      <w:sz w:val="21"/>
                      <w:szCs w:val="21"/>
                      <w:highlight w:val="none"/>
                      <w:lang w:val="en-US" w:eastAsia="zh-CN"/>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晒场</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新建晒场1栋，占地面积412.5m</w:t>
                  </w:r>
                  <w:r>
                    <w:rPr>
                      <w:rFonts w:hint="eastAsia" w:cs="Times New Roman"/>
                      <w:color w:val="000000" w:themeColor="text1"/>
                      <w:kern w:val="0"/>
                      <w:sz w:val="21"/>
                      <w:szCs w:val="21"/>
                      <w:highlight w:val="none"/>
                      <w:vertAlign w:val="superscript"/>
                      <w:lang w:val="en-US" w:eastAsia="zh-CN"/>
                      <w14:textFill>
                        <w14:solidFill>
                          <w14:schemeClr w14:val="tx1"/>
                        </w14:solidFill>
                      </w14:textFill>
                    </w:rPr>
                    <w:t>2</w:t>
                  </w:r>
                  <w:r>
                    <w:rPr>
                      <w:rFonts w:hint="eastAsia" w:cs="Times New Roman"/>
                      <w:color w:val="000000" w:themeColor="text1"/>
                      <w:kern w:val="0"/>
                      <w:sz w:val="21"/>
                      <w:szCs w:val="21"/>
                      <w:highlight w:val="none"/>
                      <w:lang w:val="en-US" w:eastAsia="zh-CN"/>
                      <w14:textFill>
                        <w14:solidFill>
                          <w14:schemeClr w14:val="tx1"/>
                        </w14:solidFill>
                      </w14:textFill>
                    </w:rPr>
                    <w:t>，水泥硬化，加盖防雨棚，用于晾晒酒糟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lang w:val="zh-CN"/>
                      <w14:textFill>
                        <w14:solidFill>
                          <w14:schemeClr w14:val="tx1"/>
                        </w14:solidFill>
                      </w14:textFill>
                    </w:rPr>
                  </w:pPr>
                  <w:r>
                    <w:rPr>
                      <w:color w:val="000000" w:themeColor="text1"/>
                      <w:kern w:val="0"/>
                      <w:sz w:val="21"/>
                      <w:szCs w:val="21"/>
                      <w:highlight w:val="none"/>
                      <w:lang w:val="zh-CN"/>
                      <w14:textFill>
                        <w14:solidFill>
                          <w14:schemeClr w14:val="tx1"/>
                        </w14:solidFill>
                      </w14:textFill>
                    </w:rPr>
                    <w:t>公用工程</w:t>
                  </w: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供水</w:t>
                  </w:r>
                </w:p>
              </w:tc>
              <w:tc>
                <w:tcPr>
                  <w:tcW w:w="4169"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由园区供水管网提供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lang w:val="zh-CN"/>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排水</w:t>
                  </w:r>
                </w:p>
              </w:tc>
              <w:tc>
                <w:tcPr>
                  <w:tcW w:w="4169"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eastAsia" w:eastAsia="宋体"/>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生活污水排入园区下水管网，最终进入焉耆县污水处理厂进行处理；生产废水</w:t>
                  </w:r>
                  <w:r>
                    <w:rPr>
                      <w:rFonts w:hint="eastAsia" w:eastAsia="宋体" w:cs="Times New Roman"/>
                      <w:color w:val="000000" w:themeColor="text1"/>
                      <w:sz w:val="21"/>
                      <w:szCs w:val="21"/>
                      <w:highlight w:val="none"/>
                      <w:lang w:val="en-US" w:eastAsia="zh-CN"/>
                      <w14:textFill>
                        <w14:solidFill>
                          <w14:schemeClr w14:val="tx1"/>
                        </w14:solidFill>
                      </w14:textFill>
                    </w:rPr>
                    <w:t>进入厂区污水处理站，处理规模</w:t>
                  </w:r>
                  <w:r>
                    <w:rPr>
                      <w:rFonts w:hint="eastAsia" w:cs="Times New Roman"/>
                      <w:color w:val="000000" w:themeColor="text1"/>
                      <w:sz w:val="21"/>
                      <w:szCs w:val="21"/>
                      <w:highlight w:val="none"/>
                      <w:lang w:val="en-US" w:eastAsia="zh-CN"/>
                      <w14:textFill>
                        <w14:solidFill>
                          <w14:schemeClr w14:val="tx1"/>
                        </w14:solidFill>
                      </w14:textFill>
                    </w:rPr>
                    <w:t>8</w:t>
                  </w:r>
                  <w:r>
                    <w:rPr>
                      <w:rFonts w:hint="eastAsia" w:eastAsia="宋体" w:cs="Times New Roman"/>
                      <w:color w:val="000000" w:themeColor="text1"/>
                      <w:sz w:val="21"/>
                      <w:szCs w:val="21"/>
                      <w:highlight w:val="none"/>
                      <w:lang w:val="en-US" w:eastAsia="zh-CN"/>
                      <w14:textFill>
                        <w14:solidFill>
                          <w14:schemeClr w14:val="tx1"/>
                        </w14:solidFill>
                      </w14:textFill>
                    </w:rPr>
                    <w:t>m</w:t>
                  </w:r>
                  <w:r>
                    <w:rPr>
                      <w:rFonts w:hint="eastAsia" w:eastAsia="宋体" w:cs="Times New Roman"/>
                      <w:color w:val="000000" w:themeColor="text1"/>
                      <w:sz w:val="21"/>
                      <w:szCs w:val="21"/>
                      <w:highlight w:val="none"/>
                      <w:vertAlign w:val="superscript"/>
                      <w:lang w:val="en-US" w:eastAsia="zh-CN"/>
                      <w14:textFill>
                        <w14:solidFill>
                          <w14:schemeClr w14:val="tx1"/>
                        </w14:solidFill>
                      </w14:textFill>
                    </w:rPr>
                    <w:t>3</w:t>
                  </w:r>
                  <w:r>
                    <w:rPr>
                      <w:rFonts w:hint="eastAsia" w:eastAsia="宋体" w:cs="Times New Roman"/>
                      <w:color w:val="000000" w:themeColor="text1"/>
                      <w:sz w:val="21"/>
                      <w:szCs w:val="21"/>
                      <w:highlight w:val="none"/>
                      <w:lang w:val="en-US" w:eastAsia="zh-CN"/>
                      <w14:textFill>
                        <w14:solidFill>
                          <w14:schemeClr w14:val="tx1"/>
                        </w14:solidFill>
                      </w14:textFill>
                    </w:rPr>
                    <w:t>/d，处理工艺：</w:t>
                  </w:r>
                  <w:r>
                    <w:rPr>
                      <w:rFonts w:hint="eastAsia" w:cs="Times New Roman"/>
                      <w:color w:val="000000" w:themeColor="text1"/>
                      <w:sz w:val="21"/>
                      <w:szCs w:val="21"/>
                      <w:highlight w:val="none"/>
                      <w:lang w:val="en-US" w:eastAsia="zh-CN"/>
                      <w14:textFill>
                        <w14:solidFill>
                          <w14:schemeClr w14:val="tx1"/>
                        </w14:solidFill>
                      </w14:textFill>
                    </w:rPr>
                    <w:t>格栅+调节池+气浮+UASB+AO</w:t>
                  </w:r>
                  <w:r>
                    <w:rPr>
                      <w:rFonts w:ascii="Times New Roman" w:hAnsi="Times New Roman" w:eastAsia="宋体" w:cs="Times New Roman"/>
                      <w:color w:val="000000" w:themeColor="text1"/>
                      <w:kern w:val="0"/>
                      <w:sz w:val="21"/>
                      <w:szCs w:val="21"/>
                      <w:highlight w:val="none"/>
                      <w14:textFill>
                        <w14:solidFill>
                          <w14:schemeClr w14:val="tx1"/>
                        </w14:solidFill>
                      </w14:textFill>
                    </w:rPr>
                    <w:t>，处理</w:t>
                  </w:r>
                  <w:r>
                    <w:rPr>
                      <w:rFonts w:hint="eastAsia" w:cs="Times New Roman"/>
                      <w:color w:val="000000" w:themeColor="text1"/>
                      <w:kern w:val="0"/>
                      <w:sz w:val="21"/>
                      <w:szCs w:val="21"/>
                      <w:highlight w:val="none"/>
                      <w:lang w:val="en-US" w:eastAsia="zh-CN"/>
                      <w14:textFill>
                        <w14:solidFill>
                          <w14:schemeClr w14:val="tx1"/>
                        </w14:solidFill>
                      </w14:textFill>
                    </w:rPr>
                    <w:t>达标</w:t>
                  </w:r>
                  <w:r>
                    <w:rPr>
                      <w:rFonts w:hint="eastAsia" w:eastAsia="宋体" w:cs="Times New Roman"/>
                      <w:color w:val="000000" w:themeColor="text1"/>
                      <w:kern w:val="0"/>
                      <w:sz w:val="21"/>
                      <w:szCs w:val="21"/>
                      <w:highlight w:val="none"/>
                      <w:lang w:val="en-US" w:eastAsia="zh-CN"/>
                      <w14:textFill>
                        <w14:solidFill>
                          <w14:schemeClr w14:val="tx1"/>
                        </w14:solidFill>
                      </w14:textFill>
                    </w:rPr>
                    <w:t>排入</w:t>
                  </w:r>
                  <w:r>
                    <w:rPr>
                      <w:rFonts w:hint="eastAsia" w:cs="Times New Roman"/>
                      <w:color w:val="000000" w:themeColor="text1"/>
                      <w:kern w:val="0"/>
                      <w:sz w:val="21"/>
                      <w:szCs w:val="21"/>
                      <w:highlight w:val="none"/>
                      <w:lang w:val="en-US" w:eastAsia="zh-CN"/>
                      <w14:textFill>
                        <w14:solidFill>
                          <w14:schemeClr w14:val="tx1"/>
                        </w14:solidFill>
                      </w14:textFill>
                    </w:rPr>
                    <w:t>园区</w:t>
                  </w:r>
                  <w:r>
                    <w:rPr>
                      <w:rFonts w:hint="eastAsia" w:eastAsia="宋体" w:cs="Times New Roman"/>
                      <w:color w:val="000000" w:themeColor="text1"/>
                      <w:kern w:val="0"/>
                      <w:sz w:val="21"/>
                      <w:szCs w:val="21"/>
                      <w:highlight w:val="none"/>
                      <w:lang w:val="en-US" w:eastAsia="zh-CN"/>
                      <w14:textFill>
                        <w14:solidFill>
                          <w14:schemeClr w14:val="tx1"/>
                        </w14:solidFill>
                      </w14:textFill>
                    </w:rPr>
                    <w:t>下水管网，最终进入焉耆县污水处理厂进行处理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lang w:val="zh-CN"/>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供热</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生产供热由1台1t/h的燃气蒸汽锅炉提供；冬季生活区供暖接焉耆县集中供热管网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lang w:val="zh-CN"/>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供电</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由国家电网提供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restar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lang w:val="zh-CN"/>
                      <w14:textFill>
                        <w14:solidFill>
                          <w14:schemeClr w14:val="tx1"/>
                        </w14:solidFill>
                      </w14:textFill>
                    </w:rPr>
                    <w:t>环保工程</w:t>
                  </w: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废气</w:t>
                  </w:r>
                </w:p>
              </w:tc>
              <w:tc>
                <w:tcPr>
                  <w:tcW w:w="4169"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eastAsia" w:cs="Times New Roman"/>
                      <w:b w:val="0"/>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①</w:t>
                  </w:r>
                  <w:r>
                    <w:rPr>
                      <w:rFonts w:hint="eastAsia" w:cs="Times New Roman"/>
                      <w:b w:val="0"/>
                      <w:bCs/>
                      <w:color w:val="000000" w:themeColor="text1"/>
                      <w:kern w:val="0"/>
                      <w:sz w:val="21"/>
                      <w:szCs w:val="21"/>
                      <w:highlight w:val="none"/>
                      <w:lang w:val="en-US" w:eastAsia="zh-CN"/>
                      <w14:textFill>
                        <w14:solidFill>
                          <w14:schemeClr w14:val="tx1"/>
                        </w14:solidFill>
                      </w14:textFill>
                    </w:rPr>
                    <w:t>锅炉采用低氮燃烧器，产生的废气通过8m排气筒排放；</w:t>
                  </w:r>
                </w:p>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cs="Times New Roman"/>
                      <w:b w:val="0"/>
                      <w:bCs/>
                      <w:color w:val="000000" w:themeColor="text1"/>
                      <w:kern w:val="0"/>
                      <w:sz w:val="21"/>
                      <w:szCs w:val="21"/>
                      <w:highlight w:val="none"/>
                      <w:lang w:val="en-US" w:eastAsia="zh-CN"/>
                      <w14:textFill>
                        <w14:solidFill>
                          <w14:schemeClr w14:val="tx1"/>
                        </w14:solidFill>
                      </w14:textFill>
                    </w:rPr>
                  </w:pPr>
                  <w:r>
                    <w:rPr>
                      <w:rFonts w:hint="eastAsia" w:cs="Times New Roman"/>
                      <w:b w:val="0"/>
                      <w:bCs/>
                      <w:color w:val="000000" w:themeColor="text1"/>
                      <w:kern w:val="0"/>
                      <w:sz w:val="21"/>
                      <w:szCs w:val="21"/>
                      <w:highlight w:val="none"/>
                      <w:lang w:val="en-US" w:eastAsia="zh-CN"/>
                      <w14:textFill>
                        <w14:solidFill>
                          <w14:schemeClr w14:val="tx1"/>
                        </w14:solidFill>
                      </w14:textFill>
                    </w:rPr>
                    <w:t>②污水处理站加盖密闭，定期投加除臭剂；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废水</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生活污水排入园区下水管网</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，最终进入焉耆县污水处理厂进行处理；生产废水进入厂区污水处理站，处理规模</w:t>
                  </w:r>
                  <w:r>
                    <w:rPr>
                      <w:rFonts w:hint="eastAsia" w:cs="Times New Roman"/>
                      <w:color w:val="000000" w:themeColor="text1"/>
                      <w:kern w:val="0"/>
                      <w:sz w:val="21"/>
                      <w:szCs w:val="21"/>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kern w:val="0"/>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/d，处理工艺：</w:t>
                  </w:r>
                  <w:r>
                    <w:rPr>
                      <w:rFonts w:hint="eastAsia" w:cs="Times New Roman"/>
                      <w:color w:val="000000" w:themeColor="text1"/>
                      <w:kern w:val="0"/>
                      <w:sz w:val="21"/>
                      <w:szCs w:val="21"/>
                      <w:highlight w:val="none"/>
                      <w:lang w:val="en-US" w:eastAsia="zh-CN"/>
                      <w14:textFill>
                        <w14:solidFill>
                          <w14:schemeClr w14:val="tx1"/>
                        </w14:solidFill>
                      </w14:textFill>
                    </w:rPr>
                    <w:t>格栅+调节池+气浮+UASB+AO</w:t>
                  </w:r>
                  <w:r>
                    <w:rPr>
                      <w:rFonts w:ascii="Times New Roman" w:hAnsi="Times New Roman" w:eastAsia="宋体" w:cs="Times New Roman"/>
                      <w:color w:val="000000" w:themeColor="text1"/>
                      <w:kern w:val="0"/>
                      <w:sz w:val="21"/>
                      <w:szCs w:val="21"/>
                      <w:highlight w:val="none"/>
                      <w14:textFill>
                        <w14:solidFill>
                          <w14:schemeClr w14:val="tx1"/>
                        </w14:solidFill>
                      </w14:textFill>
                    </w:rPr>
                    <w:t>，处理</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达标排入园区下水管网，最终进入焉耆县污水处理厂进行处理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噪声</w:t>
                  </w:r>
                </w:p>
              </w:tc>
              <w:tc>
                <w:tcPr>
                  <w:tcW w:w="4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kern w:val="0"/>
                      <w:sz w:val="21"/>
                      <w:szCs w:val="21"/>
                      <w:highlight w:val="none"/>
                      <w14:textFill>
                        <w14:solidFill>
                          <w14:schemeClr w14:val="tx1"/>
                        </w14:solidFill>
                      </w14:textFill>
                    </w:rPr>
                  </w:pPr>
                  <w:r>
                    <w:rPr>
                      <w:rFonts w:ascii="Times New Roman" w:hAnsi="Times New Roman" w:eastAsia="宋体" w:cs="Times New Roman"/>
                      <w:color w:val="000000" w:themeColor="text1"/>
                      <w:kern w:val="0"/>
                      <w:sz w:val="21"/>
                      <w:szCs w:val="21"/>
                      <w:highlight w:val="none"/>
                      <w14:textFill>
                        <w14:solidFill>
                          <w14:schemeClr w14:val="tx1"/>
                        </w14:solidFill>
                      </w14:textFill>
                    </w:rPr>
                    <w:t>本项目产生的噪声主要为生产过程中各类机械设备，主要采用基础减震、厂房隔声、设备维护等减噪、降噪措施。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固废</w:t>
                  </w:r>
                </w:p>
              </w:tc>
              <w:tc>
                <w:tcPr>
                  <w:tcW w:w="4169" w:type="pct"/>
                  <w:tcBorders>
                    <w:tl2br w:val="nil"/>
                    <w:tr2bl w:val="nil"/>
                  </w:tcBorders>
                  <w:noWrap w:val="0"/>
                  <w:vAlign w:val="top"/>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r>
                    <w:rPr>
                      <w:rFonts w:hint="eastAsia"/>
                      <w:color w:val="000000" w:themeColor="text1"/>
                      <w:spacing w:val="5"/>
                      <w:highlight w:val="none"/>
                      <w:lang w:val="en-US" w:eastAsia="zh-CN"/>
                      <w14:textFill>
                        <w14:solidFill>
                          <w14:schemeClr w14:val="tx1"/>
                        </w14:solidFill>
                      </w14:textFill>
                    </w:rPr>
                    <w:t>本项目产生的一般工业固废酒糟集中收集后外售；废包装袋、废过滤材料、破损酒瓶、污泥集中收集后交由一般固废处置单位进行处置。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2" w:type="pct"/>
                  <w:vMerge w:val="continue"/>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color w:val="000000" w:themeColor="text1"/>
                      <w:kern w:val="0"/>
                      <w:sz w:val="21"/>
                      <w:szCs w:val="21"/>
                      <w:highlight w:val="none"/>
                      <w14:textFill>
                        <w14:solidFill>
                          <w14:schemeClr w14:val="tx1"/>
                        </w14:solidFill>
                      </w14:textFill>
                    </w:rPr>
                  </w:pPr>
                </w:p>
              </w:tc>
              <w:tc>
                <w:tcPr>
                  <w:tcW w:w="528" w:type="pct"/>
                  <w:tcBorders>
                    <w:tl2br w:val="nil"/>
                    <w:tr2bl w:val="nil"/>
                  </w:tcBorders>
                  <w:noWrap w:val="0"/>
                  <w:vAlign w:val="center"/>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eastAsia"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绿化</w:t>
                  </w:r>
                </w:p>
              </w:tc>
              <w:tc>
                <w:tcPr>
                  <w:tcW w:w="4169" w:type="pct"/>
                  <w:tcBorders>
                    <w:tl2br w:val="nil"/>
                    <w:tr2bl w:val="nil"/>
                  </w:tcBorders>
                  <w:noWrap w:val="0"/>
                  <w:vAlign w:val="top"/>
                </w:tcPr>
                <w:p>
                  <w:pPr>
                    <w:pStyle w:val="99"/>
                    <w:keepNext w:val="0"/>
                    <w:keepLines w:val="0"/>
                    <w:pageBreakBefore w:val="0"/>
                    <w:widowControl w:val="0"/>
                    <w:tabs>
                      <w:tab w:val="left" w:pos="2700"/>
                    </w:tabs>
                    <w:kinsoku/>
                    <w:wordWrap/>
                    <w:overflowPunct/>
                    <w:topLinePunct w:val="0"/>
                    <w:autoSpaceDE/>
                    <w:autoSpaceDN/>
                    <w:bidi w:val="0"/>
                    <w:adjustRightInd w:val="0"/>
                    <w:snapToGrid w:val="0"/>
                    <w:jc w:val="center"/>
                    <w:rPr>
                      <w:rFonts w:hint="default" w:eastAsia="宋体"/>
                      <w:color w:val="000000" w:themeColor="text1"/>
                      <w:spacing w:val="5"/>
                      <w:highlight w:val="none"/>
                      <w:lang w:val="en-US" w:eastAsia="zh-CN"/>
                      <w14:textFill>
                        <w14:solidFill>
                          <w14:schemeClr w14:val="tx1"/>
                        </w14:solidFill>
                      </w14:textFill>
                    </w:rPr>
                  </w:pPr>
                  <w:r>
                    <w:rPr>
                      <w:rFonts w:hint="eastAsia"/>
                      <w:color w:val="000000" w:themeColor="text1"/>
                      <w:spacing w:val="5"/>
                      <w:sz w:val="21"/>
                      <w:szCs w:val="21"/>
                      <w:highlight w:val="none"/>
                      <w:lang w:val="en-US" w:eastAsia="zh-CN"/>
                      <w14:textFill>
                        <w14:solidFill>
                          <w14:schemeClr w14:val="tx1"/>
                        </w14:solidFill>
                      </w14:textFill>
                    </w:rPr>
                    <w:t>本项目设计绿化面积为</w:t>
                  </w:r>
                  <w:r>
                    <w:rPr>
                      <w:rFonts w:hint="eastAsia" w:cs="Times New Roman"/>
                      <w:color w:val="000000" w:themeColor="text1"/>
                      <w:sz w:val="21"/>
                      <w:szCs w:val="21"/>
                      <w:highlight w:val="none"/>
                      <w:lang w:val="en-US" w:eastAsia="zh-CN"/>
                      <w14:textFill>
                        <w14:solidFill>
                          <w14:schemeClr w14:val="tx1"/>
                        </w14:solidFill>
                      </w14:textFill>
                    </w:rPr>
                    <w:t>1269.3</w:t>
                  </w:r>
                  <w:r>
                    <w:rPr>
                      <w:rFonts w:hint="default" w:ascii="Times New Roman" w:hAnsi="Times New Roman" w:eastAsia="宋体" w:cs="Times New Roman"/>
                      <w:color w:val="000000" w:themeColor="text1"/>
                      <w:sz w:val="21"/>
                      <w:szCs w:val="21"/>
                      <w:highlight w:val="none"/>
                      <w:lang w:val="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zh-CN"/>
                      <w14:textFill>
                        <w14:solidFill>
                          <w14:schemeClr w14:val="tx1"/>
                        </w14:solidFill>
                      </w14:textFill>
                    </w:rPr>
                    <w:t>2</w:t>
                  </w:r>
                  <w:r>
                    <w:rPr>
                      <w:rFonts w:hint="eastAsia" w:cs="Times New Roman"/>
                      <w:color w:val="000000" w:themeColor="text1"/>
                      <w:sz w:val="21"/>
                      <w:szCs w:val="21"/>
                      <w:highlight w:val="none"/>
                      <w:vertAlign w:val="baseline"/>
                      <w:lang w:val="zh-CN"/>
                      <w14:textFill>
                        <w14:solidFill>
                          <w14:schemeClr w14:val="tx1"/>
                        </w14:solidFill>
                      </w14:textFill>
                    </w:rPr>
                    <w:t>（</w:t>
                  </w:r>
                  <w:r>
                    <w:rPr>
                      <w:rFonts w:hint="eastAsia" w:cs="Times New Roman"/>
                      <w:color w:val="000000" w:themeColor="text1"/>
                      <w:sz w:val="21"/>
                      <w:szCs w:val="21"/>
                      <w:highlight w:val="none"/>
                      <w:vertAlign w:val="baseline"/>
                      <w:lang w:val="en-US" w:eastAsia="zh-CN"/>
                      <w14:textFill>
                        <w14:solidFill>
                          <w14:schemeClr w14:val="tx1"/>
                        </w14:solidFill>
                      </w14:textFill>
                    </w:rPr>
                    <w:t>约1.90亩</w:t>
                  </w:r>
                  <w:r>
                    <w:rPr>
                      <w:rFonts w:hint="eastAsia" w:cs="Times New Roman"/>
                      <w:color w:val="000000" w:themeColor="text1"/>
                      <w:sz w:val="21"/>
                      <w:szCs w:val="21"/>
                      <w:highlight w:val="none"/>
                      <w:vertAlign w:val="baseline"/>
                      <w:lang w:val="zh-CN"/>
                      <w14:textFill>
                        <w14:solidFill>
                          <w14:schemeClr w14:val="tx1"/>
                        </w14:solidFill>
                      </w14:textFill>
                    </w:rPr>
                    <w:t>），</w:t>
                  </w:r>
                  <w:r>
                    <w:rPr>
                      <w:rFonts w:hint="eastAsia" w:cs="Times New Roman"/>
                      <w:color w:val="000000" w:themeColor="text1"/>
                      <w:sz w:val="21"/>
                      <w:szCs w:val="21"/>
                      <w:highlight w:val="none"/>
                      <w:vertAlign w:val="baseline"/>
                      <w:lang w:val="en-US" w:eastAsia="zh-CN"/>
                      <w14:textFill>
                        <w14:solidFill>
                          <w14:schemeClr w14:val="tx1"/>
                        </w14:solidFill>
                      </w14:textFill>
                    </w:rPr>
                    <w:t>绿化树种为当地常见的柳树、榆树、白杨等</w:t>
                  </w:r>
                </w:p>
              </w:tc>
            </w:tr>
          </w:tbl>
          <w:p>
            <w:pPr>
              <w:rPr>
                <w:b/>
                <w:bCs/>
                <w:color w:val="000000" w:themeColor="text1"/>
                <w:kern w:val="0"/>
                <w:sz w:val="24"/>
                <w:szCs w:val="24"/>
                <w:highlight w:val="none"/>
                <w14:textFill>
                  <w14:solidFill>
                    <w14:schemeClr w14:val="tx1"/>
                  </w14:solidFill>
                </w14:textFill>
              </w:rPr>
            </w:pPr>
            <w:r>
              <w:rPr>
                <w:b/>
                <w:bCs/>
                <w:color w:val="000000" w:themeColor="text1"/>
                <w:sz w:val="24"/>
                <w:highlight w:val="none"/>
                <w14:textFill>
                  <w14:solidFill>
                    <w14:schemeClr w14:val="tx1"/>
                  </w14:solidFill>
                </w14:textFill>
              </w:rPr>
              <w:t>3、</w:t>
            </w:r>
            <w:r>
              <w:rPr>
                <w:b/>
                <w:bCs/>
                <w:color w:val="000000" w:themeColor="text1"/>
                <w:kern w:val="0"/>
                <w:sz w:val="24"/>
                <w:szCs w:val="24"/>
                <w:highlight w:val="none"/>
                <w14:textFill>
                  <w14:solidFill>
                    <w14:schemeClr w14:val="tx1"/>
                  </w14:solidFill>
                </w14:textFill>
              </w:rPr>
              <w:t>主要产品产能</w:t>
            </w:r>
          </w:p>
          <w:p>
            <w:pPr>
              <w:spacing w:line="520" w:lineRule="exact"/>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厂区主要生产产</w:t>
            </w:r>
            <w:r>
              <w:rPr>
                <w:rFonts w:hint="eastAsia" w:cs="Times New Roman"/>
                <w:color w:val="000000" w:themeColor="text1"/>
                <w:sz w:val="24"/>
                <w:highlight w:val="none"/>
                <w:lang w:val="en-US" w:eastAsia="zh-CN"/>
                <w14:textFill>
                  <w14:solidFill>
                    <w14:schemeClr w14:val="tx1"/>
                  </w14:solidFill>
                </w14:textFill>
              </w:rPr>
              <w:t>能</w:t>
            </w:r>
            <w:r>
              <w:rPr>
                <w:rFonts w:ascii="Times New Roman" w:hAnsi="Times New Roman" w:eastAsia="宋体" w:cs="Times New Roman"/>
                <w:color w:val="000000" w:themeColor="text1"/>
                <w:sz w:val="24"/>
                <w:highlight w:val="none"/>
                <w14:textFill>
                  <w14:solidFill>
                    <w14:schemeClr w14:val="tx1"/>
                  </w14:solidFill>
                </w14:textFill>
              </w:rPr>
              <w:t>见表</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2-2</w:t>
            </w:r>
            <w:r>
              <w:rPr>
                <w:rFonts w:hint="eastAsia" w:ascii="Times New Roman" w:hAnsi="Times New Roman" w:eastAsia="宋体" w:cs="Times New Roman"/>
                <w:color w:val="000000" w:themeColor="text1"/>
                <w:sz w:val="24"/>
                <w:highlight w:val="none"/>
                <w14:textFill>
                  <w14:solidFill>
                    <w14:schemeClr w14:val="tx1"/>
                  </w14:solidFill>
                </w14:textFill>
              </w:rPr>
              <w:t>。</w:t>
            </w:r>
          </w:p>
          <w:p>
            <w:pPr>
              <w:adjustRightInd w:val="0"/>
              <w:snapToGrid w:val="0"/>
              <w:jc w:val="cente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主要产品产能表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2904"/>
              <w:gridCol w:w="2981"/>
              <w:gridCol w:w="12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5" w:type="pct"/>
                  <w:tcBorders>
                    <w:tl2br w:val="nil"/>
                    <w:tr2bl w:val="nil"/>
                  </w:tcBorders>
                  <w:noWrap w:val="0"/>
                  <w:vAlign w:val="center"/>
                </w:tcPr>
                <w:p>
                  <w:pPr>
                    <w:pStyle w:val="10"/>
                    <w:keepNext w:val="0"/>
                    <w:keepLines w:val="0"/>
                    <w:pageBreakBefore w:val="0"/>
                    <w:kinsoku/>
                    <w:wordWrap/>
                    <w:bidi w:val="0"/>
                    <w:adjustRightInd w:val="0"/>
                    <w:snapToGrid w:val="0"/>
                    <w:spacing w:before="0" w:after="0" w:line="240" w:lineRule="auto"/>
                    <w:ind w:right="0"/>
                    <w:jc w:val="center"/>
                    <w:textAlignment w:val="auto"/>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14:textFill>
                        <w14:solidFill>
                          <w14:schemeClr w14:val="tx1"/>
                        </w14:solidFill>
                      </w14:textFill>
                    </w:rPr>
                    <w:t>序号</w:t>
                  </w:r>
                </w:p>
              </w:tc>
              <w:tc>
                <w:tcPr>
                  <w:tcW w:w="1731" w:type="pct"/>
                  <w:tcBorders>
                    <w:tl2br w:val="nil"/>
                    <w:tr2bl w:val="nil"/>
                  </w:tcBorders>
                  <w:noWrap w:val="0"/>
                  <w:vAlign w:val="center"/>
                </w:tcPr>
                <w:p>
                  <w:pPr>
                    <w:pStyle w:val="10"/>
                    <w:keepNext w:val="0"/>
                    <w:keepLines w:val="0"/>
                    <w:pageBreakBefore w:val="0"/>
                    <w:kinsoku/>
                    <w:wordWrap/>
                    <w:bidi w:val="0"/>
                    <w:adjustRightInd w:val="0"/>
                    <w:snapToGrid w:val="0"/>
                    <w:spacing w:before="0" w:after="0" w:line="240" w:lineRule="auto"/>
                    <w:ind w:right="0"/>
                    <w:jc w:val="center"/>
                    <w:textAlignment w:val="auto"/>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14:textFill>
                        <w14:solidFill>
                          <w14:schemeClr w14:val="tx1"/>
                        </w14:solidFill>
                      </w14:textFill>
                    </w:rPr>
                    <w:t>产品名称</w:t>
                  </w:r>
                </w:p>
              </w:tc>
              <w:tc>
                <w:tcPr>
                  <w:tcW w:w="1777" w:type="pct"/>
                  <w:tcBorders>
                    <w:tl2br w:val="nil"/>
                    <w:tr2bl w:val="nil"/>
                  </w:tcBorders>
                  <w:noWrap w:val="0"/>
                  <w:vAlign w:val="center"/>
                </w:tcPr>
                <w:p>
                  <w:pPr>
                    <w:pStyle w:val="10"/>
                    <w:keepNext w:val="0"/>
                    <w:keepLines w:val="0"/>
                    <w:pageBreakBefore w:val="0"/>
                    <w:kinsoku/>
                    <w:wordWrap/>
                    <w:bidi w:val="0"/>
                    <w:adjustRightInd w:val="0"/>
                    <w:snapToGrid w:val="0"/>
                    <w:spacing w:before="0" w:after="0" w:line="240" w:lineRule="auto"/>
                    <w:ind w:right="0"/>
                    <w:jc w:val="center"/>
                    <w:textAlignment w:val="auto"/>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14:textFill>
                        <w14:solidFill>
                          <w14:schemeClr w14:val="tx1"/>
                        </w14:solidFill>
                      </w14:textFill>
                    </w:rPr>
                    <w:t>产能</w:t>
                  </w:r>
                </w:p>
              </w:tc>
              <w:tc>
                <w:tcPr>
                  <w:tcW w:w="746" w:type="pct"/>
                  <w:tcBorders>
                    <w:tl2br w:val="nil"/>
                    <w:tr2bl w:val="nil"/>
                  </w:tcBorders>
                  <w:noWrap w:val="0"/>
                  <w:vAlign w:val="center"/>
                </w:tcPr>
                <w:p>
                  <w:pPr>
                    <w:pStyle w:val="10"/>
                    <w:keepNext w:val="0"/>
                    <w:keepLines w:val="0"/>
                    <w:pageBreakBefore w:val="0"/>
                    <w:kinsoku/>
                    <w:wordWrap/>
                    <w:bidi w:val="0"/>
                    <w:adjustRightInd w:val="0"/>
                    <w:snapToGrid w:val="0"/>
                    <w:spacing w:before="0" w:after="0" w:line="240" w:lineRule="auto"/>
                    <w:ind w:right="0"/>
                    <w:jc w:val="center"/>
                    <w:textAlignment w:val="auto"/>
                    <w:rPr>
                      <w:rFonts w:ascii="Times New Roman" w:hAnsi="Times New Roman"/>
                      <w:b/>
                      <w:bCs/>
                      <w:color w:val="000000" w:themeColor="text1"/>
                      <w:sz w:val="21"/>
                      <w:szCs w:val="21"/>
                      <w:highlight w:val="none"/>
                      <w14:textFill>
                        <w14:solidFill>
                          <w14:schemeClr w14:val="tx1"/>
                        </w14:solidFill>
                      </w14:textFill>
                    </w:rPr>
                  </w:pPr>
                  <w:r>
                    <w:rPr>
                      <w:rFonts w:ascii="Times New Roman" w:hAnsi="Times New Roman"/>
                      <w:b/>
                      <w:bCs/>
                      <w:color w:val="000000" w:themeColor="text1"/>
                      <w:sz w:val="21"/>
                      <w:szCs w:val="21"/>
                      <w:highlight w:val="none"/>
                      <w14:textFill>
                        <w14:solidFill>
                          <w14:schemeClr w14:val="tx1"/>
                        </w14:solidFill>
                      </w14:textFill>
                    </w:rPr>
                    <w:t>形态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5" w:type="pct"/>
                  <w:tcBorders>
                    <w:tl2br w:val="nil"/>
                    <w:tr2bl w:val="nil"/>
                  </w:tcBorders>
                  <w:noWrap w:val="0"/>
                  <w:vAlign w:val="center"/>
                </w:tcPr>
                <w:p>
                  <w:pPr>
                    <w:pStyle w:val="10"/>
                    <w:keepNext w:val="0"/>
                    <w:keepLines w:val="0"/>
                    <w:pageBreakBefore w:val="0"/>
                    <w:kinsoku/>
                    <w:wordWrap/>
                    <w:bidi w:val="0"/>
                    <w:adjustRightInd w:val="0"/>
                    <w:snapToGrid w:val="0"/>
                    <w:spacing w:before="0" w:after="0" w:line="240" w:lineRule="auto"/>
                    <w:ind w:right="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731" w:type="pct"/>
                  <w:tcBorders>
                    <w:tl2br w:val="nil"/>
                    <w:tr2bl w:val="nil"/>
                  </w:tcBorders>
                  <w:noWrap w:val="0"/>
                  <w:vAlign w:val="center"/>
                </w:tcPr>
                <w:p>
                  <w:pPr>
                    <w:pStyle w:val="126"/>
                    <w:keepNext w:val="0"/>
                    <w:keepLines w:val="0"/>
                    <w:pageBreakBefore w:val="0"/>
                    <w:kinsoku/>
                    <w:wordWrap/>
                    <w:bidi w:val="0"/>
                    <w:adjustRightInd w:val="0"/>
                    <w:snapToGrid w:val="0"/>
                    <w:spacing w:line="240" w:lineRule="auto"/>
                    <w:ind w:right="0"/>
                    <w:jc w:val="center"/>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米香型白酒</w:t>
                  </w:r>
                </w:p>
              </w:tc>
              <w:tc>
                <w:tcPr>
                  <w:tcW w:w="1777" w:type="pct"/>
                  <w:tcBorders>
                    <w:tl2br w:val="nil"/>
                    <w:tr2bl w:val="nil"/>
                  </w:tcBorders>
                  <w:noWrap w:val="0"/>
                  <w:vAlign w:val="center"/>
                </w:tcPr>
                <w:p>
                  <w:pPr>
                    <w:keepNext w:val="0"/>
                    <w:keepLines w:val="0"/>
                    <w:pageBreakBefore w:val="0"/>
                    <w:kinsoku/>
                    <w:wordWrap/>
                    <w:bidi w:val="0"/>
                    <w:adjustRightInd w:val="0"/>
                    <w:snapToGrid w:val="0"/>
                    <w:spacing w:line="240" w:lineRule="auto"/>
                    <w:ind w:right="0"/>
                    <w:jc w:val="center"/>
                    <w:textAlignment w:val="auto"/>
                    <w:rPr>
                      <w:rFonts w:hint="default" w:ascii="Times New Roman" w:hAnsi="Times New Roman" w:eastAsia="宋体" w:cs="Times New Roman"/>
                      <w:color w:val="000000" w:themeColor="text1"/>
                      <w:highlight w:val="none"/>
                      <w:lang w:val="en-US" w:eastAsia="zh-CN" w:bidi="ar"/>
                      <w14:textFill>
                        <w14:solidFill>
                          <w14:schemeClr w14:val="tx1"/>
                        </w14:solidFill>
                      </w14:textFill>
                    </w:rPr>
                  </w:pPr>
                  <w:r>
                    <w:rPr>
                      <w:rFonts w:hint="eastAsia" w:cs="Times New Roman"/>
                      <w:color w:val="000000" w:themeColor="text1"/>
                      <w:highlight w:val="none"/>
                      <w:lang w:val="en-US" w:eastAsia="zh-CN" w:bidi="ar"/>
                      <w14:textFill>
                        <w14:solidFill>
                          <w14:schemeClr w14:val="tx1"/>
                        </w14:solidFill>
                      </w14:textFill>
                    </w:rPr>
                    <w:t>150t</w:t>
                  </w:r>
                </w:p>
              </w:tc>
              <w:tc>
                <w:tcPr>
                  <w:tcW w:w="746" w:type="pct"/>
                  <w:tcBorders>
                    <w:tl2br w:val="nil"/>
                    <w:tr2bl w:val="nil"/>
                  </w:tcBorders>
                  <w:noWrap w:val="0"/>
                  <w:vAlign w:val="center"/>
                </w:tcPr>
                <w:p>
                  <w:pPr>
                    <w:pStyle w:val="10"/>
                    <w:keepNext w:val="0"/>
                    <w:keepLines w:val="0"/>
                    <w:pageBreakBefore w:val="0"/>
                    <w:kinsoku/>
                    <w:wordWrap/>
                    <w:bidi w:val="0"/>
                    <w:adjustRightInd w:val="0"/>
                    <w:snapToGrid w:val="0"/>
                    <w:spacing w:before="0" w:after="0" w:line="240" w:lineRule="auto"/>
                    <w:ind w:right="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液态</w:t>
                  </w:r>
                </w:p>
              </w:tc>
            </w:tr>
          </w:tbl>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根据中华人民共和国国家标准《米香型白酒》（GB/T 10781.3-2006）中产品酒精度分类41%vol-68%vol高度酒，项目产品为</w:t>
            </w:r>
            <w:r>
              <w:rPr>
                <w:rFonts w:hint="eastAsia" w:cs="Times New Roman"/>
                <w:color w:val="000000" w:themeColor="text1"/>
                <w:kern w:val="2"/>
                <w:sz w:val="24"/>
                <w:szCs w:val="24"/>
                <w:highlight w:val="none"/>
                <w:lang w:val="en-US" w:eastAsia="zh-CN" w:bidi="ar-SA"/>
                <w14:textFill>
                  <w14:solidFill>
                    <w14:schemeClr w14:val="tx1"/>
                  </w14:solidFill>
                </w14:textFill>
              </w:rPr>
              <w:t>60</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%vol属于高度酒质量标准。</w:t>
            </w:r>
          </w:p>
          <w:p>
            <w:pPr>
              <w:adjustRightInd w:val="0"/>
              <w:snapToGrid w:val="0"/>
              <w:jc w:val="cente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表2-3  米香型白酒高度酒质优级量标准</w:t>
            </w:r>
          </w:p>
          <w:tbl>
            <w:tblPr>
              <w:tblStyle w:val="34"/>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561"/>
              <w:gridCol w:w="2504"/>
              <w:gridCol w:w="26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58" w:type="dxa"/>
                  <w:gridSpan w:val="2"/>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项目</w:t>
                  </w:r>
                </w:p>
              </w:tc>
              <w:tc>
                <w:tcPr>
                  <w:tcW w:w="2510"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优级</w:t>
                  </w:r>
                </w:p>
              </w:tc>
              <w:tc>
                <w:tcPr>
                  <w:tcW w:w="2635"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一级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restar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感官要求</w:t>
                  </w: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色泽</w:t>
                  </w:r>
                </w:p>
              </w:tc>
              <w:tc>
                <w:tcPr>
                  <w:tcW w:w="5145"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r>
                    <w:rPr>
                      <w:color w:val="000000" w:themeColor="text1"/>
                      <w:spacing w:val="0"/>
                      <w:position w:val="0"/>
                      <w:sz w:val="20"/>
                      <w:szCs w:val="20"/>
                      <w14:textFill>
                        <w14:solidFill>
                          <w14:schemeClr w14:val="tx1"/>
                        </w14:solidFill>
                      </w14:textFill>
                    </w:rPr>
                    <w:t>无色，清亮透明，无悬浮物，无沉淀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香气</w:t>
                  </w:r>
                </w:p>
              </w:tc>
              <w:tc>
                <w:tcPr>
                  <w:tcW w:w="2510"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米香纯正，清雅</w:t>
                  </w:r>
                </w:p>
              </w:tc>
              <w:tc>
                <w:tcPr>
                  <w:tcW w:w="2635"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米香纯正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口味</w:t>
                  </w:r>
                </w:p>
              </w:tc>
              <w:tc>
                <w:tcPr>
                  <w:tcW w:w="2510"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酒体醇和，绵甜、爽冽，回味怡畅</w:t>
                  </w:r>
                </w:p>
              </w:tc>
              <w:tc>
                <w:tcPr>
                  <w:tcW w:w="2635"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酒体较醇和，绵甜、爽冽，回味怡畅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风格</w:t>
                  </w:r>
                </w:p>
              </w:tc>
              <w:tc>
                <w:tcPr>
                  <w:tcW w:w="2510"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具有本品典型的风格</w:t>
                  </w:r>
                </w:p>
              </w:tc>
              <w:tc>
                <w:tcPr>
                  <w:tcW w:w="2635"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具有本品明显的风格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7693" w:type="dxa"/>
                  <w:gridSpan w:val="3"/>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r>
                    <w:rPr>
                      <w:color w:val="000000" w:themeColor="text1"/>
                      <w:spacing w:val="0"/>
                      <w:position w:val="0"/>
                      <w:sz w:val="20"/>
                      <w:szCs w:val="20"/>
                      <w14:textFill>
                        <w14:solidFill>
                          <w14:schemeClr w14:val="tx1"/>
                        </w14:solidFill>
                      </w14:textFill>
                    </w:rPr>
                    <w:t>当酒的温度低于</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10</w:t>
                  </w:r>
                  <w:r>
                    <w:rPr>
                      <w:color w:val="000000" w:themeColor="text1"/>
                      <w:spacing w:val="0"/>
                      <w:position w:val="0"/>
                      <w:sz w:val="20"/>
                      <w:szCs w:val="20"/>
                      <w14:textFill>
                        <w14:solidFill>
                          <w14:schemeClr w14:val="tx1"/>
                        </w14:solidFill>
                      </w14:textFill>
                    </w:rPr>
                    <w:t>℃时，允许出现白色絮状沉淀物质或失光。</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10</w:t>
                  </w:r>
                  <w:r>
                    <w:rPr>
                      <w:color w:val="000000" w:themeColor="text1"/>
                      <w:spacing w:val="0"/>
                      <w:position w:val="0"/>
                      <w:sz w:val="20"/>
                      <w:szCs w:val="20"/>
                      <w14:textFill>
                        <w14:solidFill>
                          <w14:schemeClr w14:val="tx1"/>
                        </w14:solidFill>
                      </w14:textFill>
                    </w:rPr>
                    <w:t>℃以上时应逐渐恢复正常。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restar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理化要求</w:t>
                  </w: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酒精度</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w:t>
                  </w:r>
                  <w:r>
                    <w:rPr>
                      <w:color w:val="000000" w:themeColor="text1"/>
                      <w:spacing w:val="0"/>
                      <w:position w:val="0"/>
                      <w:sz w:val="20"/>
                      <w:szCs w:val="20"/>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%vol</w:t>
                  </w:r>
                  <w:r>
                    <w:rPr>
                      <w:color w:val="000000" w:themeColor="text1"/>
                      <w:spacing w:val="0"/>
                      <w:position w:val="0"/>
                      <w:sz w:val="20"/>
                      <w:szCs w:val="20"/>
                      <w14:textFill>
                        <w14:solidFill>
                          <w14:schemeClr w14:val="tx1"/>
                        </w14:solidFill>
                      </w14:textFill>
                    </w:rPr>
                    <w:t>）</w:t>
                  </w:r>
                </w:p>
              </w:tc>
              <w:tc>
                <w:tcPr>
                  <w:tcW w:w="251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41-68</w:t>
                  </w:r>
                </w:p>
              </w:tc>
              <w:tc>
                <w:tcPr>
                  <w:tcW w:w="2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总酸（以乙酸计）</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w:t>
                  </w:r>
                  <w:r>
                    <w:rPr>
                      <w:color w:val="000000" w:themeColor="text1"/>
                      <w:spacing w:val="0"/>
                      <w:position w:val="0"/>
                      <w:sz w:val="20"/>
                      <w:szCs w:val="20"/>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g/L</w:t>
                  </w:r>
                  <w:r>
                    <w:rPr>
                      <w:color w:val="000000" w:themeColor="text1"/>
                      <w:spacing w:val="0"/>
                      <w:position w:val="0"/>
                      <w:sz w:val="20"/>
                      <w:szCs w:val="20"/>
                      <w14:textFill>
                        <w14:solidFill>
                          <w14:schemeClr w14:val="tx1"/>
                        </w14:solidFill>
                      </w14:textFill>
                    </w:rPr>
                    <w:t>）</w:t>
                  </w:r>
                </w:p>
              </w:tc>
              <w:tc>
                <w:tcPr>
                  <w:tcW w:w="251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0.30</w:t>
                  </w:r>
                </w:p>
              </w:tc>
              <w:tc>
                <w:tcPr>
                  <w:tcW w:w="263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总酯（以乙酸乙酯计）</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w:t>
                  </w:r>
                  <w:r>
                    <w:rPr>
                      <w:color w:val="000000" w:themeColor="text1"/>
                      <w:spacing w:val="0"/>
                      <w:position w:val="0"/>
                      <w:sz w:val="20"/>
                      <w:szCs w:val="20"/>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g/L</w:t>
                  </w:r>
                  <w:r>
                    <w:rPr>
                      <w:color w:val="000000" w:themeColor="text1"/>
                      <w:spacing w:val="0"/>
                      <w:position w:val="0"/>
                      <w:sz w:val="20"/>
                      <w:szCs w:val="20"/>
                      <w14:textFill>
                        <w14:solidFill>
                          <w14:schemeClr w14:val="tx1"/>
                        </w14:solidFill>
                      </w14:textFill>
                    </w:rPr>
                    <w:t>）</w:t>
                  </w:r>
                </w:p>
              </w:tc>
              <w:tc>
                <w:tcPr>
                  <w:tcW w:w="251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0.80</w:t>
                  </w:r>
                </w:p>
              </w:tc>
              <w:tc>
                <w:tcPr>
                  <w:tcW w:w="263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0.65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乳酸乙酯</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/&lt;g/L</w:t>
                  </w:r>
                  <w:r>
                    <w:rPr>
                      <w:color w:val="000000" w:themeColor="text1"/>
                      <w:spacing w:val="0"/>
                      <w:position w:val="0"/>
                      <w:sz w:val="20"/>
                      <w:szCs w:val="20"/>
                      <w14:textFill>
                        <w14:solidFill>
                          <w14:schemeClr w14:val="tx1"/>
                        </w14:solidFill>
                      </w14:textFill>
                    </w:rPr>
                    <w:t>）</w:t>
                  </w:r>
                </w:p>
              </w:tc>
              <w:tc>
                <w:tcPr>
                  <w:tcW w:w="251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0.50</w:t>
                  </w:r>
                </w:p>
              </w:tc>
              <w:tc>
                <w:tcPr>
                  <w:tcW w:w="263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0.40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B-</w:t>
                  </w:r>
                  <w:r>
                    <w:rPr>
                      <w:color w:val="000000" w:themeColor="text1"/>
                      <w:spacing w:val="0"/>
                      <w:position w:val="0"/>
                      <w:sz w:val="20"/>
                      <w:szCs w:val="20"/>
                      <w14:textFill>
                        <w14:solidFill>
                          <w14:schemeClr w14:val="tx1"/>
                        </w14:solidFill>
                      </w14:textFill>
                    </w:rPr>
                    <w:t>苯乙醇</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/(g/L)</w:t>
                  </w:r>
                </w:p>
              </w:tc>
              <w:tc>
                <w:tcPr>
                  <w:tcW w:w="251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30</w:t>
                  </w:r>
                </w:p>
              </w:tc>
              <w:tc>
                <w:tcPr>
                  <w:tcW w:w="263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2566" w:type="dxa"/>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color w:val="000000" w:themeColor="text1"/>
                      <w:spacing w:val="0"/>
                      <w:kern w:val="2"/>
                      <w:position w:val="0"/>
                      <w:sz w:val="20"/>
                      <w:szCs w:val="20"/>
                      <w:lang w:val="en-US" w:eastAsia="zh-CN" w:bidi="ar-SA"/>
                      <w14:textFill>
                        <w14:solidFill>
                          <w14:schemeClr w14:val="tx1"/>
                        </w14:solidFill>
                      </w14:textFill>
                    </w:rPr>
                  </w:pPr>
                  <w:r>
                    <w:rPr>
                      <w:color w:val="000000" w:themeColor="text1"/>
                      <w:spacing w:val="0"/>
                      <w:position w:val="0"/>
                      <w:sz w:val="20"/>
                      <w:szCs w:val="20"/>
                      <w14:textFill>
                        <w14:solidFill>
                          <w14:schemeClr w14:val="tx1"/>
                        </w14:solidFill>
                      </w14:textFill>
                    </w:rPr>
                    <w:t>固形物</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w:t>
                  </w:r>
                  <w:r>
                    <w:rPr>
                      <w:color w:val="000000" w:themeColor="text1"/>
                      <w:spacing w:val="0"/>
                      <w:position w:val="0"/>
                      <w:sz w:val="20"/>
                      <w:szCs w:val="20"/>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g/L</w:t>
                  </w:r>
                  <w:r>
                    <w:rPr>
                      <w:color w:val="000000" w:themeColor="text1"/>
                      <w:spacing w:val="0"/>
                      <w:position w:val="0"/>
                      <w:sz w:val="20"/>
                      <w:szCs w:val="20"/>
                      <w14:textFill>
                        <w14:solidFill>
                          <w14:schemeClr w14:val="tx1"/>
                        </w14:solidFill>
                      </w14:textFill>
                    </w:rPr>
                    <w:t>）</w:t>
                  </w:r>
                </w:p>
              </w:tc>
              <w:tc>
                <w:tcPr>
                  <w:tcW w:w="251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color w:val="000000" w:themeColor="text1"/>
                      <w:spacing w:val="0"/>
                      <w:kern w:val="2"/>
                      <w:position w:val="0"/>
                      <w:sz w:val="20"/>
                      <w:szCs w:val="20"/>
                      <w:lang w:val="en-US" w:eastAsia="zh-CN" w:bidi="ar-SA"/>
                      <w14:textFill>
                        <w14:solidFill>
                          <w14:schemeClr w14:val="tx1"/>
                        </w14:solidFill>
                      </w14:textFill>
                    </w:rPr>
                  </w:pPr>
                  <w:r>
                    <w:rPr>
                      <w:rFonts w:ascii="Times New Roman" w:hAnsi="Times New Roman" w:eastAsia="Times New Roman" w:cs="Times New Roman"/>
                      <w:color w:val="000000" w:themeColor="text1"/>
                      <w:spacing w:val="0"/>
                      <w:position w:val="0"/>
                      <w:sz w:val="20"/>
                      <w:szCs w:val="20"/>
                      <w14:textFill>
                        <w14:solidFill>
                          <w14:schemeClr w14:val="tx1"/>
                        </w14:solidFill>
                      </w14:textFill>
                    </w:rPr>
                    <w:t>0.40a</w:t>
                  </w:r>
                </w:p>
              </w:tc>
              <w:tc>
                <w:tcPr>
                  <w:tcW w:w="2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p>
              </w:tc>
              <w:tc>
                <w:tcPr>
                  <w:tcW w:w="7693"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b/>
                      <w:bCs/>
                      <w:color w:val="000000" w:themeColor="text1"/>
                      <w:spacing w:val="0"/>
                      <w:kern w:val="0"/>
                      <w:position w:val="0"/>
                      <w:sz w:val="24"/>
                      <w:szCs w:val="24"/>
                      <w:highlight w:val="none"/>
                      <w:vertAlign w:val="baseline"/>
                      <w:lang w:val="en-US" w:eastAsia="zh-CN"/>
                      <w14:textFill>
                        <w14:solidFill>
                          <w14:schemeClr w14:val="tx1"/>
                        </w14:solidFill>
                      </w14:textFill>
                    </w:rPr>
                  </w:pPr>
                  <w:r>
                    <w:rPr>
                      <w:color w:val="000000" w:themeColor="text1"/>
                      <w:spacing w:val="0"/>
                      <w:position w:val="0"/>
                      <w:sz w:val="20"/>
                      <w:szCs w:val="20"/>
                      <w14:textFill>
                        <w14:solidFill>
                          <w14:schemeClr w14:val="tx1"/>
                        </w14:solidFill>
                      </w14:textFill>
                    </w:rPr>
                    <w:t>酒精度</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41%</w:t>
                  </w:r>
                  <w:r>
                    <w:rPr>
                      <w:rFonts w:hint="eastAsia" w:eastAsia="宋体" w:cs="Times New Roman"/>
                      <w:color w:val="000000" w:themeColor="text1"/>
                      <w:spacing w:val="0"/>
                      <w:position w:val="0"/>
                      <w:sz w:val="20"/>
                      <w:szCs w:val="20"/>
                      <w:lang w:eastAsia="zh-CN"/>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49%vol</w:t>
                  </w:r>
                  <w:r>
                    <w:rPr>
                      <w:color w:val="000000" w:themeColor="text1"/>
                      <w:spacing w:val="0"/>
                      <w:position w:val="0"/>
                      <w:sz w:val="20"/>
                      <w:szCs w:val="20"/>
                      <w14:textFill>
                        <w14:solidFill>
                          <w14:schemeClr w14:val="tx1"/>
                        </w14:solidFill>
                      </w14:textFill>
                    </w:rPr>
                    <w:t>的酒，固形物可小于或等于</w:t>
                  </w:r>
                  <w:r>
                    <w:rPr>
                      <w:rFonts w:ascii="Times New Roman" w:hAnsi="Times New Roman" w:eastAsia="Times New Roman" w:cs="Times New Roman"/>
                      <w:color w:val="000000" w:themeColor="text1"/>
                      <w:spacing w:val="0"/>
                      <w:position w:val="0"/>
                      <w:sz w:val="20"/>
                      <w:szCs w:val="20"/>
                      <w14:textFill>
                        <w14:solidFill>
                          <w14:schemeClr w14:val="tx1"/>
                        </w14:solidFill>
                      </w14:textFill>
                    </w:rPr>
                    <w:t>0.50g/L</w:t>
                  </w:r>
                  <w:r>
                    <w:rPr>
                      <w:color w:val="000000" w:themeColor="text1"/>
                      <w:spacing w:val="0"/>
                      <w:position w:val="0"/>
                      <w:sz w:val="20"/>
                      <w:szCs w:val="20"/>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4、</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主要生产设施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项目主要设备见下表。</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b/>
                <w:bCs/>
                <w:color w:val="000000" w:themeColor="text1"/>
                <w:sz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表2-4             主要设备一览表</w:t>
            </w:r>
          </w:p>
          <w:tbl>
            <w:tblPr>
              <w:tblStyle w:val="34"/>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671"/>
              <w:gridCol w:w="797"/>
              <w:gridCol w:w="797"/>
              <w:gridCol w:w="23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序号</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名称</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单位</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数量</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蒸粮箱</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个</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2m</w:t>
                  </w:r>
                  <w:r>
                    <w:rPr>
                      <w:rFonts w:hint="eastAsia"/>
                      <w:b w:val="0"/>
                      <w:bCs w:val="0"/>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2</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发酵池</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个</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40</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1.8*2.7*1.6m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3</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发酵缸</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个</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80</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Φ</w:t>
                  </w:r>
                  <w:r>
                    <w:rPr>
                      <w:rFonts w:hint="eastAsia"/>
                      <w:b w:val="0"/>
                      <w:bCs w:val="0"/>
                      <w:color w:val="000000" w:themeColor="text1"/>
                      <w:sz w:val="21"/>
                      <w:szCs w:val="21"/>
                      <w:highlight w:val="none"/>
                      <w:vertAlign w:val="baseline"/>
                      <w:lang w:val="en-US" w:eastAsia="zh-CN"/>
                      <w14:textFill>
                        <w14:solidFill>
                          <w14:schemeClr w14:val="tx1"/>
                        </w14:solidFill>
                      </w14:textFill>
                    </w:rPr>
                    <w:t>0.96*1.6m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4</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冷却器</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台</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2</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5</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蒸流器</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台</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4</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6</w:t>
                  </w:r>
                </w:p>
              </w:tc>
              <w:tc>
                <w:tcPr>
                  <w:tcW w:w="21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灌装机</w:t>
                  </w:r>
                </w:p>
              </w:tc>
              <w:tc>
                <w:tcPr>
                  <w:tcW w:w="47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套</w:t>
                  </w:r>
                </w:p>
              </w:tc>
              <w:tc>
                <w:tcPr>
                  <w:tcW w:w="47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w:t>
                  </w:r>
                </w:p>
              </w:tc>
              <w:tc>
                <w:tcPr>
                  <w:tcW w:w="138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7</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酒罐</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个</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4</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总容积150t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8</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default"/>
                      <w:b w:val="0"/>
                      <w:bCs w:val="0"/>
                      <w:color w:val="000000" w:themeColor="text1"/>
                      <w:sz w:val="21"/>
                      <w:szCs w:val="21"/>
                      <w:highlight w:val="none"/>
                      <w:vertAlign w:val="baseline"/>
                      <w:lang w:val="en-US" w:eastAsia="zh-CN"/>
                      <w14:textFill>
                        <w14:solidFill>
                          <w14:schemeClr w14:val="tx1"/>
                        </w14:solidFill>
                      </w14:textFill>
                    </w:rPr>
                    <w:t>WNS</w:t>
                  </w:r>
                  <w:r>
                    <w:rPr>
                      <w:rFonts w:hint="eastAsia"/>
                      <w:b w:val="0"/>
                      <w:bCs w:val="0"/>
                      <w:color w:val="000000" w:themeColor="text1"/>
                      <w:sz w:val="21"/>
                      <w:szCs w:val="21"/>
                      <w:highlight w:val="none"/>
                      <w:vertAlign w:val="baseline"/>
                      <w:lang w:val="en-US" w:eastAsia="zh-CN"/>
                      <w14:textFill>
                        <w14:solidFill>
                          <w14:schemeClr w14:val="tx1"/>
                        </w14:solidFill>
                      </w14:textFill>
                    </w:rPr>
                    <w:t>1</w:t>
                  </w:r>
                  <w:r>
                    <w:rPr>
                      <w:rFonts w:hint="default"/>
                      <w:b w:val="0"/>
                      <w:bCs w:val="0"/>
                      <w:color w:val="000000" w:themeColor="text1"/>
                      <w:sz w:val="21"/>
                      <w:szCs w:val="21"/>
                      <w:highlight w:val="none"/>
                      <w:vertAlign w:val="baseline"/>
                      <w:lang w:val="en-US" w:eastAsia="zh-CN"/>
                      <w14:textFill>
                        <w14:solidFill>
                          <w14:schemeClr w14:val="tx1"/>
                        </w14:solidFill>
                      </w14:textFill>
                    </w:rPr>
                    <w:t>-1.25-Y/Q</w:t>
                  </w:r>
                  <w:r>
                    <w:rPr>
                      <w:rFonts w:hint="eastAsia"/>
                      <w:b w:val="0"/>
                      <w:bCs w:val="0"/>
                      <w:color w:val="000000" w:themeColor="text1"/>
                      <w:sz w:val="21"/>
                      <w:szCs w:val="21"/>
                      <w:highlight w:val="none"/>
                      <w:vertAlign w:val="baseline"/>
                      <w:lang w:val="en-US" w:eastAsia="zh-CN"/>
                      <w14:textFill>
                        <w14:solidFill>
                          <w14:schemeClr w14:val="tx1"/>
                        </w14:solidFill>
                      </w14:textFill>
                    </w:rPr>
                    <w:t>型燃气锅炉</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个</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1t/h蒸汽燃气锅炉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9</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CLPR-RO-1T型反渗透纯水机</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套</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10</w:t>
                  </w:r>
                </w:p>
              </w:tc>
              <w:tc>
                <w:tcPr>
                  <w:tcW w:w="218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一体化污水处理设备</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套</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1</w:t>
                  </w:r>
                </w:p>
              </w:tc>
              <w:tc>
                <w:tcPr>
                  <w:tcW w:w="13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UASB+AO工艺</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5</w:t>
            </w:r>
            <w:r>
              <w:rPr>
                <w:b/>
                <w:bCs/>
                <w:color w:val="000000" w:themeColor="text1"/>
                <w:sz w:val="24"/>
                <w:highlight w:val="none"/>
                <w14:textFill>
                  <w14:solidFill>
                    <w14:schemeClr w14:val="tx1"/>
                  </w14:solidFill>
                </w14:textFill>
              </w:rPr>
              <w:t>、主要原辅材料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本项目所需主要原辅材料、能源消耗及来源见表</w:t>
            </w:r>
            <w:r>
              <w:rPr>
                <w:rFonts w:hint="eastAsia"/>
                <w:color w:val="000000" w:themeColor="text1"/>
                <w:sz w:val="24"/>
                <w:highlight w:val="none"/>
                <w:lang w:val="en-US" w:eastAsia="zh-CN"/>
                <w14:textFill>
                  <w14:solidFill>
                    <w14:schemeClr w14:val="tx1"/>
                  </w14:solidFill>
                </w14:textFill>
              </w:rPr>
              <w:t>2-5</w:t>
            </w:r>
            <w:r>
              <w:rPr>
                <w:color w:val="000000" w:themeColor="text1"/>
                <w:sz w:val="24"/>
                <w:highlight w:val="none"/>
                <w14:textFill>
                  <w14:solidFill>
                    <w14:schemeClr w14:val="tx1"/>
                  </w14:solidFill>
                </w14:textFill>
              </w:rPr>
              <w:t>。</w:t>
            </w:r>
          </w:p>
          <w:p>
            <w:pPr>
              <w:adjustRightInd w:val="0"/>
              <w:snapToGrid w:val="0"/>
              <w:jc w:val="cente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eastAsia" w:cs="Times New Roman"/>
                <w:b/>
                <w:bCs/>
                <w:color w:val="000000" w:themeColor="text1"/>
                <w:sz w:val="24"/>
                <w:szCs w:val="24"/>
                <w:highlight w:val="none"/>
                <w:lang w:val="en-US" w:eastAsia="zh-CN"/>
                <w14:textFill>
                  <w14:solidFill>
                    <w14:schemeClr w14:val="tx1"/>
                  </w14:solidFill>
                </w14:textFill>
              </w:rPr>
              <w:t xml:space="preserve">5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项目主要原辅材料、能源消耗和来源一览表</w:t>
            </w:r>
          </w:p>
          <w:tbl>
            <w:tblPr>
              <w:tblStyle w:val="33"/>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13"/>
              <w:gridCol w:w="1415"/>
              <w:gridCol w:w="1664"/>
              <w:gridCol w:w="636"/>
              <w:gridCol w:w="979"/>
              <w:gridCol w:w="31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512"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bidi="ar"/>
                      <w14:textFill>
                        <w14:solidFill>
                          <w14:schemeClr w14:val="tx1"/>
                        </w14:solidFill>
                      </w14:textFill>
                    </w:rPr>
                    <w:t>序号</w:t>
                  </w:r>
                </w:p>
              </w:tc>
              <w:tc>
                <w:tcPr>
                  <w:tcW w:w="1050"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bidi="ar"/>
                      <w14:textFill>
                        <w14:solidFill>
                          <w14:schemeClr w14:val="tx1"/>
                        </w14:solidFill>
                      </w14:textFill>
                    </w:rPr>
                    <w:t>名称</w:t>
                  </w:r>
                </w:p>
              </w:tc>
              <w:tc>
                <w:tcPr>
                  <w:tcW w:w="1198"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bidi="ar"/>
                      <w14:textFill>
                        <w14:solidFill>
                          <w14:schemeClr w14:val="tx1"/>
                        </w14:solidFill>
                      </w14:textFill>
                    </w:rPr>
                    <w:t>年用量（t/a）</w:t>
                  </w:r>
                </w:p>
              </w:tc>
              <w:tc>
                <w:tcPr>
                  <w:tcW w:w="515"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
                      <w14:textFill>
                        <w14:solidFill>
                          <w14:schemeClr w14:val="tx1"/>
                        </w14:solidFill>
                      </w14:textFill>
                    </w:rPr>
                    <w:t>形态</w:t>
                  </w:r>
                </w:p>
              </w:tc>
              <w:tc>
                <w:tcPr>
                  <w:tcW w:w="860"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bidi="ar"/>
                      <w14:textFill>
                        <w14:solidFill>
                          <w14:schemeClr w14:val="tx1"/>
                        </w14:solidFill>
                      </w14:textFill>
                    </w:rPr>
                    <w:t>储存位置</w:t>
                  </w:r>
                </w:p>
              </w:tc>
              <w:tc>
                <w:tcPr>
                  <w:tcW w:w="863"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
                      <w14:textFill>
                        <w14:solidFill>
                          <w14:schemeClr w14:val="tx1"/>
                        </w14:solidFill>
                      </w14:textFill>
                    </w:rPr>
                    <w:t>执行标准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w:t>
                  </w:r>
                </w:p>
              </w:tc>
              <w:tc>
                <w:tcPr>
                  <w:tcW w:w="1050"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高梁</w:t>
                  </w:r>
                </w:p>
              </w:tc>
              <w:tc>
                <w:tcPr>
                  <w:tcW w:w="11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206</w:t>
                  </w:r>
                </w:p>
              </w:tc>
              <w:tc>
                <w:tcPr>
                  <w:tcW w:w="515" w:type="pct"/>
                  <w:tcBorders>
                    <w:tl2br w:val="nil"/>
                    <w:tr2bl w:val="nil"/>
                  </w:tcBorders>
                  <w:noWrap/>
                  <w:vAlign w:val="center"/>
                </w:tcPr>
                <w:p>
                  <w:pPr>
                    <w:widowControl/>
                    <w:jc w:val="center"/>
                    <w:textAlignment w:val="center"/>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固态</w:t>
                  </w:r>
                </w:p>
              </w:tc>
              <w:tc>
                <w:tcPr>
                  <w:tcW w:w="860" w:type="pct"/>
                  <w:tcBorders>
                    <w:tl2br w:val="nil"/>
                    <w:tr2bl w:val="nil"/>
                  </w:tcBorders>
                  <w:noWrap/>
                  <w:vAlign w:val="center"/>
                </w:tcPr>
                <w:p>
                  <w:pPr>
                    <w:widowControl/>
                    <w:jc w:val="center"/>
                    <w:textAlignment w:val="cente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库房</w:t>
                  </w:r>
                </w:p>
              </w:tc>
              <w:tc>
                <w:tcPr>
                  <w:tcW w:w="863" w:type="pct"/>
                  <w:tcBorders>
                    <w:tl2br w:val="nil"/>
                    <w:tr2bl w:val="nil"/>
                  </w:tcBorders>
                  <w:noWrap/>
                  <w:vAlign w:val="center"/>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《高梁》（GB/T8231-2007）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w:t>
                  </w:r>
                </w:p>
              </w:tc>
              <w:tc>
                <w:tcPr>
                  <w:tcW w:w="1050"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玉米</w:t>
                  </w:r>
                </w:p>
              </w:tc>
              <w:tc>
                <w:tcPr>
                  <w:tcW w:w="11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69</w:t>
                  </w:r>
                </w:p>
              </w:tc>
              <w:tc>
                <w:tcPr>
                  <w:tcW w:w="515" w:type="pct"/>
                  <w:tcBorders>
                    <w:tl2br w:val="nil"/>
                    <w:tr2bl w:val="nil"/>
                  </w:tcBorders>
                  <w:noWrap/>
                  <w:vAlign w:val="top"/>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固态</w:t>
                  </w:r>
                </w:p>
              </w:tc>
              <w:tc>
                <w:tcPr>
                  <w:tcW w:w="860" w:type="pct"/>
                  <w:tcBorders>
                    <w:tl2br w:val="nil"/>
                    <w:tr2bl w:val="nil"/>
                  </w:tcBorders>
                  <w:noWrap/>
                  <w:vAlign w:val="top"/>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库房</w:t>
                  </w:r>
                </w:p>
              </w:tc>
              <w:tc>
                <w:tcPr>
                  <w:tcW w:w="863" w:type="pct"/>
                  <w:tcBorders>
                    <w:tl2br w:val="nil"/>
                    <w:tr2bl w:val="nil"/>
                  </w:tcBorders>
                  <w:noWrap/>
                  <w:vAlign w:val="top"/>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《玉米粉》（GB/T10463-2024）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w:t>
                  </w:r>
                </w:p>
              </w:tc>
              <w:tc>
                <w:tcPr>
                  <w:tcW w:w="1050" w:type="pct"/>
                  <w:tcBorders>
                    <w:tl2br w:val="nil"/>
                    <w:tr2bl w:val="nil"/>
                  </w:tcBorders>
                  <w:noWrap/>
                  <w:vAlign w:val="center"/>
                </w:tcPr>
                <w:p>
                  <w:pPr>
                    <w:widowControl/>
                    <w:jc w:val="center"/>
                    <w:textAlignment w:val="cente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大米</w:t>
                  </w:r>
                </w:p>
              </w:tc>
              <w:tc>
                <w:tcPr>
                  <w:tcW w:w="11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34</w:t>
                  </w:r>
                </w:p>
              </w:tc>
              <w:tc>
                <w:tcPr>
                  <w:tcW w:w="515" w:type="pct"/>
                  <w:tcBorders>
                    <w:tl2br w:val="nil"/>
                    <w:tr2bl w:val="nil"/>
                  </w:tcBorders>
                  <w:noWrap/>
                  <w:vAlign w:val="top"/>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固态</w:t>
                  </w:r>
                </w:p>
              </w:tc>
              <w:tc>
                <w:tcPr>
                  <w:tcW w:w="860" w:type="pct"/>
                  <w:tcBorders>
                    <w:tl2br w:val="nil"/>
                    <w:tr2bl w:val="nil"/>
                  </w:tcBorders>
                  <w:noWrap/>
                  <w:vAlign w:val="top"/>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库房</w:t>
                  </w:r>
                </w:p>
              </w:tc>
              <w:tc>
                <w:tcPr>
                  <w:tcW w:w="863" w:type="pct"/>
                  <w:tcBorders>
                    <w:tl2br w:val="nil"/>
                    <w:tr2bl w:val="nil"/>
                  </w:tcBorders>
                  <w:noWrap/>
                  <w:vAlign w:val="top"/>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《大米》（GB/T1354-2018）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4</w:t>
                  </w:r>
                </w:p>
              </w:tc>
              <w:tc>
                <w:tcPr>
                  <w:tcW w:w="1050"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小麦</w:t>
                  </w:r>
                </w:p>
              </w:tc>
              <w:tc>
                <w:tcPr>
                  <w:tcW w:w="11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17</w:t>
                  </w:r>
                </w:p>
              </w:tc>
              <w:tc>
                <w:tcPr>
                  <w:tcW w:w="515" w:type="pct"/>
                  <w:tcBorders>
                    <w:tl2br w:val="nil"/>
                    <w:tr2bl w:val="nil"/>
                  </w:tcBorders>
                  <w:noWrap/>
                  <w:vAlign w:val="center"/>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固态</w:t>
                  </w:r>
                </w:p>
              </w:tc>
              <w:tc>
                <w:tcPr>
                  <w:tcW w:w="860"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库房</w:t>
                  </w:r>
                </w:p>
              </w:tc>
              <w:tc>
                <w:tcPr>
                  <w:tcW w:w="863" w:type="pct"/>
                  <w:tcBorders>
                    <w:tl2br w:val="nil"/>
                    <w:tr2bl w:val="nil"/>
                  </w:tcBorders>
                  <w:noWrap/>
                  <w:vAlign w:val="center"/>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《小麦》（GB1351-2023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5</w:t>
                  </w:r>
                </w:p>
              </w:tc>
              <w:tc>
                <w:tcPr>
                  <w:tcW w:w="1050"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酒曲</w:t>
                  </w:r>
                </w:p>
              </w:tc>
              <w:tc>
                <w:tcPr>
                  <w:tcW w:w="11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41</w:t>
                  </w:r>
                </w:p>
              </w:tc>
              <w:tc>
                <w:tcPr>
                  <w:tcW w:w="515" w:type="pct"/>
                  <w:tcBorders>
                    <w:tl2br w:val="nil"/>
                    <w:tr2bl w:val="nil"/>
                  </w:tcBorders>
                  <w:noWrap/>
                  <w:vAlign w:val="top"/>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固态</w:t>
                  </w:r>
                </w:p>
              </w:tc>
              <w:tc>
                <w:tcPr>
                  <w:tcW w:w="860" w:type="pct"/>
                  <w:tcBorders>
                    <w:tl2br w:val="nil"/>
                    <w:tr2bl w:val="nil"/>
                  </w:tcBorders>
                  <w:noWrap/>
                  <w:vAlign w:val="top"/>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库房</w:t>
                  </w:r>
                </w:p>
              </w:tc>
              <w:tc>
                <w:tcPr>
                  <w:tcW w:w="863" w:type="pct"/>
                  <w:tcBorders>
                    <w:tl2br w:val="nil"/>
                    <w:tr2bl w:val="nil"/>
                  </w:tcBorders>
                  <w:noWrap/>
                  <w:vAlign w:val="top"/>
                </w:tcPr>
                <w:p>
                  <w:pPr>
                    <w:widowControl/>
                    <w:jc w:val="center"/>
                    <w:textAlignment w:val="center"/>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6</w:t>
                  </w:r>
                </w:p>
              </w:tc>
              <w:tc>
                <w:tcPr>
                  <w:tcW w:w="1050"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500mL酒瓶</w:t>
                  </w:r>
                </w:p>
              </w:tc>
              <w:tc>
                <w:tcPr>
                  <w:tcW w:w="11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30万个</w:t>
                  </w:r>
                </w:p>
              </w:tc>
              <w:tc>
                <w:tcPr>
                  <w:tcW w:w="515" w:type="pct"/>
                  <w:tcBorders>
                    <w:tl2br w:val="nil"/>
                    <w:tr2bl w:val="nil"/>
                  </w:tcBorders>
                  <w:noWrap/>
                  <w:vAlign w:val="top"/>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固态</w:t>
                  </w:r>
                </w:p>
              </w:tc>
              <w:tc>
                <w:tcPr>
                  <w:tcW w:w="860" w:type="pct"/>
                  <w:tcBorders>
                    <w:tl2br w:val="nil"/>
                    <w:tr2bl w:val="nil"/>
                  </w:tcBorders>
                  <w:noWrap/>
                  <w:vAlign w:val="top"/>
                </w:tcPr>
                <w:p>
                  <w:pPr>
                    <w:widowControl/>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库房</w:t>
                  </w:r>
                </w:p>
              </w:tc>
              <w:tc>
                <w:tcPr>
                  <w:tcW w:w="863" w:type="pct"/>
                  <w:tcBorders>
                    <w:tl2br w:val="nil"/>
                    <w:tr2bl w:val="nil"/>
                  </w:tcBorders>
                  <w:noWrap/>
                  <w:vAlign w:val="top"/>
                </w:tcPr>
                <w:p>
                  <w:pPr>
                    <w:widowControl/>
                    <w:jc w:val="center"/>
                    <w:textAlignment w:val="center"/>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000" w:type="pct"/>
                  <w:gridSpan w:val="6"/>
                  <w:tcBorders>
                    <w:tl2br w:val="nil"/>
                    <w:tr2bl w:val="nil"/>
                  </w:tcBorders>
                  <w:noWrap/>
                  <w:vAlign w:val="center"/>
                </w:tcPr>
                <w:p>
                  <w:pPr>
                    <w:widowControl/>
                    <w:jc w:val="center"/>
                    <w:textAlignment w:val="center"/>
                    <w:rPr>
                      <w:rFonts w:hint="eastAsia" w:cs="Times New Roman"/>
                      <w:b w:val="0"/>
                      <w:bCs w:val="0"/>
                      <w:color w:val="000000" w:themeColor="text1"/>
                      <w:kern w:val="0"/>
                      <w:sz w:val="21"/>
                      <w:szCs w:val="21"/>
                      <w:highlight w:val="none"/>
                      <w:lang w:val="en-US" w:eastAsia="zh-CN" w:bidi="ar"/>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
                      <w14:textFill>
                        <w14:solidFill>
                          <w14:schemeClr w14:val="tx1"/>
                        </w14:solidFill>
                      </w14:textFill>
                    </w:rPr>
                    <w:t>能源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512" w:type="pct"/>
                  <w:tcBorders>
                    <w:tl2br w:val="nil"/>
                    <w:tr2bl w:val="nil"/>
                  </w:tcBorders>
                  <w:noWrap/>
                  <w:vAlign w:val="center"/>
                </w:tcPr>
                <w:p>
                  <w:pPr>
                    <w:widowControl/>
                    <w:jc w:val="center"/>
                    <w:textAlignment w:val="center"/>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w:t>
                  </w:r>
                </w:p>
              </w:tc>
              <w:tc>
                <w:tcPr>
                  <w:tcW w:w="1050" w:type="pct"/>
                  <w:tcBorders>
                    <w:tl2br w:val="nil"/>
                    <w:tr2bl w:val="nil"/>
                  </w:tcBorders>
                  <w:noWrap/>
                  <w:vAlign w:val="center"/>
                </w:tcPr>
                <w:p>
                  <w:pPr>
                    <w:widowControl/>
                    <w:jc w:val="center"/>
                    <w:textAlignment w:val="cente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新鲜水</w:t>
                  </w:r>
                </w:p>
              </w:tc>
              <w:tc>
                <w:tcPr>
                  <w:tcW w:w="3436" w:type="pct"/>
                  <w:gridSpan w:val="4"/>
                  <w:tcBorders>
                    <w:tl2br w:val="nil"/>
                    <w:tr2bl w:val="nil"/>
                  </w:tcBorders>
                  <w:noWrap/>
                  <w:vAlign w:val="center"/>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4719.75m</w:t>
                  </w:r>
                  <w:r>
                    <w:rPr>
                      <w:rFonts w:hint="eastAsia" w:cs="Times New Roman"/>
                      <w:b w:val="0"/>
                      <w:bCs w:val="0"/>
                      <w:color w:val="000000" w:themeColor="text1"/>
                      <w:sz w:val="21"/>
                      <w:szCs w:val="21"/>
                      <w:highlight w:val="none"/>
                      <w:vertAlign w:val="superscript"/>
                      <w:lang w:val="en-US" w:eastAsia="zh-CN"/>
                      <w14:textFill>
                        <w14:solidFill>
                          <w14:schemeClr w14:val="tx1"/>
                        </w14:solidFill>
                      </w14:textFill>
                    </w:rPr>
                    <w:t>3</w:t>
                  </w:r>
                  <w:r>
                    <w:rPr>
                      <w:rFonts w:hint="eastAsia" w:cs="Times New Roman"/>
                      <w:b w:val="0"/>
                      <w:bCs w:val="0"/>
                      <w:color w:val="000000" w:themeColor="text1"/>
                      <w:sz w:val="21"/>
                      <w:szCs w:val="21"/>
                      <w:highlight w:val="none"/>
                      <w:lang w:val="en-US" w:eastAsia="zh-CN"/>
                      <w14:textFill>
                        <w14:solidFill>
                          <w14:schemeClr w14:val="tx1"/>
                        </w14:solidFill>
                      </w14:textFill>
                    </w:rPr>
                    <w: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w:t>
                  </w:r>
                </w:p>
              </w:tc>
              <w:tc>
                <w:tcPr>
                  <w:tcW w:w="1050" w:type="pct"/>
                  <w:tcBorders>
                    <w:tl2br w:val="nil"/>
                    <w:tr2bl w:val="nil"/>
                  </w:tcBorders>
                  <w:noWrap/>
                  <w:vAlign w:val="center"/>
                </w:tcPr>
                <w:p>
                  <w:pPr>
                    <w:widowControl/>
                    <w:jc w:val="center"/>
                    <w:textAlignment w:val="cente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电</w:t>
                  </w:r>
                </w:p>
              </w:tc>
              <w:tc>
                <w:tcPr>
                  <w:tcW w:w="3436" w:type="pct"/>
                  <w:gridSpan w:val="4"/>
                  <w:tcBorders>
                    <w:tl2br w:val="nil"/>
                    <w:tr2bl w:val="nil"/>
                  </w:tcBorders>
                  <w:noWrap/>
                  <w:vAlign w:val="center"/>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30万kW·h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512" w:type="pct"/>
                  <w:tcBorders>
                    <w:tl2br w:val="nil"/>
                    <w:tr2bl w:val="nil"/>
                  </w:tcBorders>
                  <w:noWrap/>
                  <w:vAlign w:val="center"/>
                </w:tcPr>
                <w:p>
                  <w:pPr>
                    <w:widowControl/>
                    <w:jc w:val="center"/>
                    <w:textAlignment w:val="center"/>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w:t>
                  </w:r>
                </w:p>
              </w:tc>
              <w:tc>
                <w:tcPr>
                  <w:tcW w:w="1050" w:type="pct"/>
                  <w:tcBorders>
                    <w:tl2br w:val="nil"/>
                    <w:tr2bl w:val="nil"/>
                  </w:tcBorders>
                  <w:noWrap/>
                  <w:vAlign w:val="center"/>
                </w:tcPr>
                <w:p>
                  <w:pPr>
                    <w:widowControl/>
                    <w:jc w:val="center"/>
                    <w:textAlignment w:val="center"/>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天然气</w:t>
                  </w:r>
                </w:p>
              </w:tc>
              <w:tc>
                <w:tcPr>
                  <w:tcW w:w="3436" w:type="pct"/>
                  <w:gridSpan w:val="4"/>
                  <w:tcBorders>
                    <w:tl2br w:val="nil"/>
                    <w:tr2bl w:val="nil"/>
                  </w:tcBorders>
                  <w:noWrap/>
                  <w:vAlign w:val="center"/>
                </w:tcPr>
                <w:p>
                  <w:pPr>
                    <w:widowControl/>
                    <w:jc w:val="center"/>
                    <w:textAlignment w:val="center"/>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16.93万m</w:t>
                  </w:r>
                  <w:r>
                    <w:rPr>
                      <w:rFonts w:hint="eastAsia" w:cs="Times New Roman"/>
                      <w:b w:val="0"/>
                      <w:bCs w:val="0"/>
                      <w:color w:val="000000" w:themeColor="text1"/>
                      <w:sz w:val="21"/>
                      <w:szCs w:val="21"/>
                      <w:highlight w:val="none"/>
                      <w:vertAlign w:val="superscript"/>
                      <w:lang w:val="en-US" w:eastAsia="zh-CN"/>
                      <w14:textFill>
                        <w14:solidFill>
                          <w14:schemeClr w14:val="tx1"/>
                        </w14:solidFill>
                      </w14:textFill>
                    </w:rPr>
                    <w:t>3</w:t>
                  </w:r>
                  <w:r>
                    <w:rPr>
                      <w:rFonts w:hint="eastAsia" w:cs="Times New Roman"/>
                      <w:b w:val="0"/>
                      <w:bCs w:val="0"/>
                      <w:color w:val="000000" w:themeColor="text1"/>
                      <w:sz w:val="21"/>
                      <w:szCs w:val="21"/>
                      <w:highlight w:val="none"/>
                      <w:lang w:val="en-US" w:eastAsia="zh-CN"/>
                      <w14:textFill>
                        <w14:solidFill>
                          <w14:schemeClr w14:val="tx1"/>
                        </w14:solidFill>
                      </w14:textFill>
                    </w:rPr>
                    <w:t>/a</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7</w:t>
            </w:r>
            <w:r>
              <w:rPr>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公用工程</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ru-RU" w:eastAsia="ru-RU"/>
                <w14:textFill>
                  <w14:solidFill>
                    <w14:schemeClr w14:val="tx1"/>
                  </w14:solidFill>
                </w14:textFill>
              </w:rPr>
            </w:pPr>
            <w:r>
              <w:rPr>
                <w:rFonts w:hint="default" w:ascii="Times New Roman" w:hAnsi="Times New Roman" w:eastAsia="宋体" w:cs="Times New Roman"/>
                <w:color w:val="000000" w:themeColor="text1"/>
                <w:sz w:val="24"/>
                <w:highlight w:val="none"/>
                <w:lang w:val="ru-RU"/>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1</w:t>
            </w:r>
            <w:r>
              <w:rPr>
                <w:rFonts w:hint="default" w:ascii="Times New Roman" w:hAnsi="Times New Roman" w:eastAsia="宋体" w:cs="Times New Roman"/>
                <w:color w:val="000000" w:themeColor="text1"/>
                <w:sz w:val="24"/>
                <w:highlight w:val="none"/>
                <w:lang w:val="ru-RU"/>
                <w14:textFill>
                  <w14:solidFill>
                    <w14:schemeClr w14:val="tx1"/>
                  </w14:solidFill>
                </w14:textFill>
              </w:rPr>
              <w:t>）</w:t>
            </w:r>
            <w:r>
              <w:rPr>
                <w:rFonts w:hint="default" w:ascii="Times New Roman" w:hAnsi="Times New Roman" w:eastAsia="宋体" w:cs="Times New Roman"/>
                <w:color w:val="000000" w:themeColor="text1"/>
                <w:sz w:val="24"/>
                <w:highlight w:val="none"/>
                <w:lang w:val="ru-RU" w:eastAsia="ru-RU"/>
                <w14:textFill>
                  <w14:solidFill>
                    <w14:schemeClr w14:val="tx1"/>
                  </w14:solidFill>
                </w14:textFill>
              </w:rPr>
              <w:t>供水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default" w:ascii="Times New Roman" w:hAnsi="Times New Roman" w:eastAsia="宋体" w:cs="Times New Roman"/>
                <w:color w:val="000000" w:themeColor="text1"/>
                <w:sz w:val="24"/>
                <w:highlight w:val="none"/>
                <w:lang w:val="zh-CN"/>
                <w14:textFill>
                  <w14:solidFill>
                    <w14:schemeClr w14:val="tx1"/>
                  </w14:solidFill>
                </w14:textFill>
              </w:rPr>
              <w:t>项目用水环节主要为</w:t>
            </w:r>
            <w:r>
              <w:rPr>
                <w:rFonts w:hint="eastAsia" w:cs="Times New Roman"/>
                <w:color w:val="000000" w:themeColor="text1"/>
                <w:sz w:val="24"/>
                <w:highlight w:val="none"/>
                <w:lang w:val="en-US" w:eastAsia="zh-CN"/>
                <w14:textFill>
                  <w14:solidFill>
                    <w14:schemeClr w14:val="tx1"/>
                  </w14:solidFill>
                </w14:textFill>
              </w:rPr>
              <w:t>生活用水</w:t>
            </w:r>
            <w:r>
              <w:rPr>
                <w:rFonts w:hint="default" w:ascii="Times New Roman" w:hAnsi="Times New Roman" w:eastAsia="宋体" w:cs="Times New Roman"/>
                <w:color w:val="000000" w:themeColor="text1"/>
                <w:sz w:val="24"/>
                <w:highlight w:val="none"/>
                <w:lang w:val="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生产用水、</w:t>
            </w:r>
            <w:r>
              <w:rPr>
                <w:rFonts w:hint="default" w:ascii="Times New Roman" w:hAnsi="Times New Roman" w:eastAsia="宋体" w:cs="Times New Roman"/>
                <w:color w:val="000000" w:themeColor="text1"/>
                <w:sz w:val="24"/>
                <w:highlight w:val="none"/>
                <w:lang w:val="zh-CN"/>
                <w14:textFill>
                  <w14:solidFill>
                    <w14:schemeClr w14:val="tx1"/>
                  </w14:solidFill>
                </w14:textFill>
              </w:rPr>
              <w:t>循环冷却水补水及绿化用水等，均来自市政自来水。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bookmarkStart w:id="6" w:name="_Toc27494"/>
            <w:bookmarkStart w:id="7" w:name="_Toc24382"/>
            <w:r>
              <w:rPr>
                <w:rFonts w:hint="default" w:ascii="Times New Roman" w:hAnsi="Times New Roman" w:eastAsia="宋体" w:cs="Times New Roman"/>
                <w:color w:val="000000" w:themeColor="text1"/>
                <w:sz w:val="24"/>
                <w:highlight w:val="none"/>
                <w:lang w:val="zh-CN"/>
                <w14:textFill>
                  <w14:solidFill>
                    <w14:schemeClr w14:val="tx1"/>
                  </w14:solidFill>
                </w14:textFill>
              </w:rPr>
              <w:t>①办公生活用水</w:t>
            </w:r>
            <w:bookmarkEnd w:id="6"/>
            <w:bookmarkEnd w:id="7"/>
          </w:p>
          <w:p>
            <w:pPr>
              <w:keepNext/>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auto"/>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pPr>
            <w:bookmarkStart w:id="8" w:name="_Toc15719"/>
            <w:bookmarkStart w:id="9" w:name="_Toc2482"/>
            <w:r>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本项目劳动定员共计</w:t>
            </w:r>
            <w:r>
              <w:rPr>
                <w:rFonts w:hint="eastAsia"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15</w:t>
            </w:r>
            <w:r>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人，厂区设有宿舍，根据《新疆维吾尔自治区生活用水定额》，用水量按80L/人·d计算，年工作天</w:t>
            </w:r>
            <w:r>
              <w:rPr>
                <w:rFonts w:hint="eastAsia" w:cs="Times New Roman"/>
                <w:color w:val="000000" w:themeColor="text1"/>
                <w:spacing w:val="0"/>
                <w:kern w:val="0"/>
                <w:position w:val="0"/>
                <w:sz w:val="24"/>
                <w:szCs w:val="24"/>
                <w:lang w:val="en-US" w:eastAsia="zh-CN" w:bidi="zh-CN"/>
                <w14:textFill>
                  <w14:solidFill>
                    <w14:schemeClr w14:val="tx1"/>
                  </w14:solidFill>
                </w14:textFill>
              </w:rPr>
              <w:t>270</w:t>
            </w:r>
            <w:r>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d，则生活用水总量为</w:t>
            </w:r>
            <w:r>
              <w:rPr>
                <w:rFonts w:hint="eastAsia" w:cs="Times New Roman"/>
                <w:color w:val="000000" w:themeColor="text1"/>
                <w:spacing w:val="0"/>
                <w:kern w:val="0"/>
                <w:position w:val="0"/>
                <w:sz w:val="24"/>
                <w:szCs w:val="24"/>
                <w:lang w:val="en-US" w:eastAsia="zh-CN" w:bidi="zh-CN"/>
                <w14:textFill>
                  <w14:solidFill>
                    <w14:schemeClr w14:val="tx1"/>
                  </w14:solidFill>
                </w14:textFill>
              </w:rPr>
              <w:t>324</w:t>
            </w:r>
            <w:r>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m</w:t>
            </w:r>
            <w:r>
              <w:rPr>
                <w:rFonts w:hint="default" w:ascii="Times New Roman" w:hAnsi="Times New Roman" w:eastAsia="宋体" w:cs="Times New Roman"/>
                <w:color w:val="000000" w:themeColor="text1"/>
                <w:spacing w:val="0"/>
                <w:kern w:val="0"/>
                <w:position w:val="0"/>
                <w:sz w:val="24"/>
                <w:szCs w:val="24"/>
                <w:vertAlign w:val="superscript"/>
                <w:lang w:val="en-US" w:eastAsia="zh-CN" w:bidi="zh-CN"/>
                <w14:textFill>
                  <w14:solidFill>
                    <w14:schemeClr w14:val="tx1"/>
                  </w14:solidFill>
                </w14:textFill>
              </w:rPr>
              <w:t>3</w:t>
            </w:r>
            <w:r>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/a（</w:t>
            </w:r>
            <w:r>
              <w:rPr>
                <w:rFonts w:hint="eastAsia"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1.2</w:t>
            </w:r>
            <w:r>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m</w:t>
            </w:r>
            <w:r>
              <w:rPr>
                <w:rFonts w:hint="default" w:ascii="Times New Roman" w:hAnsi="Times New Roman" w:eastAsia="宋体" w:cs="Times New Roman"/>
                <w:color w:val="000000" w:themeColor="text1"/>
                <w:spacing w:val="0"/>
                <w:kern w:val="0"/>
                <w:position w:val="0"/>
                <w:sz w:val="24"/>
                <w:szCs w:val="24"/>
                <w:vertAlign w:val="superscript"/>
                <w:lang w:val="en-US" w:eastAsia="zh-CN" w:bidi="zh-CN"/>
                <w14:textFill>
                  <w14:solidFill>
                    <w14:schemeClr w14:val="tx1"/>
                  </w14:solidFill>
                </w14:textFill>
              </w:rPr>
              <w:t>3</w:t>
            </w:r>
            <w:r>
              <w:rPr>
                <w:rFonts w:hint="default" w:ascii="Times New Roman" w:hAnsi="Times New Roman" w:eastAsia="宋体" w:cs="Times New Roman"/>
                <w:color w:val="000000" w:themeColor="text1"/>
                <w:spacing w:val="0"/>
                <w:kern w:val="0"/>
                <w:position w:val="0"/>
                <w:sz w:val="24"/>
                <w:szCs w:val="24"/>
                <w:lang w:val="en-US" w:eastAsia="zh-CN" w:bidi="zh-CN"/>
                <w14:textFill>
                  <w14:solidFill>
                    <w14:schemeClr w14:val="tx1"/>
                  </w14:solidFill>
                </w14:textFill>
              </w:rPr>
              <w:t>/d）。</w:t>
            </w:r>
          </w:p>
          <w:bookmarkEnd w:id="8"/>
          <w:bookmarkEnd w:id="9"/>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②锅炉补水：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本项目使用1t/h的燃气蒸汽锅炉，蒸汽通过管道输送至酿酒间进行“混蒸混烧”，蒸汽与物料直接接触，蒸汽不回收，无冷凝水产生。锅炉每日运行8h，年运行270d，则锅炉补水量为2160m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③泡粮用水：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经建设单位提供的资料可知，本项目泡粮水及粮配比比例为1:0.6，因此泡粮用水为220.2m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④洗瓶用水：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本项目年清洗30万个500mL的酒瓶，每个酒瓶清洗用水量约0.1L，则清洗30万个酒瓶需用水量为30m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000000" w:themeColor="text1"/>
                <w:sz w:val="24"/>
                <w:highlight w:val="none"/>
                <w:lang w:val="en-US" w:eastAsia="zh-CN"/>
                <w14:textFill>
                  <w14:solidFill>
                    <w14:schemeClr w14:val="tx1"/>
                  </w14:solidFill>
                </w14:textFill>
              </w:rPr>
            </w:pPr>
            <w:bookmarkStart w:id="10" w:name="_Toc7246"/>
            <w:bookmarkStart w:id="11" w:name="_Toc11469"/>
            <w:r>
              <w:rPr>
                <w:rFonts w:hint="eastAsia" w:cs="Times New Roman"/>
                <w:color w:val="000000" w:themeColor="text1"/>
                <w:sz w:val="24"/>
                <w:highlight w:val="none"/>
                <w:lang w:val="en-US" w:eastAsia="zh-CN"/>
                <w14:textFill>
                  <w14:solidFill>
                    <w14:schemeClr w14:val="tx1"/>
                  </w14:solidFill>
                </w14:textFill>
              </w:rPr>
              <w:t>锅炉补水、泡粮用水、洗瓶用水均为纯水，本项目设置1套纯水制备设备，采用一级石英砂过滤+二级活性炭过滤+反渗透膜工艺，制水效率为80%，纯水用量为2410.2m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/a，则新鲜水用量为3012.75m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③</w:t>
            </w:r>
            <w:r>
              <w:rPr>
                <w:rFonts w:hint="default" w:cs="Times New Roman"/>
                <w:color w:val="000000" w:themeColor="text1"/>
                <w:sz w:val="24"/>
                <w:highlight w:val="none"/>
                <w:lang w:val="en-US" w:eastAsia="zh-CN"/>
                <w14:textFill>
                  <w14:solidFill>
                    <w14:schemeClr w14:val="tx1"/>
                  </w14:solidFill>
                </w14:textFill>
              </w:rPr>
              <w:t>设备清洗用水：本项目年运行</w:t>
            </w:r>
            <w:r>
              <w:rPr>
                <w:rFonts w:hint="eastAsia" w:cs="Times New Roman"/>
                <w:color w:val="000000" w:themeColor="text1"/>
                <w:sz w:val="24"/>
                <w:highlight w:val="none"/>
                <w:lang w:val="en-US" w:eastAsia="zh-CN"/>
                <w14:textFill>
                  <w14:solidFill>
                    <w14:schemeClr w14:val="tx1"/>
                  </w14:solidFill>
                </w14:textFill>
              </w:rPr>
              <w:t>270</w:t>
            </w:r>
            <w:r>
              <w:rPr>
                <w:rFonts w:hint="default" w:cs="Times New Roman"/>
                <w:color w:val="000000" w:themeColor="text1"/>
                <w:sz w:val="24"/>
                <w:highlight w:val="none"/>
                <w:lang w:val="en-US" w:eastAsia="zh-CN"/>
                <w14:textFill>
                  <w14:solidFill>
                    <w14:schemeClr w14:val="tx1"/>
                  </w14:solidFill>
                </w14:textFill>
              </w:rPr>
              <w:t>天，由建设单位提供的资料可知，本项目发酵罐、蒸粮箱、摊粮板、蒸馏罐清洗过程中不使用清洁剂仅水洗，其中除发酵罐外其余设备均需每天清洗，发酵罐为每批次清洗一次，清洗用水采用自来水，高压水枪进行冲洗，清洗过程不使用清洁剂仅水洗，最高日用水量约0.9m</w:t>
            </w:r>
            <w:r>
              <w:rPr>
                <w:rFonts w:hint="default" w:cs="Times New Roman"/>
                <w:color w:val="000000" w:themeColor="text1"/>
                <w:sz w:val="24"/>
                <w:highlight w:val="none"/>
                <w:vertAlign w:val="superscript"/>
                <w:lang w:val="en-US" w:eastAsia="zh-CN"/>
                <w14:textFill>
                  <w14:solidFill>
                    <w14:schemeClr w14:val="tx1"/>
                  </w14:solidFill>
                </w14:textFill>
              </w:rPr>
              <w:t>3</w:t>
            </w:r>
            <w:r>
              <w:rPr>
                <w:rFonts w:hint="default"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d</w:t>
            </w:r>
            <w:r>
              <w:rPr>
                <w:rFonts w:hint="default" w:cs="Times New Roman"/>
                <w:color w:val="000000" w:themeColor="text1"/>
                <w:sz w:val="24"/>
                <w:highlight w:val="none"/>
                <w:lang w:val="en-US" w:eastAsia="zh-CN"/>
                <w14:textFill>
                  <w14:solidFill>
                    <w14:schemeClr w14:val="tx1"/>
                  </w14:solidFill>
                </w14:textFill>
              </w:rPr>
              <w:t>，年用水量为</w:t>
            </w:r>
            <w:r>
              <w:rPr>
                <w:rFonts w:hint="eastAsia" w:cs="Times New Roman"/>
                <w:color w:val="000000" w:themeColor="text1"/>
                <w:sz w:val="24"/>
                <w:highlight w:val="none"/>
                <w:lang w:val="en-US" w:eastAsia="zh-CN"/>
                <w14:textFill>
                  <w14:solidFill>
                    <w14:schemeClr w14:val="tx1"/>
                  </w14:solidFill>
                </w14:textFill>
              </w:rPr>
              <w:t>243</w:t>
            </w:r>
            <w:r>
              <w:rPr>
                <w:rFonts w:hint="default" w:cs="Times New Roman"/>
                <w:color w:val="000000" w:themeColor="text1"/>
                <w:sz w:val="24"/>
                <w:highlight w:val="none"/>
                <w:lang w:val="en-US" w:eastAsia="zh-CN"/>
                <w14:textFill>
                  <w14:solidFill>
                    <w14:schemeClr w14:val="tx1"/>
                  </w14:solidFill>
                </w14:textFill>
              </w:rPr>
              <w:t>m</w:t>
            </w:r>
            <w:r>
              <w:rPr>
                <w:rFonts w:hint="default" w:cs="Times New Roman"/>
                <w:color w:val="000000" w:themeColor="text1"/>
                <w:sz w:val="24"/>
                <w:highlight w:val="none"/>
                <w:vertAlign w:val="superscript"/>
                <w:lang w:val="en-US" w:eastAsia="zh-CN"/>
                <w14:textFill>
                  <w14:solidFill>
                    <w14:schemeClr w14:val="tx1"/>
                  </w14:solidFill>
                </w14:textFill>
              </w:rPr>
              <w:t>3</w:t>
            </w:r>
            <w:r>
              <w:rPr>
                <w:rFonts w:hint="default" w:cs="Times New Roman"/>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④地面清洁用水：本项目生产车间需定期冲洗，面积为957m</w:t>
            </w:r>
            <w:r>
              <w:rPr>
                <w:rFonts w:hint="eastAsia" w:cs="Times New Roman"/>
                <w:color w:val="000000" w:themeColor="text1"/>
                <w:sz w:val="24"/>
                <w:highlight w:val="none"/>
                <w:vertAlign w:val="superscript"/>
                <w:lang w:val="en-US" w:eastAsia="zh-CN"/>
                <w14:textFill>
                  <w14:solidFill>
                    <w14:schemeClr w14:val="tx1"/>
                  </w14:solidFill>
                </w14:textFill>
              </w:rPr>
              <w:t>2</w:t>
            </w:r>
            <w:r>
              <w:rPr>
                <w:rFonts w:hint="eastAsia" w:cs="Times New Roman"/>
                <w:color w:val="000000" w:themeColor="text1"/>
                <w:sz w:val="24"/>
                <w:highlight w:val="none"/>
                <w:lang w:val="en-US" w:eastAsia="zh-CN"/>
                <w14:textFill>
                  <w14:solidFill>
                    <w14:schemeClr w14:val="tx1"/>
                  </w14:solidFill>
                </w14:textFill>
              </w:rPr>
              <w:t>，根据业主及经验数据，地面清洁采用用水为0.2L/m</w:t>
            </w:r>
            <w:r>
              <w:rPr>
                <w:rFonts w:hint="eastAsia" w:cs="Times New Roman"/>
                <w:color w:val="000000" w:themeColor="text1"/>
                <w:sz w:val="24"/>
                <w:highlight w:val="none"/>
                <w:vertAlign w:val="superscript"/>
                <w:lang w:val="en-US" w:eastAsia="zh-CN"/>
                <w14:textFill>
                  <w14:solidFill>
                    <w14:schemeClr w14:val="tx1"/>
                  </w14:solidFill>
                </w14:textFill>
              </w:rPr>
              <w:t>2</w:t>
            </w:r>
            <w:r>
              <w:rPr>
                <w:rFonts w:hint="eastAsia" w:cs="Times New Roman"/>
                <w:color w:val="000000" w:themeColor="text1"/>
                <w:sz w:val="24"/>
                <w:highlight w:val="none"/>
                <w:lang w:val="en-US" w:eastAsia="zh-CN"/>
                <w14:textFill>
                  <w14:solidFill>
                    <w14:schemeClr w14:val="tx1"/>
                  </w14:solidFill>
                </w14:textFill>
              </w:rPr>
              <w:t>*次，每两天冲洗一次，则年用水量为103.36m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/a，该用水为纯水制备过程中产生的浓水。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⑤循环冷却水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项目使用2台550型冷却器，循环水量为3m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/h，每日运行5h，年运行270d，补水量约为循环水量的10%，则补水量为405m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/a。该用水为纯水制备过程中产生的浓水。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⑥</w:t>
            </w:r>
            <w:r>
              <w:rPr>
                <w:rFonts w:hint="default" w:ascii="Times New Roman" w:hAnsi="Times New Roman" w:eastAsia="宋体" w:cs="Times New Roman"/>
                <w:color w:val="000000" w:themeColor="text1"/>
                <w:sz w:val="24"/>
                <w:highlight w:val="none"/>
                <w:lang w:val="zh-CN"/>
                <w14:textFill>
                  <w14:solidFill>
                    <w14:schemeClr w14:val="tx1"/>
                  </w14:solidFill>
                </w14:textFill>
              </w:rPr>
              <w:t>绿化用水</w:t>
            </w:r>
            <w:bookmarkEnd w:id="10"/>
            <w:bookmarkEnd w:id="11"/>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default" w:ascii="Times New Roman" w:hAnsi="Times New Roman" w:eastAsia="宋体" w:cs="Times New Roman"/>
                <w:color w:val="000000" w:themeColor="text1"/>
                <w:sz w:val="24"/>
                <w:highlight w:val="none"/>
                <w:lang w:val="zh-CN"/>
                <w14:textFill>
                  <w14:solidFill>
                    <w14:schemeClr w14:val="tx1"/>
                  </w14:solidFill>
                </w14:textFill>
              </w:rPr>
              <w:t>项目绿地面积约为</w:t>
            </w:r>
            <w:r>
              <w:rPr>
                <w:rFonts w:hint="eastAsia" w:cs="Times New Roman"/>
                <w:color w:val="000000" w:themeColor="text1"/>
                <w:sz w:val="24"/>
                <w:highlight w:val="none"/>
                <w:lang w:val="en-US" w:eastAsia="zh-CN"/>
                <w14:textFill>
                  <w14:solidFill>
                    <w14:schemeClr w14:val="tx1"/>
                  </w14:solidFill>
                </w14:textFill>
              </w:rPr>
              <w:t>1269.3</w:t>
            </w:r>
            <w:r>
              <w:rPr>
                <w:rFonts w:hint="default" w:ascii="Times New Roman" w:hAnsi="Times New Roman" w:eastAsia="宋体" w:cs="Times New Roman"/>
                <w:color w:val="000000" w:themeColor="text1"/>
                <w:sz w:val="24"/>
                <w:highlight w:val="none"/>
                <w:lang w:val="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val="zh-CN"/>
                <w14:textFill>
                  <w14:solidFill>
                    <w14:schemeClr w14:val="tx1"/>
                  </w14:solidFill>
                </w14:textFill>
              </w:rPr>
              <w:t>2</w:t>
            </w:r>
            <w:r>
              <w:rPr>
                <w:rFonts w:hint="eastAsia" w:cs="Times New Roman"/>
                <w:color w:val="000000" w:themeColor="text1"/>
                <w:sz w:val="24"/>
                <w:highlight w:val="none"/>
                <w:vertAlign w:val="baseline"/>
                <w:lang w:val="zh-CN"/>
                <w14:textFill>
                  <w14:solidFill>
                    <w14:schemeClr w14:val="tx1"/>
                  </w14:solidFill>
                </w14:textFill>
              </w:rPr>
              <w:t>（</w:t>
            </w:r>
            <w:r>
              <w:rPr>
                <w:rFonts w:hint="eastAsia" w:cs="Times New Roman"/>
                <w:color w:val="000000" w:themeColor="text1"/>
                <w:sz w:val="24"/>
                <w:highlight w:val="none"/>
                <w:vertAlign w:val="baseline"/>
                <w:lang w:val="en-US" w:eastAsia="zh-CN"/>
                <w14:textFill>
                  <w14:solidFill>
                    <w14:schemeClr w14:val="tx1"/>
                  </w14:solidFill>
                </w14:textFill>
              </w:rPr>
              <w:t>约1.90亩</w:t>
            </w:r>
            <w:r>
              <w:rPr>
                <w:rFonts w:hint="eastAsia" w:cs="Times New Roman"/>
                <w:color w:val="000000" w:themeColor="text1"/>
                <w:sz w:val="24"/>
                <w:highlight w:val="none"/>
                <w:vertAlign w:val="baseline"/>
                <w:lang w:val="zh-CN"/>
                <w14:textFill>
                  <w14:solidFill>
                    <w14:schemeClr w14:val="tx1"/>
                  </w14:solidFill>
                </w14:textFill>
              </w:rPr>
              <w:t>）</w:t>
            </w:r>
            <w:r>
              <w:rPr>
                <w:rFonts w:hint="default" w:ascii="Times New Roman" w:hAnsi="Times New Roman" w:eastAsia="宋体" w:cs="Times New Roman"/>
                <w:color w:val="000000" w:themeColor="text1"/>
                <w:sz w:val="24"/>
                <w:highlight w:val="none"/>
                <w:lang w:val="zh-CN"/>
                <w14:textFill>
                  <w14:solidFill>
                    <w14:schemeClr w14:val="tx1"/>
                  </w14:solidFill>
                </w14:textFill>
              </w:rPr>
              <w:t>，</w:t>
            </w:r>
            <w:r>
              <w:rPr>
                <w:rFonts w:hint="default" w:ascii="Times New Roman" w:hAnsi="Times New Roman" w:eastAsia="宋体" w:cs="Times New Roman"/>
                <w:color w:val="000000" w:themeColor="text1"/>
                <w:sz w:val="24"/>
                <w:highlight w:val="none"/>
                <w:lang w:val="zh-CN" w:eastAsia="zh-CN"/>
                <w14:textFill>
                  <w14:solidFill>
                    <w14:schemeClr w14:val="tx1"/>
                  </w14:solidFill>
                </w14:textFill>
              </w:rPr>
              <w:t>参考</w:t>
            </w:r>
            <w:r>
              <w:rPr>
                <w:rFonts w:hint="default" w:ascii="Times New Roman" w:hAnsi="Times New Roman" w:eastAsia="宋体" w:cs="Times New Roman"/>
                <w:color w:val="000000" w:themeColor="text1"/>
                <w:sz w:val="24"/>
                <w:highlight w:val="none"/>
                <w:lang w:val="zh-CN"/>
                <w14:textFill>
                  <w14:solidFill>
                    <w14:schemeClr w14:val="tx1"/>
                  </w14:solidFill>
                </w14:textFill>
              </w:rPr>
              <w:t>《新疆维吾尔自治区生活用水定额》</w:t>
            </w:r>
            <w:r>
              <w:rPr>
                <w:rFonts w:hint="eastAsia" w:cs="Times New Roman"/>
                <w:color w:val="000000" w:themeColor="text1"/>
                <w:sz w:val="24"/>
                <w:highlight w:val="none"/>
                <w:lang w:val="en-US" w:eastAsia="zh-CN"/>
                <w14:textFill>
                  <w14:solidFill>
                    <w14:schemeClr w14:val="tx1"/>
                  </w14:solidFill>
                </w14:textFill>
              </w:rPr>
              <w:t>中城市绿化-南疆地区用水定额为500~600立方米/亩·年（本项目取值600立方米/亩·年）</w:t>
            </w:r>
            <w:r>
              <w:rPr>
                <w:rFonts w:hint="default" w:ascii="Times New Roman" w:hAnsi="Times New Roman" w:eastAsia="宋体" w:cs="Times New Roman"/>
                <w:color w:val="000000" w:themeColor="text1"/>
                <w:sz w:val="24"/>
                <w:highlight w:val="none"/>
                <w:lang w:val="zh-CN"/>
                <w14:textFill>
                  <w14:solidFill>
                    <w14:schemeClr w14:val="tx1"/>
                  </w14:solidFill>
                </w14:textFill>
              </w:rPr>
              <w:t>，则绿化用水为</w:t>
            </w:r>
            <w:r>
              <w:rPr>
                <w:rFonts w:hint="eastAsia" w:cs="Times New Roman"/>
                <w:color w:val="000000" w:themeColor="text1"/>
                <w:sz w:val="24"/>
                <w:highlight w:val="none"/>
                <w:lang w:val="en-US" w:eastAsia="zh-CN"/>
                <w14:textFill>
                  <w14:solidFill>
                    <w14:schemeClr w14:val="tx1"/>
                  </w14:solidFill>
                </w14:textFill>
              </w:rPr>
              <w:t>1140</w:t>
            </w:r>
            <w:r>
              <w:rPr>
                <w:rFonts w:hint="default" w:ascii="Times New Roman" w:hAnsi="Times New Roman" w:eastAsia="宋体" w:cs="Times New Roman"/>
                <w:color w:val="000000" w:themeColor="text1"/>
                <w:sz w:val="24"/>
                <w:highlight w:val="none"/>
                <w:lang w:val="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val="zh-CN"/>
                <w14:textFill>
                  <w14:solidFill>
                    <w14:schemeClr w14:val="tx1"/>
                  </w14:solidFill>
                </w14:textFill>
              </w:rPr>
              <w:t>3</w:t>
            </w:r>
            <w:r>
              <w:rPr>
                <w:rFonts w:hint="default" w:ascii="Times New Roman" w:hAnsi="Times New Roman" w:eastAsia="宋体" w:cs="Times New Roman"/>
                <w:color w:val="000000" w:themeColor="text1"/>
                <w:sz w:val="24"/>
                <w:highlight w:val="none"/>
                <w:lang w:val="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default" w:ascii="Times New Roman" w:hAnsi="Times New Roman" w:eastAsia="宋体" w:cs="Times New Roman"/>
                <w:color w:val="000000" w:themeColor="text1"/>
                <w:sz w:val="24"/>
                <w:highlight w:val="none"/>
                <w:lang w:val="zh-CN"/>
                <w14:textFill>
                  <w14:solidFill>
                    <w14:schemeClr w14:val="tx1"/>
                  </w14:solidFill>
                </w14:textFill>
              </w:rPr>
              <w:t>综上所述，本项目运营期</w:t>
            </w:r>
            <w:r>
              <w:rPr>
                <w:rFonts w:hint="eastAsia" w:cs="Times New Roman"/>
                <w:color w:val="000000" w:themeColor="text1"/>
                <w:sz w:val="24"/>
                <w:highlight w:val="none"/>
                <w:lang w:val="en-US" w:eastAsia="zh-CN"/>
                <w14:textFill>
                  <w14:solidFill>
                    <w14:schemeClr w14:val="tx1"/>
                  </w14:solidFill>
                </w14:textFill>
              </w:rPr>
              <w:t>新鲜水总用量为4719.75</w:t>
            </w:r>
            <w:r>
              <w:rPr>
                <w:rFonts w:hint="default" w:ascii="Times New Roman" w:hAnsi="Times New Roman" w:eastAsia="宋体" w:cs="Times New Roman"/>
                <w:color w:val="000000" w:themeColor="text1"/>
                <w:sz w:val="24"/>
                <w:highlight w:val="none"/>
                <w:lang w:val="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val="zh-CN"/>
                <w14:textFill>
                  <w14:solidFill>
                    <w14:schemeClr w14:val="tx1"/>
                  </w14:solidFill>
                </w14:textFill>
              </w:rPr>
              <w:t>3</w:t>
            </w:r>
            <w:r>
              <w:rPr>
                <w:rFonts w:hint="default" w:ascii="Times New Roman" w:hAnsi="Times New Roman" w:eastAsia="宋体" w:cs="Times New Roman"/>
                <w:color w:val="000000" w:themeColor="text1"/>
                <w:sz w:val="24"/>
                <w:highlight w:val="none"/>
                <w:lang w:val="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default" w:ascii="Times New Roman" w:hAnsi="Times New Roman" w:eastAsia="宋体" w:cs="Times New Roman"/>
                <w:color w:val="000000" w:themeColor="text1"/>
                <w:sz w:val="24"/>
                <w:highlight w:val="none"/>
                <w:lang w:val="ru-RU"/>
                <w14:textFill>
                  <w14:solidFill>
                    <w14:schemeClr w14:val="tx1"/>
                  </w14:solidFill>
                </w14:textFill>
              </w:rPr>
              <w:t>（</w:t>
            </w:r>
            <w:r>
              <w:rPr>
                <w:rFonts w:hint="default" w:ascii="Times New Roman" w:hAnsi="Times New Roman" w:eastAsia="宋体" w:cs="Times New Roman"/>
                <w:color w:val="000000" w:themeColor="text1"/>
                <w:sz w:val="24"/>
                <w:highlight w:val="none"/>
                <w:lang w:val="zh-CN"/>
                <w14:textFill>
                  <w14:solidFill>
                    <w14:schemeClr w14:val="tx1"/>
                  </w14:solidFill>
                </w14:textFill>
              </w:rPr>
              <w:t>2</w:t>
            </w:r>
            <w:r>
              <w:rPr>
                <w:rFonts w:hint="default" w:ascii="Times New Roman" w:hAnsi="Times New Roman" w:eastAsia="宋体" w:cs="Times New Roman"/>
                <w:color w:val="000000" w:themeColor="text1"/>
                <w:sz w:val="24"/>
                <w:highlight w:val="none"/>
                <w:lang w:val="ru-RU"/>
                <w14:textFill>
                  <w14:solidFill>
                    <w14:schemeClr w14:val="tx1"/>
                  </w14:solidFill>
                </w14:textFill>
              </w:rPr>
              <w:t>）</w:t>
            </w:r>
            <w:r>
              <w:rPr>
                <w:rFonts w:hint="default" w:ascii="Times New Roman" w:hAnsi="Times New Roman" w:eastAsia="宋体" w:cs="Times New Roman"/>
                <w:color w:val="000000" w:themeColor="text1"/>
                <w:sz w:val="24"/>
                <w:highlight w:val="none"/>
                <w:lang w:val="zh-CN"/>
                <w14:textFill>
                  <w14:solidFill>
                    <w14:schemeClr w14:val="tx1"/>
                  </w14:solidFill>
                </w14:textFill>
              </w:rPr>
              <w:t>排水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default" w:ascii="Times New Roman" w:hAnsi="Times New Roman" w:eastAsia="宋体" w:cs="Times New Roman"/>
                <w:color w:val="000000" w:themeColor="text1"/>
                <w:sz w:val="24"/>
                <w:highlight w:val="none"/>
                <w:lang w:val="zh-CN"/>
                <w14:textFill>
                  <w14:solidFill>
                    <w14:schemeClr w14:val="tx1"/>
                  </w14:solidFill>
                </w14:textFill>
              </w:rPr>
              <w:t>项目运营期废水主要为生活污水、</w:t>
            </w:r>
            <w:r>
              <w:rPr>
                <w:rFonts w:hint="eastAsia" w:cs="Times New Roman"/>
                <w:color w:val="000000" w:themeColor="text1"/>
                <w:sz w:val="24"/>
                <w:highlight w:val="none"/>
                <w:lang w:val="en-US" w:eastAsia="zh-CN"/>
                <w14:textFill>
                  <w14:solidFill>
                    <w14:schemeClr w14:val="tx1"/>
                  </w14:solidFill>
                </w14:textFill>
              </w:rPr>
              <w:t>生产废水</w:t>
            </w:r>
            <w:r>
              <w:rPr>
                <w:rFonts w:hint="default" w:ascii="Times New Roman" w:hAnsi="Times New Roman" w:eastAsia="宋体" w:cs="Times New Roman"/>
                <w:color w:val="000000" w:themeColor="text1"/>
                <w:sz w:val="24"/>
                <w:highlight w:val="none"/>
                <w:lang w:val="zh-CN"/>
                <w14:textFill>
                  <w14:solidFill>
                    <w14:schemeClr w14:val="tx1"/>
                  </w14:solidFill>
                </w14:textFill>
              </w:rPr>
              <w:t>。</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本项目</w:t>
            </w:r>
            <w:r>
              <w:rPr>
                <w:rFonts w:hint="eastAsia" w:cs="Times New Roman"/>
                <w:color w:val="000000" w:themeColor="text1"/>
                <w:kern w:val="0"/>
                <w:sz w:val="24"/>
                <w:szCs w:val="24"/>
                <w:highlight w:val="none"/>
                <w:lang w:val="en-US" w:eastAsia="zh-CN"/>
                <w14:textFill>
                  <w14:solidFill>
                    <w14:schemeClr w14:val="tx1"/>
                  </w14:solidFill>
                </w14:textFill>
              </w:rPr>
              <w:t>生活污水排入园区下水管网</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生产废水集中收集后进入厂区污水处理站进行处理，处理工艺为格栅+调节池+气浮+UASB+AO，处理规模为8m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/d。处理后的废水满足《发酵酒精和白酒工业水污染物排放标准》（GB 27631-2011）及修改单中表2间接排放标准后通过园区下水管网进入园区污水处理厂进行处理</w:t>
            </w:r>
            <w:r>
              <w:rPr>
                <w:rFonts w:hint="default" w:ascii="Times New Roman" w:hAnsi="Times New Roman" w:eastAsia="宋体" w:cs="Times New Roman"/>
                <w:color w:val="000000" w:themeColor="text1"/>
                <w:sz w:val="24"/>
                <w:highlight w:val="none"/>
                <w:lang w:val="zh-CN"/>
                <w14:textFill>
                  <w14:solidFill>
                    <w14:schemeClr w14:val="tx1"/>
                  </w14:solidFill>
                </w14:textFill>
              </w:rPr>
              <w:t>。各排水情况具体如下：</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bookmarkStart w:id="12" w:name="_Toc25015"/>
            <w:bookmarkStart w:id="13" w:name="_Toc23305"/>
            <w:r>
              <w:rPr>
                <w:rFonts w:hint="eastAsia" w:cs="Times New Roman"/>
                <w:color w:val="000000" w:themeColor="text1"/>
                <w:sz w:val="24"/>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highlight w:val="none"/>
                <w:lang w:val="zh-CN"/>
                <w14:textFill>
                  <w14:solidFill>
                    <w14:schemeClr w14:val="tx1"/>
                  </w14:solidFill>
                </w14:textFill>
              </w:rPr>
              <w:t>生活污水</w:t>
            </w:r>
            <w:bookmarkEnd w:id="12"/>
            <w:bookmarkEnd w:id="13"/>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4"/>
                <w:szCs w:val="24"/>
                <w:highlight w:val="none"/>
                <w14:textFill>
                  <w14:solidFill>
                    <w14:schemeClr w14:val="tx1"/>
                  </w14:solidFill>
                </w14:textFill>
              </w:rPr>
              <w:t>生活污水的排放量按用水量的80%计，污水产生量为</w:t>
            </w:r>
            <w:r>
              <w:rPr>
                <w:rFonts w:hint="eastAsia" w:cs="Times New Roman"/>
                <w:color w:val="000000" w:themeColor="text1"/>
                <w:spacing w:val="0"/>
                <w:kern w:val="0"/>
                <w:position w:val="0"/>
                <w:sz w:val="24"/>
                <w:szCs w:val="24"/>
                <w:highlight w:val="none"/>
                <w:lang w:val="en-US" w:eastAsia="zh-CN"/>
                <w14:textFill>
                  <w14:solidFill>
                    <w14:schemeClr w14:val="tx1"/>
                  </w14:solidFill>
                </w14:textFill>
              </w:rPr>
              <w:t>259.2</w:t>
            </w:r>
            <w:r>
              <w:rPr>
                <w:rFonts w:hint="default" w:ascii="Times New Roman" w:hAnsi="Times New Roman" w:cs="Times New Roman"/>
                <w:color w:val="000000" w:themeColor="text1"/>
                <w:spacing w:val="0"/>
                <w:kern w:val="0"/>
                <w:position w:val="0"/>
                <w:sz w:val="24"/>
                <w:szCs w:val="24"/>
                <w14:textFill>
                  <w14:solidFill>
                    <w14:schemeClr w14:val="tx1"/>
                  </w14:solidFill>
                </w14:textFill>
              </w:rPr>
              <w:t>m</w:t>
            </w:r>
            <w:r>
              <w:rPr>
                <w:rFonts w:hint="default" w:ascii="Times New Roman" w:hAnsi="Times New Roman" w:cs="Times New Roman"/>
                <w:color w:val="000000" w:themeColor="text1"/>
                <w:spacing w:val="0"/>
                <w:kern w:val="0"/>
                <w:position w:val="0"/>
                <w:sz w:val="24"/>
                <w:szCs w:val="24"/>
                <w:vertAlign w:val="superscript"/>
                <w14:textFill>
                  <w14:solidFill>
                    <w14:schemeClr w14:val="tx1"/>
                  </w14:solidFill>
                </w14:textFill>
              </w:rPr>
              <w:t>3</w:t>
            </w:r>
            <w:r>
              <w:rPr>
                <w:rFonts w:hint="default" w:ascii="Times New Roman" w:hAnsi="Times New Roman" w:cs="Times New Roman"/>
                <w:color w:val="000000" w:themeColor="text1"/>
                <w:spacing w:val="0"/>
                <w:kern w:val="0"/>
                <w:position w:val="0"/>
                <w:sz w:val="24"/>
                <w:szCs w:val="24"/>
                <w14:textFill>
                  <w14:solidFill>
                    <w14:schemeClr w14:val="tx1"/>
                  </w14:solidFill>
                </w14:textFill>
              </w:rPr>
              <w:t>/a（</w:t>
            </w:r>
            <w:r>
              <w:rPr>
                <w:rFonts w:hint="eastAsia" w:cs="Times New Roman"/>
                <w:color w:val="000000" w:themeColor="text1"/>
                <w:spacing w:val="0"/>
                <w:kern w:val="0"/>
                <w:position w:val="0"/>
                <w:sz w:val="24"/>
                <w:szCs w:val="24"/>
                <w:highlight w:val="none"/>
                <w:lang w:val="en-US" w:eastAsia="zh-CN"/>
                <w14:textFill>
                  <w14:solidFill>
                    <w14:schemeClr w14:val="tx1"/>
                  </w14:solidFill>
                </w14:textFill>
              </w:rPr>
              <w:t>0.96</w:t>
            </w:r>
            <w:r>
              <w:rPr>
                <w:rFonts w:hint="default" w:ascii="Times New Roman" w:hAnsi="Times New Roman" w:eastAsia="宋体" w:cs="Times New Roman"/>
                <w:color w:val="000000" w:themeColor="text1"/>
                <w:spacing w:val="0"/>
                <w:kern w:val="0"/>
                <w:position w:val="0"/>
                <w:sz w:val="24"/>
                <w:szCs w:val="24"/>
                <w:highlight w:val="none"/>
                <w14:textFill>
                  <w14:solidFill>
                    <w14:schemeClr w14:val="tx1"/>
                  </w14:solidFill>
                </w14:textFill>
              </w:rPr>
              <w:t>m</w:t>
            </w:r>
            <w:r>
              <w:rPr>
                <w:rFonts w:hint="default" w:ascii="Times New Roman" w:hAnsi="Times New Roman" w:eastAsia="宋体" w:cs="Times New Roman"/>
                <w:color w:val="000000" w:themeColor="text1"/>
                <w:spacing w:val="0"/>
                <w:kern w:val="0"/>
                <w:position w:val="0"/>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pacing w:val="0"/>
                <w:kern w:val="0"/>
                <w:position w:val="0"/>
                <w:sz w:val="24"/>
                <w:szCs w:val="24"/>
                <w:highlight w:val="none"/>
                <w14:textFill>
                  <w14:solidFill>
                    <w14:schemeClr w14:val="tx1"/>
                  </w14:solidFill>
                </w14:textFill>
              </w:rPr>
              <w:t>/d</w:t>
            </w:r>
            <w:r>
              <w:rPr>
                <w:rFonts w:hint="default" w:ascii="Times New Roman" w:hAnsi="Times New Roman" w:cs="Times New Roman"/>
                <w:color w:val="000000" w:themeColor="text1"/>
                <w:spacing w:val="0"/>
                <w:kern w:val="0"/>
                <w:position w:val="0"/>
                <w:sz w:val="24"/>
                <w:szCs w:val="24"/>
                <w14:textFill>
                  <w14:solidFill>
                    <w14:schemeClr w14:val="tx1"/>
                  </w14:solidFill>
                </w14:textFill>
              </w:rPr>
              <w:t>）。项目产生的</w:t>
            </w:r>
            <w:r>
              <w:rPr>
                <w:rFonts w:hint="default" w:ascii="Times New Roman" w:hAnsi="Times New Roman" w:cs="Times New Roman"/>
                <w:color w:val="000000" w:themeColor="text1"/>
                <w:spacing w:val="0"/>
                <w:kern w:val="0"/>
                <w:position w:val="0"/>
                <w:sz w:val="24"/>
                <w:szCs w:val="24"/>
                <w:lang w:val="en-US" w:eastAsia="zh-CN"/>
                <w14:textFill>
                  <w14:solidFill>
                    <w14:schemeClr w14:val="tx1"/>
                  </w14:solidFill>
                </w14:textFill>
              </w:rPr>
              <w:t>生活污水排入园区下水管网</w:t>
            </w:r>
            <w:r>
              <w:rPr>
                <w:rFonts w:hint="eastAsia" w:cs="Times New Roman"/>
                <w:color w:val="000000" w:themeColor="text1"/>
                <w:spacing w:val="0"/>
                <w:kern w:val="0"/>
                <w:position w:val="0"/>
                <w:sz w:val="24"/>
                <w:szCs w:val="24"/>
                <w:lang w:val="en-US" w:eastAsia="zh-CN"/>
                <w14:textFill>
                  <w14:solidFill>
                    <w14:schemeClr w14:val="tx1"/>
                  </w14:solidFill>
                </w14:textFill>
              </w:rPr>
              <w:t>，最终进入焉耆县污水处理厂处理。</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bookmarkStart w:id="14" w:name="_Toc3675"/>
            <w:bookmarkStart w:id="15" w:name="_Toc2161"/>
            <w:r>
              <w:rPr>
                <w:rFonts w:hint="eastAsia" w:cs="Times New Roman"/>
                <w:color w:val="000000" w:themeColor="text1"/>
                <w:sz w:val="24"/>
                <w:highlight w:val="none"/>
                <w:lang w:val="en-US" w:eastAsia="zh-CN"/>
                <w14:textFill>
                  <w14:solidFill>
                    <w14:schemeClr w14:val="tx1"/>
                  </w14:solidFill>
                </w14:textFill>
              </w:rPr>
              <w:t>②</w:t>
            </w:r>
            <w:bookmarkEnd w:id="14"/>
            <w:bookmarkEnd w:id="15"/>
            <w:r>
              <w:rPr>
                <w:rFonts w:hint="eastAsia" w:cs="Times New Roman"/>
                <w:color w:val="000000" w:themeColor="text1"/>
                <w:sz w:val="24"/>
                <w:highlight w:val="none"/>
                <w:lang w:val="en-US" w:eastAsia="zh-CN"/>
                <w14:textFill>
                  <w14:solidFill>
                    <w14:schemeClr w14:val="tx1"/>
                  </w14:solidFill>
                </w14:textFill>
              </w:rPr>
              <w:t>锅底水：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本项目在蒸粮、馏酒过程会在锅底产生锅底水，根据白酒生产经验，冷凝水约为蒸汽使用量的20%，则锅底水产生量为1.6m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/d，432m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/a。在馏酒、蒸煮过程中会有一些料醅漏入锅底，致使锅底水含有大量的糖类、酸类、醇类、酯类等物质。在蒸粮、馏酒过程中，锅底水中属于高浓度有机废水，进入项目自建污水处理站进行处理。</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 xml:space="preserve">③黄浆水 </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黄浆水，又称窖底水，是窖内酒醅向下层渗漏的黄色淋浆水。本项目为清香型固态发酵白酒项目，清香型白酒发酵的特点地缸低温发酵，根据建设单位实际运行情况，发酵结束后，酒醅出缸时，发酵好的糁有一定的黏稠度，但并不滴水，没有黄浆水产生。</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④粮食在泡粮、蒸粮、馏酒后产生的酒糟含水率约80%，酒糟在晾晒场晾晒后外售至周边养殖户，酒糟在晾晒过程产生的少量渗滤液，与酒糟一同外售。</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⑤泡粮水粮食吸收后进入蒸粮工艺，与蒸粮过程中吸收的少量水分一同进入发酵工艺，不外排。</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⑥洗瓶废水产生量约为用水量的80%，则洗瓶废水产生量为24m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bookmarkStart w:id="16" w:name="_Toc25294"/>
            <w:bookmarkStart w:id="17" w:name="_Toc4058"/>
            <w:r>
              <w:rPr>
                <w:rFonts w:hint="eastAsia" w:cs="Times New Roman"/>
                <w:color w:val="000000" w:themeColor="text1"/>
                <w:sz w:val="24"/>
                <w:highlight w:val="none"/>
                <w:lang w:val="en-US" w:eastAsia="zh-CN"/>
                <w14:textFill>
                  <w14:solidFill>
                    <w14:schemeClr w14:val="tx1"/>
                  </w14:solidFill>
                </w14:textFill>
              </w:rPr>
              <w:t>⑦纯水制备排浓水：本项目全自动清洗设备内纯水制备设备制水率为80%，因此纯水制备排浓水产生量为602.55m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⑧设备清洗废水：本项目设备清洗采用高压水枪，损耗率约为10%，因此设备清洗废水产生量为218.7m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/a。排入厂区内污水处理厂处理。</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⑨地面清洁废水：本项目地面清洁废水产生系数按80%计，则产生量为82.688m</w:t>
            </w:r>
            <w:r>
              <w:rPr>
                <w:rFonts w:hint="eastAsia" w:cs="Times New Roman"/>
                <w:color w:val="000000" w:themeColor="text1"/>
                <w:sz w:val="24"/>
                <w:highlight w:val="none"/>
                <w:vertAlign w:val="superscript"/>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/a。</w:t>
            </w:r>
          </w:p>
          <w:bookmarkEnd w:id="16"/>
          <w:bookmarkEnd w:id="17"/>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5364480" cy="3677920"/>
                  <wp:effectExtent l="0" t="0" r="0" b="0"/>
                  <wp:docPr id="8" name="ECB019B1-382A-4266-B25C-5B523AA43C14-1" descr="C:/Users/MyPC/AppData/Local/Temp/wps.TrpZq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1" descr="C:/Users/MyPC/AppData/Local/Temp/wps.TrpZqOwps"/>
                          <pic:cNvPicPr>
                            <a:picLocks noChangeAspect="1"/>
                          </pic:cNvPicPr>
                        </pic:nvPicPr>
                        <pic:blipFill>
                          <a:blip r:embed="rId7"/>
                          <a:stretch>
                            <a:fillRect/>
                          </a:stretch>
                        </pic:blipFill>
                        <pic:spPr>
                          <a:xfrm>
                            <a:off x="0" y="0"/>
                            <a:ext cx="5364480" cy="36779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s="Times New Roman"/>
                <w:color w:val="000000" w:themeColor="text1"/>
                <w:sz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图2-1       水平衡</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图（单位：m</w:t>
            </w:r>
            <w:r>
              <w:rPr>
                <w:rFonts w:hint="eastAsia" w:ascii="Times New Roman" w:hAnsi="Times New Roman" w:eastAsia="宋体" w:cs="Times New Roman"/>
                <w:b/>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/a）</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val="ru-RU"/>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3</w:t>
            </w:r>
            <w:r>
              <w:rPr>
                <w:rFonts w:hint="default" w:ascii="Times New Roman" w:hAnsi="Times New Roman" w:eastAsia="宋体" w:cs="Times New Roman"/>
                <w:color w:val="000000" w:themeColor="text1"/>
                <w:sz w:val="24"/>
                <w:highlight w:val="none"/>
                <w:lang w:val="ru-RU"/>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供电</w:t>
            </w:r>
          </w:p>
          <w:p>
            <w:pPr>
              <w:pStyle w:val="110"/>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项目</w:t>
            </w:r>
            <w:r>
              <w:rPr>
                <w:rFonts w:hint="eastAsia" w:ascii="Times New Roman" w:hAnsi="Times New Roman" w:cs="Times New Roman"/>
                <w:color w:val="000000" w:themeColor="text1"/>
                <w:sz w:val="24"/>
                <w:szCs w:val="24"/>
                <w:highlight w:val="none"/>
                <w:lang w:val="en-US" w:eastAsia="zh-CN" w:bidi="ar-SA"/>
                <w14:textFill>
                  <w14:solidFill>
                    <w14:schemeClr w14:val="tx1"/>
                  </w14:solidFill>
                </w14:textFill>
              </w:rPr>
              <w:t>用电接</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园区</w:t>
            </w:r>
            <w:r>
              <w:rPr>
                <w:rFonts w:hint="eastAsia" w:ascii="Times New Roman" w:hAnsi="Times New Roman" w:cs="Times New Roman"/>
                <w:color w:val="000000" w:themeColor="text1"/>
                <w:sz w:val="24"/>
                <w:szCs w:val="24"/>
                <w:highlight w:val="none"/>
                <w:lang w:val="en-US" w:eastAsia="zh-CN" w:bidi="ar-SA"/>
                <w14:textFill>
                  <w14:solidFill>
                    <w14:schemeClr w14:val="tx1"/>
                  </w14:solidFill>
                </w14:textFill>
              </w:rPr>
              <w:t>电网</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，可满足项目用电负荷的需求。</w:t>
            </w:r>
          </w:p>
          <w:p>
            <w:pPr>
              <w:pStyle w:val="110"/>
              <w:keepNext w:val="0"/>
              <w:keepLines w:val="0"/>
              <w:pageBreakBefore w:val="0"/>
              <w:widowControl w:val="0"/>
              <w:numPr>
                <w:ilvl w:val="0"/>
                <w:numId w:val="3"/>
              </w:numPr>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bidi="ar-SA"/>
                <w14:textFill>
                  <w14:solidFill>
                    <w14:schemeClr w14:val="tx1"/>
                  </w14:solidFill>
                </w14:textFill>
              </w:rPr>
              <w:t>供热</w:t>
            </w:r>
          </w:p>
          <w:p>
            <w:pPr>
              <w:pStyle w:val="1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000000" w:themeColor="text1"/>
                <w:sz w:val="24"/>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bidi="ar-SA"/>
                <w14:textFill>
                  <w14:solidFill>
                    <w14:schemeClr w14:val="tx1"/>
                  </w14:solidFill>
                </w14:textFill>
              </w:rPr>
              <w:t>本项目冬季供暖接焉耆县集中供热管网，生产采用1台1t/h的燃气蒸汽锅炉供热。</w:t>
            </w:r>
          </w:p>
          <w:p>
            <w:pPr>
              <w:pStyle w:val="110"/>
              <w:keepNext w:val="0"/>
              <w:keepLines w:val="0"/>
              <w:pageBreakBefore w:val="0"/>
              <w:widowControl w:val="0"/>
              <w:numPr>
                <w:ilvl w:val="0"/>
                <w:numId w:val="4"/>
              </w:numPr>
              <w:kinsoku/>
              <w:wordWrap/>
              <w:overflowPunct/>
              <w:topLinePunct w:val="0"/>
              <w:bidi w:val="0"/>
              <w:adjustRightInd w:val="0"/>
              <w:snapToGrid w:val="0"/>
              <w:spacing w:line="360" w:lineRule="auto"/>
              <w:ind w:left="0" w:leftChars="0" w:firstLine="0" w:firstLineChars="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劳动定员及工作制度</w:t>
            </w:r>
          </w:p>
          <w:p>
            <w:pPr>
              <w:pStyle w:val="14"/>
              <w:keepNext w:val="0"/>
              <w:keepLines w:val="0"/>
              <w:pageBreakBefore w:val="0"/>
              <w:widowControl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000000" w:themeColor="text1"/>
                <w:sz w:val="24"/>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8"/>
                <w:highlight w:val="none"/>
                <w:lang w:val="en-US" w:eastAsia="zh-CN"/>
                <w14:textFill>
                  <w14:solidFill>
                    <w14:schemeClr w14:val="tx1"/>
                  </w14:solidFill>
                </w14:textFill>
              </w:rPr>
              <w:t>本项目劳动定员为15人，年工作日为270天（2月～7月，9月～11月），实行1班制每班工作8小时，年工作2160小时。</w:t>
            </w:r>
          </w:p>
          <w:p>
            <w:pPr>
              <w:pStyle w:val="14"/>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平面布置</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情况</w:t>
            </w:r>
          </w:p>
          <w:p>
            <w:pPr>
              <w:pStyle w:val="110"/>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b/>
                <w:bCs w:val="0"/>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highlight w:val="none"/>
                <w14:textFill>
                  <w14:solidFill>
                    <w14:schemeClr w14:val="tx1"/>
                  </w14:solidFill>
                </w14:textFill>
              </w:rPr>
              <w:t>项目区主入口位于项目区</w:t>
            </w:r>
            <w:r>
              <w:rPr>
                <w:rFonts w:hint="eastAsia" w:ascii="Times New Roman" w:hAnsi="Times New Roman" w:cs="Times New Roman"/>
                <w:color w:val="000000" w:themeColor="text1"/>
                <w:kern w:val="0"/>
                <w:highlight w:val="none"/>
                <w:lang w:val="en-US" w:eastAsia="zh-CN"/>
                <w14:textFill>
                  <w14:solidFill>
                    <w14:schemeClr w14:val="tx1"/>
                  </w14:solidFill>
                </w14:textFill>
              </w:rPr>
              <w:t>南</w:t>
            </w:r>
            <w:r>
              <w:rPr>
                <w:rFonts w:hint="default" w:ascii="Times New Roman" w:hAnsi="Times New Roman" w:cs="Times New Roman"/>
                <w:color w:val="000000" w:themeColor="text1"/>
                <w:kern w:val="0"/>
                <w:highlight w:val="none"/>
                <w14:textFill>
                  <w14:solidFill>
                    <w14:schemeClr w14:val="tx1"/>
                  </w14:solidFill>
                </w14:textFill>
              </w:rPr>
              <w:t>侧，</w:t>
            </w:r>
            <w:r>
              <w:rPr>
                <w:rFonts w:hint="eastAsia" w:ascii="Times New Roman" w:hAnsi="Times New Roman" w:cs="Times New Roman"/>
                <w:color w:val="000000" w:themeColor="text1"/>
                <w:kern w:val="0"/>
                <w:highlight w:val="none"/>
                <w:lang w:val="en-US" w:eastAsia="zh-CN"/>
                <w14:textFill>
                  <w14:solidFill>
                    <w14:schemeClr w14:val="tx1"/>
                  </w14:solidFill>
                </w14:textFill>
              </w:rPr>
              <w:t>生活区位于厂区南侧，自南向北依次为综合办公楼、发酵车间、生产车间，东侧自南向北依次为原料库、成品库。</w:t>
            </w:r>
            <w:r>
              <w:rPr>
                <w:rFonts w:hint="default" w:ascii="Times New Roman" w:hAnsi="Times New Roman" w:cs="Times New Roman"/>
                <w:color w:val="000000" w:themeColor="text1"/>
                <w:kern w:val="0"/>
                <w:highlight w:val="none"/>
                <w14:textFill>
                  <w14:solidFill>
                    <w14:schemeClr w14:val="tx1"/>
                  </w14:solidFill>
                </w14:textFill>
              </w:rPr>
              <w:t>厂房周围</w:t>
            </w:r>
            <w:r>
              <w:rPr>
                <w:rFonts w:hint="eastAsia" w:ascii="Times New Roman" w:hAnsi="Times New Roman" w:cs="Times New Roman"/>
                <w:color w:val="000000" w:themeColor="text1"/>
                <w:kern w:val="0"/>
                <w:highlight w:val="none"/>
                <w:lang w:eastAsia="zh-CN"/>
                <w14:textFill>
                  <w14:solidFill>
                    <w14:schemeClr w14:val="tx1"/>
                  </w14:solidFill>
                </w14:textFill>
              </w:rPr>
              <w:t>采用</w:t>
            </w:r>
            <w:r>
              <w:rPr>
                <w:rFonts w:hint="default" w:ascii="Times New Roman" w:hAnsi="Times New Roman" w:cs="Times New Roman"/>
                <w:color w:val="000000" w:themeColor="text1"/>
                <w:kern w:val="0"/>
                <w:highlight w:val="none"/>
                <w:lang w:eastAsia="zh-CN"/>
                <w14:textFill>
                  <w14:solidFill>
                    <w14:schemeClr w14:val="tx1"/>
                  </w14:solidFill>
                </w14:textFill>
              </w:rPr>
              <w:t>环形</w:t>
            </w:r>
            <w:r>
              <w:rPr>
                <w:rFonts w:hint="default" w:ascii="Times New Roman" w:hAnsi="Times New Roman" w:cs="Times New Roman"/>
                <w:color w:val="000000" w:themeColor="text1"/>
                <w:kern w:val="0"/>
                <w:highlight w:val="none"/>
                <w14:textFill>
                  <w14:solidFill>
                    <w14:schemeClr w14:val="tx1"/>
                  </w14:solidFill>
                </w14:textFill>
              </w:rPr>
              <w:t>道路，并与厂区道路网连接，车间周围道路宽度为6m可确保车辆通行。</w:t>
            </w:r>
            <w:r>
              <w:rPr>
                <w:rFonts w:hint="default" w:ascii="Times New Roman" w:hAnsi="Times New Roman" w:cs="Times New Roman"/>
                <w:color w:val="000000" w:themeColor="text1"/>
                <w:kern w:val="0"/>
                <w:highlight w:val="none"/>
                <w:lang w:val="en-US" w:eastAsia="zh-CN"/>
                <w14:textFill>
                  <w14:solidFill>
                    <w14:schemeClr w14:val="tx1"/>
                  </w14:solidFill>
                </w14:textFill>
              </w:rPr>
              <w:t>项目区主导风向为</w:t>
            </w:r>
            <w:r>
              <w:rPr>
                <w:rFonts w:hint="eastAsia" w:ascii="Times New Roman" w:hAnsi="Times New Roman" w:cs="Times New Roman"/>
                <w:color w:val="000000" w:themeColor="text1"/>
                <w:kern w:val="0"/>
                <w:highlight w:val="none"/>
                <w:lang w:val="en-US" w:eastAsia="zh-CN"/>
                <w14:textFill>
                  <w14:solidFill>
                    <w14:schemeClr w14:val="tx1"/>
                  </w14:solidFill>
                </w14:textFill>
              </w:rPr>
              <w:t>西</w:t>
            </w:r>
            <w:r>
              <w:rPr>
                <w:rFonts w:hint="default" w:ascii="Times New Roman" w:hAnsi="Times New Roman" w:cs="Times New Roman"/>
                <w:color w:val="000000" w:themeColor="text1"/>
                <w:kern w:val="0"/>
                <w:highlight w:val="none"/>
                <w:lang w:val="en-US" w:eastAsia="zh-CN"/>
                <w14:textFill>
                  <w14:solidFill>
                    <w14:schemeClr w14:val="tx1"/>
                  </w14:solidFill>
                </w14:textFill>
              </w:rPr>
              <w:t>北风，</w:t>
            </w:r>
            <w:r>
              <w:rPr>
                <w:rFonts w:hint="eastAsia" w:ascii="Times New Roman" w:hAnsi="Times New Roman" w:cs="Times New Roman"/>
                <w:color w:val="000000" w:themeColor="text1"/>
                <w:kern w:val="0"/>
                <w:highlight w:val="none"/>
                <w:lang w:val="en-US" w:eastAsia="zh-CN"/>
                <w14:textFill>
                  <w14:solidFill>
                    <w14:schemeClr w14:val="tx1"/>
                  </w14:solidFill>
                </w14:textFill>
              </w:rPr>
              <w:t>生活区位于主导风向的侧方向。</w:t>
            </w:r>
            <w:r>
              <w:rPr>
                <w:rFonts w:hint="default" w:ascii="Times New Roman" w:hAnsi="Times New Roman" w:cs="Times New Roman"/>
                <w:color w:val="000000" w:themeColor="text1"/>
                <w:kern w:val="0"/>
                <w:highlight w:val="none"/>
                <w14:textFill>
                  <w14:solidFill>
                    <w14:schemeClr w14:val="tx1"/>
                  </w14:solidFill>
                </w14:textFill>
              </w:rPr>
              <w:t>从环境</w:t>
            </w:r>
            <w:r>
              <w:rPr>
                <w:rFonts w:hint="eastAsia" w:ascii="Times New Roman" w:hAnsi="Times New Roman" w:cs="Times New Roman"/>
                <w:color w:val="000000" w:themeColor="text1"/>
                <w:kern w:val="0"/>
                <w:highlight w:val="none"/>
                <w:lang w:val="en-US" w:eastAsia="zh-CN"/>
                <w14:textFill>
                  <w14:solidFill>
                    <w14:schemeClr w14:val="tx1"/>
                  </w14:solidFill>
                </w14:textFill>
              </w:rPr>
              <w:t>保护</w:t>
            </w:r>
            <w:r>
              <w:rPr>
                <w:rFonts w:hint="default" w:ascii="Times New Roman" w:hAnsi="Times New Roman" w:cs="Times New Roman"/>
                <w:color w:val="000000" w:themeColor="text1"/>
                <w:kern w:val="0"/>
                <w:highlight w:val="none"/>
                <w14:textFill>
                  <w14:solidFill>
                    <w14:schemeClr w14:val="tx1"/>
                  </w14:solidFill>
                </w14:textFill>
              </w:rPr>
              <w:t>角度，项目平面布局合理，项目平面布置见：附图</w:t>
            </w:r>
            <w:r>
              <w:rPr>
                <w:rFonts w:hint="eastAsia" w:ascii="Times New Roman" w:hAnsi="Times New Roman" w:cs="Times New Roman"/>
                <w:color w:val="000000" w:themeColor="text1"/>
                <w:kern w:val="0"/>
                <w:highlight w:val="none"/>
                <w:lang w:val="en-US" w:eastAsia="zh-CN"/>
                <w14:textFill>
                  <w14:solidFill>
                    <w14:schemeClr w14:val="tx1"/>
                  </w14:solidFill>
                </w14:textFill>
              </w:rPr>
              <w:t>2-3</w:t>
            </w:r>
            <w:r>
              <w:rPr>
                <w:rFonts w:hint="default" w:ascii="Times New Roman" w:hAnsi="Times New Roman" w:cs="Times New Roman"/>
                <w:color w:val="000000" w:themeColor="text1"/>
                <w:kern w:val="0"/>
                <w:highlight w:val="none"/>
                <w14:textFill>
                  <w14:solidFill>
                    <w14:schemeClr w14:val="tx1"/>
                  </w14:solidFill>
                </w14:textFill>
              </w:rPr>
              <w:t>建设项目平面布置图。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4" w:hRule="atLeast"/>
          <w:jc w:val="center"/>
        </w:trPr>
        <w:tc>
          <w:tcPr>
            <w:tcW w:w="455" w:type="dxa"/>
            <w:tcBorders>
              <w:tl2br w:val="nil"/>
              <w:tr2bl w:val="nil"/>
            </w:tcBorders>
            <w:noWrap w:val="0"/>
            <w:vAlign w:val="center"/>
          </w:tcPr>
          <w:p>
            <w:pPr>
              <w:pStyle w:val="29"/>
              <w:adjustRightInd w:val="0"/>
              <w:snapToGrid w:val="0"/>
              <w:spacing w:before="0" w:beforeAutospacing="0" w:after="0" w:afterAutospacing="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工艺流程和产排污环节</w:t>
            </w:r>
          </w:p>
        </w:tc>
        <w:tc>
          <w:tcPr>
            <w:tcW w:w="8605" w:type="dxa"/>
            <w:tcBorders>
              <w:tl2br w:val="nil"/>
              <w:tr2bl w:val="nil"/>
            </w:tcBorders>
            <w:noWrap w:val="0"/>
            <w:vAlign w:val="top"/>
          </w:tcPr>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before="157" w:beforeLines="50" w:line="360" w:lineRule="auto"/>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一</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施工期</w:t>
            </w:r>
          </w:p>
          <w:p>
            <w:pPr>
              <w:spacing w:line="360" w:lineRule="auto"/>
              <w:ind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施工期主要是</w:t>
            </w:r>
            <w:r>
              <w:rPr>
                <w:rFonts w:hint="eastAsia" w:cs="Times New Roman"/>
                <w:color w:val="000000" w:themeColor="text1"/>
                <w:sz w:val="24"/>
                <w:szCs w:val="24"/>
                <w:highlight w:val="none"/>
                <w:lang w:val="en-US" w:eastAsia="zh-CN"/>
                <w14:textFill>
                  <w14:solidFill>
                    <w14:schemeClr w14:val="tx1"/>
                  </w14:solidFill>
                </w14:textFill>
              </w:rPr>
              <w:t>厂房建设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、装修、设备安装调试等。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施工期对周围的大气环境、水环境、声环境产生一定的影响，应加以控制，以减少对周围环境的影响。随着施工的结束，对周围声环境影响也会随之消失。</w:t>
            </w:r>
          </w:p>
          <w:p>
            <w:pPr>
              <w:spacing w:line="360" w:lineRule="auto"/>
              <w:jc w:val="center"/>
              <w:rPr>
                <w:rFonts w:hint="eastAsia" w:eastAsia="宋体"/>
                <w:b/>
                <w:bCs/>
                <w:color w:val="000000" w:themeColor="text1"/>
                <w:sz w:val="24"/>
                <w:highlight w:val="none"/>
                <w:lang w:eastAsia="zh-CN"/>
                <w14:textFill>
                  <w14:solidFill>
                    <w14:schemeClr w14:val="tx1"/>
                  </w14:solidFill>
                </w14:textFill>
              </w:rPr>
            </w:pPr>
            <w:r>
              <w:rPr>
                <w:rFonts w:hint="eastAsia" w:eastAsia="宋体"/>
                <w:b/>
                <w:bCs/>
                <w:color w:val="000000" w:themeColor="text1"/>
                <w:sz w:val="24"/>
                <w:highlight w:val="none"/>
                <w:lang w:eastAsia="zh-CN"/>
                <w14:textFill>
                  <w14:solidFill>
                    <w14:schemeClr w14:val="tx1"/>
                  </w14:solidFill>
                </w14:textFill>
              </w:rPr>
              <w:drawing>
                <wp:inline distT="0" distB="0" distL="114300" distR="114300">
                  <wp:extent cx="4753610" cy="993775"/>
                  <wp:effectExtent l="0" t="0" r="0" b="0"/>
                  <wp:docPr id="4" name="图片 106" descr="C:/Users/admin/AppData/Local/Temp/wps.yUkYi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6" descr="C:/Users/admin/AppData/Local/Temp/wps.yUkYiiwps"/>
                          <pic:cNvPicPr>
                            <a:picLocks noChangeAspect="1"/>
                          </pic:cNvPicPr>
                        </pic:nvPicPr>
                        <pic:blipFill>
                          <a:blip r:embed="rId8"/>
                          <a:srcRect t="11291" b="7763"/>
                          <a:stretch>
                            <a:fillRect/>
                          </a:stretch>
                        </pic:blipFill>
                        <pic:spPr>
                          <a:xfrm>
                            <a:off x="0" y="0"/>
                            <a:ext cx="4753610" cy="993775"/>
                          </a:xfrm>
                          <a:prstGeom prst="rect">
                            <a:avLst/>
                          </a:prstGeom>
                          <a:noFill/>
                          <a:ln>
                            <a:noFill/>
                          </a:ln>
                        </pic:spPr>
                      </pic:pic>
                    </a:graphicData>
                  </a:graphic>
                </wp:inline>
              </w:drawing>
            </w:r>
          </w:p>
          <w:p>
            <w:pPr>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图</w:t>
            </w:r>
            <w:r>
              <w:rPr>
                <w:rFonts w:hint="eastAsia"/>
                <w:b/>
                <w:bCs/>
                <w:color w:val="000000" w:themeColor="text1"/>
                <w:sz w:val="24"/>
                <w:highlight w:val="none"/>
                <w:lang w:val="en-US" w:eastAsia="zh-CN"/>
                <w14:textFill>
                  <w14:solidFill>
                    <w14:schemeClr w14:val="tx1"/>
                  </w14:solidFill>
                </w14:textFill>
              </w:rPr>
              <w:t xml:space="preserve">2-2  </w:t>
            </w:r>
            <w:r>
              <w:rPr>
                <w:rFonts w:hint="eastAsia"/>
                <w:b/>
                <w:bCs/>
                <w:color w:val="000000" w:themeColor="text1"/>
                <w:sz w:val="24"/>
                <w:highlight w:val="none"/>
                <w14:textFill>
                  <w14:solidFill>
                    <w14:schemeClr w14:val="tx1"/>
                  </w14:solidFill>
                </w14:textFill>
              </w:rPr>
              <w:t>施工期</w:t>
            </w:r>
            <w:r>
              <w:rPr>
                <w:b/>
                <w:bCs/>
                <w:color w:val="000000" w:themeColor="text1"/>
                <w:sz w:val="24"/>
                <w:highlight w:val="none"/>
                <w14:textFill>
                  <w14:solidFill>
                    <w14:schemeClr w14:val="tx1"/>
                  </w14:solidFill>
                </w14:textFill>
              </w:rPr>
              <w:t>工艺流程及产污环节示意图</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（1）基础工程</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建设项目基础工程主要为围挡、土地平整、场地的填土和夯实，会产生一定量的粉尘、建筑垃圾和噪声污染。</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（2）主体工程</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建设项目主体工程主要为</w:t>
            </w:r>
            <w:r>
              <w:rPr>
                <w:rFonts w:hint="eastAsia" w:cs="Times New Roman"/>
                <w:color w:val="000000" w:themeColor="text1"/>
                <w:sz w:val="24"/>
                <w:szCs w:val="24"/>
                <w:highlight w:val="none"/>
                <w:lang w:val="en-US" w:eastAsia="zh-CN"/>
                <w14:textFill>
                  <w14:solidFill>
                    <w14:schemeClr w14:val="tx1"/>
                  </w14:solidFill>
                </w14:textFill>
              </w:rPr>
              <w:t>厂房建设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。根据施工图纸，进行钢筋的配料和加工，安装于架好的模板之处，及时连续</w:t>
            </w:r>
            <w:r>
              <w:rPr>
                <w:rFonts w:hint="eastAsia" w:cs="Times New Roman"/>
                <w:color w:val="000000" w:themeColor="text1"/>
                <w:sz w:val="24"/>
                <w:szCs w:val="24"/>
                <w:highlight w:val="none"/>
                <w:lang w:val="en-US" w:eastAsia="zh-CN"/>
                <w14:textFill>
                  <w14:solidFill>
                    <w14:schemeClr w14:val="tx1"/>
                  </w14:solidFill>
                </w14:textFill>
              </w:rPr>
              <w:t>灌注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混凝土并捣实使混凝土成型。建设项目在砖墙砌筑时，首先进行水泥砂浆的调配，然后再挂线砌筑。主要污染物是施工机械噪声、粉尘和排放的尾气等。</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（3）装饰工程</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利用各种加工机械对各部位按图进行加工，同时进行屋顶制作，然后采用浅色环保型高级涂料和浅灰色仿石涂料喷刷，最后对外露的铁件进行油漆施工，本工段时间较短，且使用的涂料和油漆量较少，仅有少量的有机废气挥发。</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（4）设备安装</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包括厂区生产线各槽体、管线、污染防治设备等进行安装施工，主要污染物是施工机械产生的噪声、尾气及废弃包装等。</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（5）输入线路、工程验收</w:t>
            </w:r>
          </w:p>
          <w:p>
            <w:pPr>
              <w:spacing w:line="360" w:lineRule="auto"/>
              <w:ind w:firstLine="480" w:firstLineChars="200"/>
              <w:rPr>
                <w:rFonts w:hint="eastAsia"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工程建设完工后需进行全站电缆线路的对接及调试，线路及设备调试检验完成后进行工程验收。</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二</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运营期</w:t>
            </w:r>
            <w:r>
              <w:rPr>
                <w:rFonts w:hint="eastAsia" w:cs="Times New Roman"/>
                <w:b/>
                <w:bCs/>
                <w:color w:val="000000" w:themeColor="text1"/>
                <w:sz w:val="24"/>
                <w:szCs w:val="24"/>
                <w:highlight w:val="none"/>
                <w:lang w:val="en-US" w:eastAsia="zh-CN"/>
                <w14:textFill>
                  <w14:solidFill>
                    <w14:schemeClr w14:val="tx1"/>
                  </w14:solidFill>
                </w14:textFill>
              </w:rPr>
              <w:t>工艺流程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drawing>
                <wp:inline distT="0" distB="0" distL="114300" distR="114300">
                  <wp:extent cx="2270760" cy="3871595"/>
                  <wp:effectExtent l="0" t="0" r="0" b="0"/>
                  <wp:docPr id="12" name="ECB019B1-382A-4266-B25C-5B523AA43C14-2" descr="C:/Users/MyPC/AppData/Local/Temp/wps.tZVaH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2" descr="C:/Users/MyPC/AppData/Local/Temp/wps.tZVaHRwps"/>
                          <pic:cNvPicPr>
                            <a:picLocks noChangeAspect="1"/>
                          </pic:cNvPicPr>
                        </pic:nvPicPr>
                        <pic:blipFill>
                          <a:blip r:embed="rId9"/>
                          <a:stretch>
                            <a:fillRect/>
                          </a:stretch>
                        </pic:blipFill>
                        <pic:spPr>
                          <a:xfrm>
                            <a:off x="0" y="0"/>
                            <a:ext cx="2270760" cy="38715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outlineLvl w:val="9"/>
              <w:rPr>
                <w:rFonts w:hint="default" w:eastAsia="宋体"/>
                <w:color w:val="000000" w:themeColor="text1"/>
                <w:lang w:val="en-US" w:eastAsia="zh-CN"/>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图2-4   工艺流程及产污环节图</w:t>
            </w:r>
          </w:p>
          <w:p>
            <w:pPr>
              <w:adjustRightInd w:val="0"/>
              <w:snapToGrid w:val="0"/>
              <w:spacing w:line="360" w:lineRule="auto"/>
              <w:ind w:left="481" w:leftChars="229"/>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工艺简述：</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项目采用发酵工艺，以高粱、大米、</w:t>
            </w:r>
            <w:r>
              <w:rPr>
                <w:rFonts w:hint="eastAsia" w:cs="Times New Roman"/>
                <w:bCs/>
                <w:color w:val="000000" w:themeColor="text1"/>
                <w:sz w:val="24"/>
                <w:highlight w:val="none"/>
                <w:lang w:val="en-US" w:eastAsia="zh-CN"/>
                <w14:textFill>
                  <w14:solidFill>
                    <w14:schemeClr w14:val="tx1"/>
                  </w14:solidFill>
                </w14:textFill>
              </w:rPr>
              <w:t>小麦、玉米</w:t>
            </w:r>
            <w:r>
              <w:rPr>
                <w:rFonts w:ascii="Times New Roman" w:hAnsi="Times New Roman" w:eastAsia="宋体" w:cs="Times New Roman"/>
                <w:bCs/>
                <w:color w:val="000000" w:themeColor="text1"/>
                <w:sz w:val="24"/>
                <w:highlight w:val="none"/>
                <w14:textFill>
                  <w14:solidFill>
                    <w14:schemeClr w14:val="tx1"/>
                  </w14:solidFill>
                </w14:textFill>
              </w:rPr>
              <w:t>为原料，经酒曲有益微生物的糖化发酵作用，酿造而成米香型白酒，</w:t>
            </w:r>
            <w:r>
              <w:rPr>
                <w:rFonts w:hint="eastAsia" w:cs="Times New Roman"/>
                <w:bCs/>
                <w:color w:val="000000" w:themeColor="text1"/>
                <w:sz w:val="24"/>
                <w:highlight w:val="none"/>
                <w:lang w:val="en-US" w:eastAsia="zh-CN"/>
                <w14:textFill>
                  <w14:solidFill>
                    <w14:schemeClr w14:val="tx1"/>
                  </w14:solidFill>
                </w14:textFill>
              </w:rPr>
              <w:t>本项目外购的粮食均不需再进行破碎，</w:t>
            </w:r>
            <w:r>
              <w:rPr>
                <w:rFonts w:ascii="Times New Roman" w:hAnsi="Times New Roman" w:eastAsia="宋体" w:cs="Times New Roman"/>
                <w:bCs/>
                <w:color w:val="000000" w:themeColor="text1"/>
                <w:sz w:val="24"/>
                <w:highlight w:val="none"/>
                <w14:textFill>
                  <w14:solidFill>
                    <w14:schemeClr w14:val="tx1"/>
                  </w14:solidFill>
                </w14:textFill>
              </w:rPr>
              <w:t>工艺流程简述如下：</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配料：本项目粮料均采用外购免洗</w:t>
            </w:r>
            <w:r>
              <w:rPr>
                <w:rFonts w:hint="eastAsia" w:cs="Times New Roman"/>
                <w:bCs/>
                <w:color w:val="000000" w:themeColor="text1"/>
                <w:sz w:val="24"/>
                <w:highlight w:val="none"/>
                <w:lang w:val="en-US" w:eastAsia="zh-CN"/>
                <w14:textFill>
                  <w14:solidFill>
                    <w14:schemeClr w14:val="tx1"/>
                  </w14:solidFill>
                </w14:textFill>
              </w:rPr>
              <w:t>粮</w:t>
            </w:r>
            <w:r>
              <w:rPr>
                <w:rFonts w:ascii="Times New Roman" w:hAnsi="Times New Roman" w:eastAsia="宋体" w:cs="Times New Roman"/>
                <w:bCs/>
                <w:color w:val="000000" w:themeColor="text1"/>
                <w:sz w:val="24"/>
                <w:highlight w:val="none"/>
                <w14:textFill>
                  <w14:solidFill>
                    <w14:schemeClr w14:val="tx1"/>
                  </w14:solidFill>
                </w14:textFill>
              </w:rPr>
              <w:t>，其杂质等总量≤0.001。因此外购米类无需除杂，脱壳、破碎，蒸前无需清洗，仅需按照一定比例进行配比，按照所需原料量由人工将粮食按照种类运输至泡</w:t>
            </w:r>
            <w:r>
              <w:rPr>
                <w:rFonts w:hint="eastAsia" w:cs="Times New Roman"/>
                <w:bCs/>
                <w:color w:val="000000" w:themeColor="text1"/>
                <w:sz w:val="24"/>
                <w:highlight w:val="none"/>
                <w:lang w:val="en-US" w:eastAsia="zh-CN"/>
                <w14:textFill>
                  <w14:solidFill>
                    <w14:schemeClr w14:val="tx1"/>
                  </w14:solidFill>
                </w14:textFill>
              </w:rPr>
              <w:t>粮</w:t>
            </w:r>
            <w:r>
              <w:rPr>
                <w:rFonts w:ascii="Times New Roman" w:hAnsi="Times New Roman" w:eastAsia="宋体" w:cs="Times New Roman"/>
                <w:bCs/>
                <w:color w:val="000000" w:themeColor="text1"/>
                <w:sz w:val="24"/>
                <w:highlight w:val="none"/>
                <w14:textFill>
                  <w14:solidFill>
                    <w14:schemeClr w14:val="tx1"/>
                  </w14:solidFill>
                </w14:textFill>
              </w:rPr>
              <w:t>区，后拆袋进入后续工序。</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泡</w:t>
            </w:r>
            <w:r>
              <w:rPr>
                <w:rFonts w:hint="eastAsia" w:cs="Times New Roman"/>
                <w:bCs/>
                <w:color w:val="000000" w:themeColor="text1"/>
                <w:sz w:val="24"/>
                <w:highlight w:val="none"/>
                <w:lang w:val="en-US" w:eastAsia="zh-CN"/>
                <w14:textFill>
                  <w14:solidFill>
                    <w14:schemeClr w14:val="tx1"/>
                  </w14:solidFill>
                </w14:textFill>
              </w:rPr>
              <w:t>粮</w:t>
            </w:r>
            <w:r>
              <w:rPr>
                <w:rFonts w:ascii="Times New Roman" w:hAnsi="Times New Roman" w:eastAsia="宋体" w:cs="Times New Roman"/>
                <w:bCs/>
                <w:color w:val="000000" w:themeColor="text1"/>
                <w:sz w:val="24"/>
                <w:highlight w:val="none"/>
                <w14:textFill>
                  <w14:solidFill>
                    <w14:schemeClr w14:val="tx1"/>
                  </w14:solidFill>
                </w14:textFill>
              </w:rPr>
              <w:t>：本项目外购粮料含水率一般为13</w:t>
            </w:r>
            <w:r>
              <w:rPr>
                <w:rFonts w:hint="eastAsia" w:cs="Times New Roman"/>
                <w:bCs/>
                <w:color w:val="000000" w:themeColor="text1"/>
                <w:sz w:val="24"/>
                <w:highlight w:val="none"/>
                <w:lang w:val="en-US" w:eastAsia="zh-CN"/>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15%，放入浸泡槽中，浸泡过程中</w:t>
            </w:r>
            <w:r>
              <w:rPr>
                <w:rFonts w:hint="eastAsia" w:cs="Times New Roman"/>
                <w:bCs/>
                <w:color w:val="000000" w:themeColor="text1"/>
                <w:sz w:val="24"/>
                <w:highlight w:val="none"/>
                <w:lang w:val="en-US" w:eastAsia="zh-CN"/>
                <w14:textFill>
                  <w14:solidFill>
                    <w14:schemeClr w14:val="tx1"/>
                  </w14:solidFill>
                </w14:textFill>
              </w:rPr>
              <w:t>粮</w:t>
            </w:r>
            <w:r>
              <w:rPr>
                <w:rFonts w:ascii="Times New Roman" w:hAnsi="Times New Roman" w:eastAsia="宋体" w:cs="Times New Roman"/>
                <w:bCs/>
                <w:color w:val="000000" w:themeColor="text1"/>
                <w:sz w:val="24"/>
                <w:highlight w:val="none"/>
                <w14:textFill>
                  <w14:solidFill>
                    <w14:schemeClr w14:val="tx1"/>
                  </w14:solidFill>
                </w14:textFill>
              </w:rPr>
              <w:t>：水=1</w:t>
            </w:r>
            <w:r>
              <w:rPr>
                <w:rFonts w:hint="eastAsia" w:cs="Times New Roman"/>
                <w:bCs/>
                <w:color w:val="000000" w:themeColor="text1"/>
                <w:sz w:val="24"/>
                <w:highlight w:val="none"/>
                <w:lang w:eastAsia="zh-CN"/>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0.6，浸泡槽每次加入0.5t原料，0.3t水进行浸泡，让原料充分吸收水分，浸米时间为2-4小时，经浸泡后的原料，含水分为35%</w:t>
            </w:r>
            <w:r>
              <w:rPr>
                <w:rFonts w:hint="eastAsia" w:cs="Times New Roman"/>
                <w:bCs/>
                <w:color w:val="000000" w:themeColor="text1"/>
                <w:sz w:val="24"/>
                <w:highlight w:val="none"/>
                <w:lang w:eastAsia="zh-CN"/>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40%。浸泡以</w:t>
            </w:r>
            <w:r>
              <w:rPr>
                <w:rFonts w:hint="eastAsia" w:cs="Times New Roman"/>
                <w:bCs/>
                <w:color w:val="000000" w:themeColor="text1"/>
                <w:sz w:val="24"/>
                <w:highlight w:val="none"/>
                <w:lang w:val="en-US" w:eastAsia="zh-CN"/>
                <w14:textFill>
                  <w14:solidFill>
                    <w14:schemeClr w14:val="tx1"/>
                  </w14:solidFill>
                </w14:textFill>
              </w:rPr>
              <w:t>粮</w:t>
            </w:r>
            <w:r>
              <w:rPr>
                <w:rFonts w:ascii="Times New Roman" w:hAnsi="Times New Roman" w:eastAsia="宋体" w:cs="Times New Roman"/>
                <w:bCs/>
                <w:color w:val="000000" w:themeColor="text1"/>
                <w:sz w:val="24"/>
                <w:highlight w:val="none"/>
                <w14:textFill>
                  <w14:solidFill>
                    <w14:schemeClr w14:val="tx1"/>
                  </w14:solidFill>
                </w14:textFill>
              </w:rPr>
              <w:t>的颗粒保持完整，用手指捏</w:t>
            </w:r>
            <w:r>
              <w:rPr>
                <w:rFonts w:hint="eastAsia" w:cs="Times New Roman"/>
                <w:bCs/>
                <w:color w:val="000000" w:themeColor="text1"/>
                <w:sz w:val="24"/>
                <w:highlight w:val="none"/>
                <w:lang w:val="en-US" w:eastAsia="zh-CN"/>
                <w14:textFill>
                  <w14:solidFill>
                    <w14:schemeClr w14:val="tx1"/>
                  </w14:solidFill>
                </w14:textFill>
              </w:rPr>
              <w:t>粮</w:t>
            </w:r>
            <w:r>
              <w:rPr>
                <w:rFonts w:ascii="Times New Roman" w:hAnsi="Times New Roman" w:eastAsia="宋体" w:cs="Times New Roman"/>
                <w:bCs/>
                <w:color w:val="000000" w:themeColor="text1"/>
                <w:sz w:val="24"/>
                <w:highlight w:val="none"/>
                <w14:textFill>
                  <w14:solidFill>
                    <w14:schemeClr w14:val="tx1"/>
                  </w14:solidFill>
                </w14:textFill>
              </w:rPr>
              <w:t>粒能成粉状、但无粒心为适宜。浸泡的目的是通过细菌和酸化菌的自然作用使米浆水产生一定的酸度，提供给酵母一个微酸的生产环境，使酵母繁殖发酵旺盛，同时也可提高淀粉的水解质量，保证糖化发酵的正常。</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蒸粮：将浸泡后的</w:t>
            </w:r>
            <w:r>
              <w:rPr>
                <w:rFonts w:hint="eastAsia" w:cs="Times New Roman"/>
                <w:bCs/>
                <w:color w:val="000000" w:themeColor="text1"/>
                <w:sz w:val="24"/>
                <w:highlight w:val="none"/>
                <w:lang w:val="en-US" w:eastAsia="zh-CN"/>
                <w14:textFill>
                  <w14:solidFill>
                    <w14:schemeClr w14:val="tx1"/>
                  </w14:solidFill>
                </w14:textFill>
              </w:rPr>
              <w:t>粮</w:t>
            </w:r>
            <w:r>
              <w:rPr>
                <w:rFonts w:ascii="Times New Roman" w:hAnsi="Times New Roman" w:eastAsia="宋体" w:cs="Times New Roman"/>
                <w:bCs/>
                <w:color w:val="000000" w:themeColor="text1"/>
                <w:sz w:val="24"/>
                <w:highlight w:val="none"/>
                <w14:textFill>
                  <w14:solidFill>
                    <w14:schemeClr w14:val="tx1"/>
                  </w14:solidFill>
                </w14:textFill>
              </w:rPr>
              <w:t>放入蒸粮机中蒸饭，时间计时60分钟，蒸饭压力0.095±0.05MPa，为达到均匀受热本项目采用全自动蒸粮机，为</w:t>
            </w:r>
            <w:r>
              <w:rPr>
                <w:rFonts w:hint="eastAsia" w:cs="Times New Roman"/>
                <w:bCs/>
                <w:color w:val="000000" w:themeColor="text1"/>
                <w:sz w:val="24"/>
                <w:highlight w:val="none"/>
                <w:lang w:val="en-US" w:eastAsia="zh-CN"/>
                <w14:textFill>
                  <w14:solidFill>
                    <w14:schemeClr w14:val="tx1"/>
                  </w14:solidFill>
                </w14:textFill>
              </w:rPr>
              <w:t>蒸汽</w:t>
            </w:r>
            <w:r>
              <w:rPr>
                <w:rFonts w:ascii="Times New Roman" w:hAnsi="Times New Roman" w:eastAsia="宋体" w:cs="Times New Roman"/>
                <w:bCs/>
                <w:color w:val="000000" w:themeColor="text1"/>
                <w:sz w:val="24"/>
                <w:highlight w:val="none"/>
                <w14:textFill>
                  <w14:solidFill>
                    <w14:schemeClr w14:val="tx1"/>
                  </w14:solidFill>
                </w14:textFill>
              </w:rPr>
              <w:t>加热，</w:t>
            </w:r>
            <w:r>
              <w:rPr>
                <w:rFonts w:hint="eastAsia" w:cs="Times New Roman"/>
                <w:bCs/>
                <w:color w:val="000000" w:themeColor="text1"/>
                <w:sz w:val="24"/>
                <w:highlight w:val="none"/>
                <w:lang w:val="en-US" w:eastAsia="zh-CN"/>
                <w14:textFill>
                  <w14:solidFill>
                    <w14:schemeClr w14:val="tx1"/>
                  </w14:solidFill>
                </w14:textFill>
              </w:rPr>
              <w:t>由1t/h的燃气蒸汽锅炉提供，</w:t>
            </w:r>
            <w:r>
              <w:rPr>
                <w:rFonts w:ascii="Times New Roman" w:hAnsi="Times New Roman" w:eastAsia="宋体" w:cs="Times New Roman"/>
                <w:bCs/>
                <w:color w:val="000000" w:themeColor="text1"/>
                <w:sz w:val="24"/>
                <w:highlight w:val="none"/>
                <w14:textFill>
                  <w14:solidFill>
                    <w14:schemeClr w14:val="tx1"/>
                  </w14:solidFill>
                </w14:textFill>
              </w:rPr>
              <w:t>要</w:t>
            </w:r>
            <w:r>
              <w:rPr>
                <w:rFonts w:hint="eastAsia" w:cs="Times New Roman"/>
                <w:bCs/>
                <w:color w:val="000000" w:themeColor="text1"/>
                <w:sz w:val="24"/>
                <w:highlight w:val="none"/>
                <w:lang w:eastAsia="zh-CN"/>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熟而不黏，内无生心</w:t>
            </w:r>
            <w:r>
              <w:rPr>
                <w:rFonts w:hint="eastAsia" w:cs="Times New Roman"/>
                <w:bCs/>
                <w:color w:val="000000" w:themeColor="text1"/>
                <w:sz w:val="24"/>
                <w:highlight w:val="none"/>
                <w:lang w:eastAsia="zh-CN"/>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，以利于后续酒曲及酒饼的发酵，该步骤除</w:t>
            </w:r>
            <w:r>
              <w:rPr>
                <w:rFonts w:hint="eastAsia" w:cs="Times New Roman"/>
                <w:bCs/>
                <w:color w:val="000000" w:themeColor="text1"/>
                <w:sz w:val="24"/>
                <w:highlight w:val="none"/>
                <w:lang w:val="en-US" w:eastAsia="zh-CN"/>
                <w14:textFill>
                  <w14:solidFill>
                    <w14:schemeClr w14:val="tx1"/>
                  </w14:solidFill>
                </w14:textFill>
              </w:rPr>
              <w:t>蒸汽</w:t>
            </w:r>
            <w:r>
              <w:rPr>
                <w:rFonts w:ascii="Times New Roman" w:hAnsi="Times New Roman" w:eastAsia="宋体" w:cs="Times New Roman"/>
                <w:bCs/>
                <w:color w:val="000000" w:themeColor="text1"/>
                <w:sz w:val="24"/>
                <w:highlight w:val="none"/>
                <w14:textFill>
                  <w14:solidFill>
                    <w14:schemeClr w14:val="tx1"/>
                  </w14:solidFill>
                </w14:textFill>
              </w:rPr>
              <w:t>外，无其他助剂。蒸粮工序产生蒸粮废气，主要成分为水蒸气</w:t>
            </w:r>
            <w:r>
              <w:rPr>
                <w:rFonts w:hint="eastAsia" w:cs="Times New Roman"/>
                <w:bCs/>
                <w:color w:val="000000" w:themeColor="text1"/>
                <w:sz w:val="24"/>
                <w:highlight w:val="none"/>
                <w:lang w:eastAsia="zh-CN"/>
                <w14:textFill>
                  <w14:solidFill>
                    <w14:schemeClr w14:val="tx1"/>
                  </w14:solidFill>
                </w14:textFill>
              </w:rPr>
              <w:t>，</w:t>
            </w:r>
            <w:r>
              <w:rPr>
                <w:rFonts w:hint="eastAsia" w:cs="Times New Roman"/>
                <w:bCs/>
                <w:color w:val="000000" w:themeColor="text1"/>
                <w:sz w:val="24"/>
                <w:highlight w:val="none"/>
                <w:lang w:val="en-US" w:eastAsia="zh-CN"/>
                <w14:textFill>
                  <w14:solidFill>
                    <w14:schemeClr w14:val="tx1"/>
                  </w14:solidFill>
                </w14:textFill>
              </w:rPr>
              <w:t>通过换气扇排出厂房</w:t>
            </w:r>
            <w:r>
              <w:rPr>
                <w:rFonts w:ascii="Times New Roman" w:hAnsi="Times New Roman" w:eastAsia="宋体" w:cs="Times New Roman"/>
                <w:bCs/>
                <w:color w:val="000000" w:themeColor="text1"/>
                <w:sz w:val="24"/>
                <w:highlight w:val="none"/>
                <w14:textFill>
                  <w14:solidFill>
                    <w14:schemeClr w14:val="tx1"/>
                  </w14:solidFill>
                </w14:textFill>
              </w:rPr>
              <w:t>。</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摊凉拌曲：经蒸煮后的粮料经人工移至摊粮板上，并采用风冷措施，让水分蒸发，使大米冷却降温，料温的降低温度与气候有关。气温在10℃以下时，料温降到30～32℃；气温在10以上时，料温降到25～28℃。该过程中水分损失，降温后的熟粮含水率约为50%。采用人工拌料的方式，加入酒曲，粮料与酒曲的比例为200:1，使酒曲充分搅拌，搅拌到完全冷却且没有结团状态。</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发酵：本项目白酒为半固态法白酒是又称半液态法、半液态半固态发酵法白酒。保留了用小曲还以大米为料等工艺特征，发酵后的产品属米（蜜）香型白酒。</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其发酵工艺为：将拌匀后的原料，移入发酵罐内，然后按照原料：水比例为2</w:t>
            </w:r>
            <w:r>
              <w:rPr>
                <w:rFonts w:hint="eastAsia" w:cs="Times New Roman"/>
                <w:bCs/>
                <w:color w:val="000000" w:themeColor="text1"/>
                <w:sz w:val="24"/>
                <w:highlight w:val="none"/>
                <w:lang w:eastAsia="zh-CN"/>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3，将水加入发酵罐内，且发酵时仅放入发酵罐容积的80%的发酵料搅拌均匀，使其能够充分发酵。发酵车间在分体空调的作用下，保持车间内温度维持在25-28℃区间，使发酵罐中原料发酵约720-800h</w:t>
            </w:r>
            <w:r>
              <w:rPr>
                <w:rFonts w:hint="eastAsia" w:cs="Times New Roman"/>
                <w:bCs/>
                <w:color w:val="000000" w:themeColor="text1"/>
                <w:sz w:val="24"/>
                <w:highlight w:val="none"/>
                <w:lang w:eastAsia="zh-CN"/>
                <w14:textFill>
                  <w14:solidFill>
                    <w14:schemeClr w14:val="tx1"/>
                  </w14:solidFill>
                </w14:textFill>
              </w:rPr>
              <w:t>，</w:t>
            </w:r>
            <w:r>
              <w:rPr>
                <w:rFonts w:hint="eastAsia" w:cs="Times New Roman"/>
                <w:bCs/>
                <w:color w:val="000000" w:themeColor="text1"/>
                <w:sz w:val="24"/>
                <w:highlight w:val="none"/>
                <w:lang w:val="en-US" w:eastAsia="zh-CN"/>
                <w14:textFill>
                  <w14:solidFill>
                    <w14:schemeClr w14:val="tx1"/>
                  </w14:solidFill>
                </w14:textFill>
              </w:rPr>
              <w:t>发酵池发酵周期为2-3个月</w:t>
            </w:r>
            <w:r>
              <w:rPr>
                <w:rFonts w:ascii="Times New Roman" w:hAnsi="Times New Roman" w:eastAsia="宋体" w:cs="Times New Roman"/>
                <w:bCs/>
                <w:color w:val="000000" w:themeColor="text1"/>
                <w:sz w:val="24"/>
                <w:highlight w:val="none"/>
                <w14:textFill>
                  <w14:solidFill>
                    <w14:schemeClr w14:val="tx1"/>
                  </w14:solidFill>
                </w14:textFill>
              </w:rPr>
              <w:t>。</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蒸馏冷却：经发酵后的酒醪，通过蒸馏设备进行蒸馏，每批次蒸馏约</w:t>
            </w:r>
            <w:r>
              <w:rPr>
                <w:rFonts w:hint="eastAsia" w:cs="Times New Roman"/>
                <w:bCs/>
                <w:color w:val="000000" w:themeColor="text1"/>
                <w:sz w:val="24"/>
                <w:highlight w:val="none"/>
                <w:lang w:val="en-US" w:eastAsia="zh-CN"/>
                <w14:textFill>
                  <w14:solidFill>
                    <w14:schemeClr w14:val="tx1"/>
                  </w14:solidFill>
                </w14:textFill>
              </w:rPr>
              <w:t>500kg</w:t>
            </w:r>
            <w:r>
              <w:rPr>
                <w:rFonts w:ascii="Times New Roman" w:hAnsi="Times New Roman" w:eastAsia="宋体" w:cs="Times New Roman"/>
                <w:bCs/>
                <w:color w:val="000000" w:themeColor="text1"/>
                <w:sz w:val="24"/>
                <w:highlight w:val="none"/>
                <w14:textFill>
                  <w14:solidFill>
                    <w14:schemeClr w14:val="tx1"/>
                  </w14:solidFill>
                </w14:textFill>
              </w:rPr>
              <w:t>发酵后的酒醪。把发酵好的酒醪由</w:t>
            </w:r>
            <w:r>
              <w:rPr>
                <w:rFonts w:hint="eastAsia" w:cs="Times New Roman"/>
                <w:bCs/>
                <w:color w:val="000000" w:themeColor="text1"/>
                <w:sz w:val="24"/>
                <w:highlight w:val="none"/>
                <w:lang w:val="en-US" w:eastAsia="zh-CN"/>
                <w14:textFill>
                  <w14:solidFill>
                    <w14:schemeClr w14:val="tx1"/>
                  </w14:solidFill>
                </w14:textFill>
              </w:rPr>
              <w:t>人工送料至蒸馏器内</w:t>
            </w:r>
            <w:r>
              <w:rPr>
                <w:rFonts w:ascii="Times New Roman" w:hAnsi="Times New Roman" w:eastAsia="宋体" w:cs="Times New Roman"/>
                <w:bCs/>
                <w:color w:val="000000" w:themeColor="text1"/>
                <w:sz w:val="24"/>
                <w:highlight w:val="none"/>
                <w14:textFill>
                  <w14:solidFill>
                    <w14:schemeClr w14:val="tx1"/>
                  </w14:solidFill>
                </w14:textFill>
              </w:rPr>
              <w:t>，蒸馏温度为180℃(0.8Mpa</w:t>
            </w:r>
            <w:r>
              <w:rPr>
                <w:rFonts w:hint="eastAsia" w:cs="Times New Roman"/>
                <w:bCs/>
                <w:color w:val="000000" w:themeColor="text1"/>
                <w:sz w:val="24"/>
                <w:highlight w:val="none"/>
                <w:lang w:eastAsia="zh-CN"/>
                <w14:textFill>
                  <w14:solidFill>
                    <w14:schemeClr w14:val="tx1"/>
                  </w14:solidFill>
                </w14:textFill>
              </w:rPr>
              <w:t>）</w:t>
            </w:r>
            <w:r>
              <w:rPr>
                <w:rFonts w:ascii="Times New Roman" w:hAnsi="Times New Roman" w:eastAsia="宋体" w:cs="Times New Roman"/>
                <w:bCs/>
                <w:color w:val="000000" w:themeColor="text1"/>
                <w:sz w:val="24"/>
                <w:highlight w:val="none"/>
                <w14:textFill>
                  <w14:solidFill>
                    <w14:schemeClr w14:val="tx1"/>
                  </w14:solidFill>
                </w14:textFill>
              </w:rPr>
              <w:t>，酒蒸发后进入</w:t>
            </w:r>
            <w:r>
              <w:rPr>
                <w:rFonts w:hint="eastAsia" w:cs="Times New Roman"/>
                <w:bCs/>
                <w:color w:val="000000" w:themeColor="text1"/>
                <w:sz w:val="24"/>
                <w:highlight w:val="none"/>
                <w:lang w:val="en-US" w:eastAsia="zh-CN"/>
                <w14:textFill>
                  <w14:solidFill>
                    <w14:schemeClr w14:val="tx1"/>
                  </w14:solidFill>
                </w14:textFill>
              </w:rPr>
              <w:t>冷却器</w:t>
            </w:r>
            <w:r>
              <w:rPr>
                <w:rFonts w:ascii="Times New Roman" w:hAnsi="Times New Roman" w:eastAsia="宋体" w:cs="Times New Roman"/>
                <w:bCs/>
                <w:color w:val="000000" w:themeColor="text1"/>
                <w:sz w:val="24"/>
                <w:highlight w:val="none"/>
                <w14:textFill>
                  <w14:solidFill>
                    <w14:schemeClr w14:val="tx1"/>
                  </w14:solidFill>
                </w14:textFill>
              </w:rPr>
              <w:t>液化，便得到蒸馏的酒，头酒度数约为75%vol，入罐储存酒度数为6</w:t>
            </w:r>
            <w:r>
              <w:rPr>
                <w:rFonts w:hint="eastAsia" w:cs="Times New Roman"/>
                <w:bCs/>
                <w:color w:val="000000" w:themeColor="text1"/>
                <w:sz w:val="24"/>
                <w:highlight w:val="none"/>
                <w:lang w:val="en-US" w:eastAsia="zh-CN"/>
                <w14:textFill>
                  <w14:solidFill>
                    <w14:schemeClr w14:val="tx1"/>
                  </w14:solidFill>
                </w14:textFill>
              </w:rPr>
              <w:t>0</w:t>
            </w:r>
            <w:r>
              <w:rPr>
                <w:rFonts w:ascii="Times New Roman" w:hAnsi="Times New Roman" w:eastAsia="宋体" w:cs="Times New Roman"/>
                <w:bCs/>
                <w:color w:val="000000" w:themeColor="text1"/>
                <w:sz w:val="24"/>
                <w:highlight w:val="none"/>
                <w14:textFill>
                  <w14:solidFill>
                    <w14:schemeClr w14:val="tx1"/>
                  </w14:solidFill>
                </w14:textFill>
              </w:rPr>
              <w:t>%vol（酒精度、总糖度，总酸度等检测均外协）。</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蒸馏</w:t>
            </w:r>
            <w:r>
              <w:rPr>
                <w:rFonts w:hint="eastAsia" w:cs="Times New Roman"/>
                <w:bCs/>
                <w:color w:val="000000" w:themeColor="text1"/>
                <w:sz w:val="24"/>
                <w:highlight w:val="none"/>
                <w:lang w:val="en-US" w:eastAsia="zh-CN"/>
                <w14:textFill>
                  <w14:solidFill>
                    <w14:schemeClr w14:val="tx1"/>
                  </w14:solidFill>
                </w14:textFill>
              </w:rPr>
              <w:t>后的锅底水</w:t>
            </w:r>
            <w:r>
              <w:rPr>
                <w:rFonts w:ascii="Times New Roman" w:hAnsi="Times New Roman" w:eastAsia="宋体" w:cs="Times New Roman"/>
                <w:bCs/>
                <w:color w:val="000000" w:themeColor="text1"/>
                <w:sz w:val="24"/>
                <w:highlight w:val="none"/>
                <w14:textFill>
                  <w14:solidFill>
                    <w14:schemeClr w14:val="tx1"/>
                  </w14:solidFill>
                </w14:textFill>
              </w:rPr>
              <w:t>排入厂区内污水处理厂进行处理，酒糟由周边养殖场自提作为饲料。为减轻酒糟临时暂存时恶臭气体的产生强度及影响，酒糟不在厂区长期储存，运营期内厂区内存放日期不得超过1天。</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过滤、杀菌：首先对原酒进行存放，然后进行粗滤，过滤后的酒体清澈、透明、无沉淀；再进行精滤，取样留存，检验达标后方可装瓶。如果不达标，将酒体再次过滤，达到标准后采用紫外线灭菌器杀菌，杀菌后酒液进入贮存罐。</w:t>
            </w:r>
          </w:p>
          <w:p>
            <w:pPr>
              <w:spacing w:line="360" w:lineRule="auto"/>
              <w:ind w:firstLine="480" w:firstLineChars="2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无菌储存：过滤杀菌后的原浆转运至无菌罐中储存，无菌罐</w:t>
            </w:r>
            <w:r>
              <w:rPr>
                <w:rFonts w:hint="eastAsia" w:cs="Times New Roman"/>
                <w:bCs/>
                <w:color w:val="000000" w:themeColor="text1"/>
                <w:sz w:val="24"/>
                <w:highlight w:val="none"/>
                <w:lang w:val="en-US" w:eastAsia="zh-CN"/>
                <w14:textFill>
                  <w14:solidFill>
                    <w14:schemeClr w14:val="tx1"/>
                  </w14:solidFill>
                </w14:textFill>
              </w:rPr>
              <w:t>4个总</w:t>
            </w:r>
            <w:r>
              <w:rPr>
                <w:rFonts w:ascii="Times New Roman" w:hAnsi="Times New Roman" w:eastAsia="宋体" w:cs="Times New Roman"/>
                <w:bCs/>
                <w:color w:val="000000" w:themeColor="text1"/>
                <w:sz w:val="24"/>
                <w:highlight w:val="none"/>
                <w14:textFill>
                  <w14:solidFill>
                    <w14:schemeClr w14:val="tx1"/>
                  </w14:solidFill>
                </w14:textFill>
              </w:rPr>
              <w:t>容积为</w:t>
            </w:r>
            <w:r>
              <w:rPr>
                <w:rFonts w:hint="eastAsia" w:cs="Times New Roman"/>
                <w:bCs/>
                <w:color w:val="000000" w:themeColor="text1"/>
                <w:sz w:val="24"/>
                <w:highlight w:val="none"/>
                <w:lang w:val="en-US" w:eastAsia="zh-CN"/>
                <w14:textFill>
                  <w14:solidFill>
                    <w14:schemeClr w14:val="tx1"/>
                  </w14:solidFill>
                </w14:textFill>
              </w:rPr>
              <w:t>150t</w:t>
            </w:r>
            <w:r>
              <w:rPr>
                <w:rFonts w:ascii="Times New Roman" w:hAnsi="Times New Roman" w:eastAsia="宋体" w:cs="Times New Roman"/>
                <w:bCs/>
                <w:color w:val="000000" w:themeColor="text1"/>
                <w:sz w:val="24"/>
                <w:highlight w:val="none"/>
                <w14:textFill>
                  <w14:solidFill>
                    <w14:schemeClr w14:val="tx1"/>
                  </w14:solidFill>
                </w14:textFill>
              </w:rPr>
              <w:t>。转运过程全程封闭，由管道泵送。主要产生罐顶呼吸废气，主要为异味。</w:t>
            </w:r>
          </w:p>
          <w:p>
            <w:pPr>
              <w:spacing w:line="360" w:lineRule="auto"/>
              <w:ind w:firstLine="480" w:firstLineChars="200"/>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灌装：根据客户要求采用自动灌装机进行灌装。灌装后外售。</w:t>
            </w:r>
          </w:p>
          <w:p>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本项目排污节点一览表见表2-</w:t>
            </w:r>
            <w:r>
              <w:rPr>
                <w:rFonts w:hint="eastAsia"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adjustRightInd w:val="0"/>
              <w:snapToGrid w:val="0"/>
              <w:jc w:val="cente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bookmarkStart w:id="18" w:name="_Hlk69063382"/>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表2-</w:t>
            </w:r>
            <w:r>
              <w:rPr>
                <w:rFonts w:hint="eastAsia" w:cs="Times New Roman"/>
                <w:b/>
                <w:bCs/>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本项目排污节点一览表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46"/>
              <w:gridCol w:w="1698"/>
              <w:gridCol w:w="2213"/>
              <w:gridCol w:w="40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bookmarkStart w:id="19" w:name="_Hlk69063367"/>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类型</w:t>
                  </w: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产排污环节</w:t>
                  </w:r>
                </w:p>
              </w:tc>
              <w:tc>
                <w:tcPr>
                  <w:tcW w:w="221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污染物种类</w:t>
                  </w:r>
                </w:p>
              </w:tc>
              <w:tc>
                <w:tcPr>
                  <w:tcW w:w="4033" w:type="dxa"/>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restart"/>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废气</w:t>
                  </w: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锅炉废气</w:t>
                  </w:r>
                </w:p>
              </w:tc>
              <w:tc>
                <w:tcPr>
                  <w:tcW w:w="221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颗粒物、NO</w:t>
                  </w:r>
                  <w:r>
                    <w:rPr>
                      <w:rFonts w:hint="eastAsia" w:cs="Times New Roman"/>
                      <w:b w:val="0"/>
                      <w:bCs w:val="0"/>
                      <w:color w:val="000000" w:themeColor="text1"/>
                      <w:spacing w:val="0"/>
                      <w:kern w:val="0"/>
                      <w:sz w:val="21"/>
                      <w:szCs w:val="21"/>
                      <w:highlight w:val="none"/>
                      <w:vertAlign w:val="subscript"/>
                      <w:lang w:val="en-US" w:eastAsia="zh-CN"/>
                      <w14:textFill>
                        <w14:solidFill>
                          <w14:schemeClr w14:val="tx1"/>
                        </w14:solidFill>
                      </w14:textFill>
                    </w:rPr>
                    <w:t>X</w:t>
                  </w: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、SO</w:t>
                  </w:r>
                  <w:r>
                    <w:rPr>
                      <w:rFonts w:hint="eastAsia" w:cs="Times New Roman"/>
                      <w:b w:val="0"/>
                      <w:bCs w:val="0"/>
                      <w:color w:val="000000" w:themeColor="text1"/>
                      <w:spacing w:val="0"/>
                      <w:kern w:val="0"/>
                      <w:sz w:val="21"/>
                      <w:szCs w:val="21"/>
                      <w:highlight w:val="none"/>
                      <w:vertAlign w:val="subscript"/>
                      <w:lang w:val="en-US" w:eastAsia="zh-CN"/>
                      <w14:textFill>
                        <w14:solidFill>
                          <w14:schemeClr w14:val="tx1"/>
                        </w14:solidFill>
                      </w14:textFill>
                    </w:rPr>
                    <w:t>2</w:t>
                  </w:r>
                </w:p>
              </w:tc>
              <w:tc>
                <w:tcPr>
                  <w:tcW w:w="403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低氮燃烧器+8m排气筒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蒸粮</w:t>
                  </w:r>
                </w:p>
              </w:tc>
              <w:tc>
                <w:tcPr>
                  <w:tcW w:w="221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水蒸汽</w:t>
                  </w:r>
                </w:p>
              </w:tc>
              <w:tc>
                <w:tcPr>
                  <w:tcW w:w="403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换气扇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发酵、过滤、蒸馏</w:t>
                  </w:r>
                </w:p>
              </w:tc>
              <w:tc>
                <w:tcPr>
                  <w:tcW w:w="221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异味</w:t>
                  </w:r>
                </w:p>
              </w:tc>
              <w:tc>
                <w:tcPr>
                  <w:tcW w:w="403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换气扇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污水处理站</w:t>
                  </w:r>
                </w:p>
              </w:tc>
              <w:tc>
                <w:tcPr>
                  <w:tcW w:w="221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硫化氢、氨、臭气浓度</w:t>
                  </w:r>
                </w:p>
              </w:tc>
              <w:tc>
                <w:tcPr>
                  <w:tcW w:w="403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加盖密闭、定期投加除臭剂</w:t>
                  </w:r>
                </w:p>
              </w:tc>
            </w:tr>
            <w:bookmarkEnd w:id="19"/>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restart"/>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废水</w:t>
                  </w: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生活污水</w:t>
                  </w:r>
                </w:p>
              </w:tc>
              <w:tc>
                <w:tcPr>
                  <w:tcW w:w="2213" w:type="dxa"/>
                  <w:tcBorders>
                    <w:tl2br w:val="nil"/>
                    <w:tr2bl w:val="nil"/>
                  </w:tcBorders>
                  <w:noWrap w:val="0"/>
                  <w:vAlign w:val="center"/>
                </w:tcPr>
                <w:p>
                  <w:pPr>
                    <w:kinsoku w:val="0"/>
                    <w:autoSpaceDE w:val="0"/>
                    <w:autoSpaceDN w:val="0"/>
                    <w:adjustRightInd w:val="0"/>
                    <w:snapToGrid w:val="0"/>
                    <w:spacing w:before="109" w:line="188" w:lineRule="auto"/>
                    <w:jc w:val="left"/>
                    <w:textAlignment w:val="baseline"/>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ascii="Times New Roman" w:hAnsi="Times New Roman" w:eastAsia="Times New Roman" w:cs="Times New Roman"/>
                      <w:snapToGrid w:val="0"/>
                      <w:color w:val="000000" w:themeColor="text1"/>
                      <w:kern w:val="0"/>
                      <w:sz w:val="20"/>
                      <w:szCs w:val="20"/>
                      <w:lang w:val="en-US" w:eastAsia="en-US" w:bidi="ar-SA"/>
                      <w14:textFill>
                        <w14:solidFill>
                          <w14:schemeClr w14:val="tx1"/>
                        </w14:solidFill>
                      </w14:textFill>
                    </w:rPr>
                    <w:t>pH</w:t>
                  </w:r>
                  <w:r>
                    <w:rPr>
                      <w:rFonts w:ascii="Times New Roman" w:hAnsi="Times New Roman" w:eastAsia="Times New Roman" w:cs="Times New Roman"/>
                      <w:snapToGrid w:val="0"/>
                      <w:color w:val="000000" w:themeColor="text1"/>
                      <w:spacing w:val="-27"/>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20"/>
                      <w:szCs w:val="20"/>
                      <w:lang w:val="en-US" w:eastAsia="en-US" w:bidi="ar-SA"/>
                      <w14:textFill>
                        <w14:solidFill>
                          <w14:schemeClr w14:val="tx1"/>
                        </w14:solidFill>
                      </w14:textFill>
                    </w:rPr>
                    <w:t>、</w:t>
                  </w:r>
                  <w:r>
                    <w:rPr>
                      <w:rFonts w:ascii="Times New Roman" w:hAnsi="Times New Roman" w:eastAsia="Times New Roman" w:cs="Times New Roman"/>
                      <w:snapToGrid w:val="0"/>
                      <w:color w:val="000000" w:themeColor="text1"/>
                      <w:kern w:val="0"/>
                      <w:sz w:val="20"/>
                      <w:szCs w:val="20"/>
                      <w:lang w:val="en-US" w:eastAsia="en-US" w:bidi="ar-SA"/>
                      <w14:textFill>
                        <w14:solidFill>
                          <w14:schemeClr w14:val="tx1"/>
                        </w14:solidFill>
                      </w14:textFill>
                    </w:rPr>
                    <w:t>CODcr</w:t>
                  </w:r>
                  <w:r>
                    <w:rPr>
                      <w:rFonts w:ascii="Times New Roman" w:hAnsi="Times New Roman" w:eastAsia="Times New Roman" w:cs="Times New Roman"/>
                      <w:snapToGrid w:val="0"/>
                      <w:color w:val="000000" w:themeColor="text1"/>
                      <w:spacing w:val="-29"/>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20"/>
                      <w:szCs w:val="20"/>
                      <w:lang w:val="en-US" w:eastAsia="en-US" w:bidi="ar-SA"/>
                      <w14:textFill>
                        <w14:solidFill>
                          <w14:schemeClr w14:val="tx1"/>
                        </w14:solidFill>
                      </w14:textFill>
                    </w:rPr>
                    <w:t>、</w:t>
                  </w:r>
                  <w:r>
                    <w:rPr>
                      <w:rFonts w:ascii="Times New Roman" w:hAnsi="Times New Roman" w:eastAsia="Times New Roman" w:cs="Times New Roman"/>
                      <w:snapToGrid w:val="0"/>
                      <w:color w:val="000000" w:themeColor="text1"/>
                      <w:kern w:val="0"/>
                      <w:sz w:val="20"/>
                      <w:szCs w:val="20"/>
                      <w:lang w:val="en-US" w:eastAsia="en-US" w:bidi="ar-SA"/>
                      <w14:textFill>
                        <w14:solidFill>
                          <w14:schemeClr w14:val="tx1"/>
                        </w14:solidFill>
                      </w14:textFill>
                    </w:rPr>
                    <w:t>BOD</w:t>
                  </w:r>
                  <w:r>
                    <w:rPr>
                      <w:rFonts w:ascii="Times New Roman" w:hAnsi="Times New Roman" w:eastAsia="Times New Roman" w:cs="Times New Roman"/>
                      <w:snapToGrid w:val="0"/>
                      <w:color w:val="000000" w:themeColor="text1"/>
                      <w:spacing w:val="2"/>
                      <w:kern w:val="0"/>
                      <w:position w:val="-1"/>
                      <w:sz w:val="13"/>
                      <w:szCs w:val="13"/>
                      <w:lang w:val="en-US" w:eastAsia="en-US" w:bidi="ar-SA"/>
                      <w14:textFill>
                        <w14:solidFill>
                          <w14:schemeClr w14:val="tx1"/>
                        </w14:solidFill>
                      </w14:textFill>
                    </w:rPr>
                    <w:t>5</w:t>
                  </w:r>
                  <w:r>
                    <w:rPr>
                      <w:rFonts w:ascii="宋体" w:hAnsi="宋体" w:eastAsia="宋体" w:cs="宋体"/>
                      <w:snapToGrid w:val="0"/>
                      <w:color w:val="000000" w:themeColor="text1"/>
                      <w:spacing w:val="2"/>
                      <w:kern w:val="0"/>
                      <w:sz w:val="20"/>
                      <w:szCs w:val="20"/>
                      <w:lang w:val="en-US" w:eastAsia="en-US" w:bidi="ar-SA"/>
                      <w14:textFill>
                        <w14:solidFill>
                          <w14:schemeClr w14:val="tx1"/>
                        </w14:solidFill>
                      </w14:textFill>
                    </w:rPr>
                    <w:t>、</w:t>
                  </w:r>
                  <w:r>
                    <w:rPr>
                      <w:rFonts w:ascii="Times New Roman" w:hAnsi="Times New Roman" w:eastAsia="Times New Roman" w:cs="Times New Roman"/>
                      <w:snapToGrid w:val="0"/>
                      <w:color w:val="000000" w:themeColor="text1"/>
                      <w:kern w:val="0"/>
                      <w:sz w:val="20"/>
                      <w:szCs w:val="20"/>
                      <w:lang w:val="en-US" w:eastAsia="en-US" w:bidi="ar-SA"/>
                      <w14:textFill>
                        <w14:solidFill>
                          <w14:schemeClr w14:val="tx1"/>
                        </w14:solidFill>
                      </w14:textFill>
                    </w:rPr>
                    <w:t>SS</w:t>
                  </w:r>
                  <w:r>
                    <w:rPr>
                      <w:rFonts w:ascii="Times New Roman" w:hAnsi="Times New Roman" w:eastAsia="Times New Roman" w:cs="Times New Roman"/>
                      <w:snapToGrid w:val="0"/>
                      <w:color w:val="000000" w:themeColor="text1"/>
                      <w:spacing w:val="-26"/>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1"/>
                      <w:kern w:val="0"/>
                      <w:sz w:val="20"/>
                      <w:szCs w:val="20"/>
                      <w:lang w:val="en-US" w:eastAsia="en-US" w:bidi="ar-SA"/>
                      <w14:textFill>
                        <w14:solidFill>
                          <w14:schemeClr w14:val="tx1"/>
                        </w14:solidFill>
                      </w14:textFill>
                    </w:rPr>
                    <w:t>、氨氮、总磷、总</w:t>
                  </w:r>
                  <w:r>
                    <w:rPr>
                      <w:rFonts w:ascii="宋体" w:hAnsi="宋体" w:eastAsia="宋体" w:cs="宋体"/>
                      <w:snapToGrid w:val="0"/>
                      <w:color w:val="000000" w:themeColor="text1"/>
                      <w:spacing w:val="2"/>
                      <w:kern w:val="0"/>
                      <w:sz w:val="20"/>
                      <w:szCs w:val="20"/>
                      <w:lang w:val="en-US" w:eastAsia="en-US" w:bidi="ar-SA"/>
                      <w14:textFill>
                        <w14:solidFill>
                          <w14:schemeClr w14:val="tx1"/>
                        </w14:solidFill>
                      </w14:textFill>
                    </w:rPr>
                    <w:t>氮</w:t>
                  </w:r>
                </w:p>
              </w:tc>
              <w:tc>
                <w:tcPr>
                  <w:tcW w:w="403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进入园区下水管网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锅底水</w:t>
                  </w:r>
                </w:p>
              </w:tc>
              <w:tc>
                <w:tcPr>
                  <w:tcW w:w="2213" w:type="dxa"/>
                  <w:vMerge w:val="restart"/>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ascii="Times New Roman" w:hAnsi="Times New Roman" w:eastAsia="Times New Roman" w:cs="Times New Roman"/>
                      <w:color w:val="000000" w:themeColor="text1"/>
                      <w:spacing w:val="-1"/>
                      <w:sz w:val="20"/>
                      <w:szCs w:val="20"/>
                      <w14:textFill>
                        <w14:solidFill>
                          <w14:schemeClr w14:val="tx1"/>
                        </w14:solidFill>
                      </w14:textFill>
                    </w:rPr>
                    <w:t>pH</w:t>
                  </w:r>
                  <w:r>
                    <w:rPr>
                      <w:rFonts w:ascii="Times New Roman" w:hAnsi="Times New Roman" w:eastAsia="Times New Roman" w:cs="Times New Roman"/>
                      <w:color w:val="000000" w:themeColor="text1"/>
                      <w:spacing w:val="-30"/>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w:t>
                  </w:r>
                  <w:r>
                    <w:rPr>
                      <w:rFonts w:ascii="Times New Roman" w:hAnsi="Times New Roman" w:eastAsia="Times New Roman" w:cs="Times New Roman"/>
                      <w:color w:val="000000" w:themeColor="text1"/>
                      <w:spacing w:val="-1"/>
                      <w:sz w:val="20"/>
                      <w:szCs w:val="20"/>
                      <w14:textFill>
                        <w14:solidFill>
                          <w14:schemeClr w14:val="tx1"/>
                        </w14:solidFill>
                      </w14:textFill>
                    </w:rPr>
                    <w:t>CODcr</w:t>
                  </w:r>
                  <w:r>
                    <w:rPr>
                      <w:rFonts w:ascii="Times New Roman" w:hAnsi="Times New Roman" w:eastAsia="Times New Roman" w:cs="Times New Roman"/>
                      <w:color w:val="000000" w:themeColor="text1"/>
                      <w:spacing w:val="-28"/>
                      <w:sz w:val="20"/>
                      <w:szCs w:val="20"/>
                      <w14:textFill>
                        <w14:solidFill>
                          <w14:schemeClr w14:val="tx1"/>
                        </w14:solidFill>
                      </w14:textFill>
                    </w:rPr>
                    <w:t xml:space="preserve"> </w:t>
                  </w:r>
                  <w:r>
                    <w:rPr>
                      <w:color w:val="000000" w:themeColor="text1"/>
                      <w:spacing w:val="-1"/>
                      <w:sz w:val="20"/>
                      <w:szCs w:val="20"/>
                      <w14:textFill>
                        <w14:solidFill>
                          <w14:schemeClr w14:val="tx1"/>
                        </w14:solidFill>
                      </w14:textFill>
                    </w:rPr>
                    <w:t>、</w:t>
                  </w:r>
                  <w:r>
                    <w:rPr>
                      <w:rFonts w:ascii="Times New Roman" w:hAnsi="Times New Roman" w:eastAsia="Times New Roman" w:cs="Times New Roman"/>
                      <w:color w:val="000000" w:themeColor="text1"/>
                      <w:spacing w:val="-1"/>
                      <w:sz w:val="20"/>
                      <w:szCs w:val="20"/>
                      <w14:textFill>
                        <w14:solidFill>
                          <w14:schemeClr w14:val="tx1"/>
                        </w14:solidFill>
                      </w14:textFill>
                    </w:rPr>
                    <w:t>BOD</w:t>
                  </w:r>
                  <w:r>
                    <w:rPr>
                      <w:rFonts w:ascii="Times New Roman" w:hAnsi="Times New Roman" w:eastAsia="Times New Roman" w:cs="Times New Roman"/>
                      <w:color w:val="000000" w:themeColor="text1"/>
                      <w:spacing w:val="-1"/>
                      <w:position w:val="-1"/>
                      <w:sz w:val="13"/>
                      <w:szCs w:val="13"/>
                      <w14:textFill>
                        <w14:solidFill>
                          <w14:schemeClr w14:val="tx1"/>
                        </w14:solidFill>
                      </w14:textFill>
                    </w:rPr>
                    <w:t>5</w:t>
                  </w:r>
                  <w:r>
                    <w:rPr>
                      <w:color w:val="000000" w:themeColor="text1"/>
                      <w:spacing w:val="-1"/>
                      <w:sz w:val="20"/>
                      <w:szCs w:val="20"/>
                      <w14:textFill>
                        <w14:solidFill>
                          <w14:schemeClr w14:val="tx1"/>
                        </w14:solidFill>
                      </w14:textFill>
                    </w:rPr>
                    <w:t>、</w:t>
                  </w:r>
                  <w:r>
                    <w:rPr>
                      <w:color w:val="000000" w:themeColor="text1"/>
                      <w:spacing w:val="8"/>
                      <w:sz w:val="20"/>
                      <w:szCs w:val="20"/>
                      <w14:textFill>
                        <w14:solidFill>
                          <w14:schemeClr w14:val="tx1"/>
                        </w14:solidFill>
                      </w14:textFill>
                    </w:rPr>
                    <w:t>浊度、氨氮、色度</w:t>
                  </w:r>
                </w:p>
              </w:tc>
              <w:tc>
                <w:tcPr>
                  <w:tcW w:w="4033" w:type="dxa"/>
                  <w:vMerge w:val="restart"/>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厂区污水处理站进行处理</w:t>
                  </w: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，满足《发酵酒精和白酒工业水污染物排放标准》（GB 27631-2011）及修改单中表2间接排放标准后通过园区下水管网进入园区污水处理厂进行处理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洗瓶废水</w:t>
                  </w:r>
                </w:p>
              </w:tc>
              <w:tc>
                <w:tcPr>
                  <w:tcW w:w="2213" w:type="dxa"/>
                  <w:vMerge w:val="continue"/>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4033" w:type="dxa"/>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浓排水</w:t>
                  </w:r>
                </w:p>
              </w:tc>
              <w:tc>
                <w:tcPr>
                  <w:tcW w:w="2213" w:type="dxa"/>
                  <w:vMerge w:val="continue"/>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4033" w:type="dxa"/>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设备清洗废水</w:t>
                  </w:r>
                </w:p>
              </w:tc>
              <w:tc>
                <w:tcPr>
                  <w:tcW w:w="2213" w:type="dxa"/>
                  <w:vMerge w:val="continue"/>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4033" w:type="dxa"/>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1698" w:type="dxa"/>
                  <w:tcBorders>
                    <w:tl2br w:val="nil"/>
                    <w:tr2bl w:val="nil"/>
                  </w:tcBorders>
                  <w:noWrap w:val="0"/>
                  <w:vAlign w:val="center"/>
                </w:tcPr>
                <w:p>
                  <w:pPr>
                    <w:widowControl/>
                    <w:adjustRightInd w:val="0"/>
                    <w:snapToGrid w:val="0"/>
                    <w:spacing w:line="240" w:lineRule="auto"/>
                    <w:jc w:val="center"/>
                    <w:rPr>
                      <w:rFonts w:hint="default"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地面清洗废水</w:t>
                  </w:r>
                </w:p>
              </w:tc>
              <w:tc>
                <w:tcPr>
                  <w:tcW w:w="2213" w:type="dxa"/>
                  <w:vMerge w:val="continue"/>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c>
                <w:tcPr>
                  <w:tcW w:w="4033" w:type="dxa"/>
                  <w:vMerge w:val="continue"/>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噪声</w:t>
                  </w:r>
                </w:p>
              </w:tc>
              <w:tc>
                <w:tcPr>
                  <w:tcW w:w="1698"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生产设备</w:t>
                  </w:r>
                </w:p>
              </w:tc>
              <w:tc>
                <w:tcPr>
                  <w:tcW w:w="221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lang w:val="en-US" w:eastAsia="zh-CN"/>
                      <w14:textFill>
                        <w14:solidFill>
                          <w14:schemeClr w14:val="tx1"/>
                        </w14:solidFill>
                      </w14:textFill>
                    </w:rPr>
                    <w:t>各类噪声</w:t>
                  </w:r>
                </w:p>
              </w:tc>
              <w:tc>
                <w:tcPr>
                  <w:tcW w:w="4033"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选用低噪设备，基础减振、厂房隔声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restart"/>
                  <w:tcBorders>
                    <w:tl2br w:val="nil"/>
                    <w:tr2bl w:val="nil"/>
                  </w:tcBorders>
                  <w:noWrap w:val="0"/>
                  <w:vAlign w:val="center"/>
                </w:tcPr>
                <w:p>
                  <w:pPr>
                    <w:widowControl/>
                    <w:adjustRightInd w:val="0"/>
                    <w:snapToGrid w:val="0"/>
                    <w:spacing w:line="240" w:lineRule="auto"/>
                    <w:jc w:val="cente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pacing w:val="0"/>
                      <w:kern w:val="0"/>
                      <w:sz w:val="21"/>
                      <w:szCs w:val="21"/>
                      <w:highlight w:val="none"/>
                      <w:lang w:val="en-US" w:eastAsia="zh-CN"/>
                      <w14:textFill>
                        <w14:solidFill>
                          <w14:schemeClr w14:val="tx1"/>
                        </w14:solidFill>
                      </w14:textFill>
                    </w:rPr>
                    <w:t>固体废物</w:t>
                  </w:r>
                </w:p>
              </w:tc>
              <w:tc>
                <w:tcPr>
                  <w:tcW w:w="1698"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拆包</w:t>
                  </w:r>
                </w:p>
              </w:tc>
              <w:tc>
                <w:tcPr>
                  <w:tcW w:w="2213"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废包装袋</w:t>
                  </w:r>
                </w:p>
              </w:tc>
              <w:tc>
                <w:tcPr>
                  <w:tcW w:w="4033" w:type="dxa"/>
                  <w:vMerge w:val="restart"/>
                  <w:tcBorders>
                    <w:tl2br w:val="nil"/>
                    <w:tr2bl w:val="nil"/>
                  </w:tcBorders>
                  <w:noWrap w:val="0"/>
                  <w:vAlign w:val="center"/>
                </w:tcPr>
                <w:p>
                  <w:pPr>
                    <w:spacing w:line="0" w:lineRule="atLeast"/>
                    <w:jc w:val="center"/>
                    <w:rPr>
                      <w:rFonts w:hint="default" w:ascii="Times New Roman" w:hAnsi="Times New Roman" w:eastAsia="宋体" w:cs="Times New Roman"/>
                      <w:b w:val="0"/>
                      <w:bCs w:val="0"/>
                      <w:color w:val="000000" w:themeColor="text1"/>
                      <w:spacing w:val="0"/>
                      <w:kern w:val="0"/>
                      <w:sz w:val="21"/>
                      <w:szCs w:val="24"/>
                      <w:highlight w:val="none"/>
                      <w:lang w:val="en-US" w:eastAsia="zh-CN" w:bidi="ar-SA"/>
                      <w14:textFill>
                        <w14:solidFill>
                          <w14:schemeClr w14:val="tx1"/>
                        </w14:solidFill>
                      </w14:textFill>
                    </w:rPr>
                  </w:pPr>
                  <w:r>
                    <w:rPr>
                      <w:rFonts w:hint="eastAsia" w:cs="Times New Roman"/>
                      <w:b w:val="0"/>
                      <w:bCs w:val="0"/>
                      <w:color w:val="000000" w:themeColor="text1"/>
                      <w:spacing w:val="0"/>
                      <w:kern w:val="0"/>
                      <w:sz w:val="21"/>
                      <w:szCs w:val="24"/>
                      <w:highlight w:val="none"/>
                      <w:lang w:val="en-US" w:eastAsia="zh-CN" w:bidi="ar-SA"/>
                      <w14:textFill>
                        <w14:solidFill>
                          <w14:schemeClr w14:val="tx1"/>
                        </w14:solidFill>
                      </w14:textFill>
                    </w:rPr>
                    <w:t>交由一般固废处置单位进行处置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c>
                <w:tcPr>
                  <w:tcW w:w="1698" w:type="dxa"/>
                  <w:vMerge w:val="restar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纯水制备设备</w:t>
                  </w:r>
                </w:p>
              </w:tc>
              <w:tc>
                <w:tcPr>
                  <w:tcW w:w="2213"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废石英砂</w:t>
                  </w:r>
                </w:p>
              </w:tc>
              <w:tc>
                <w:tcPr>
                  <w:tcW w:w="4033" w:type="dxa"/>
                  <w:vMerge w:val="continue"/>
                  <w:tcBorders>
                    <w:tl2br w:val="nil"/>
                    <w:tr2bl w:val="nil"/>
                  </w:tcBorders>
                  <w:noWrap w:val="0"/>
                  <w:vAlign w:val="center"/>
                </w:tcPr>
                <w:p>
                  <w:pPr>
                    <w:spacing w:line="0" w:lineRule="atLeast"/>
                    <w:jc w:val="center"/>
                    <w:rPr>
                      <w:rFonts w:hint="default" w:ascii="Times New Roman" w:hAnsi="宋体" w:eastAsia="宋体" w:cs="宋体"/>
                      <w:b w:val="0"/>
                      <w:bCs w:val="0"/>
                      <w:color w:val="000000" w:themeColor="text1"/>
                      <w:spacing w:val="0"/>
                      <w:kern w:val="0"/>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c>
                <w:tcPr>
                  <w:tcW w:w="1698" w:type="dxa"/>
                  <w:vMerge w:val="continue"/>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p>
              </w:tc>
              <w:tc>
                <w:tcPr>
                  <w:tcW w:w="2213"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废活性炭</w:t>
                  </w:r>
                </w:p>
              </w:tc>
              <w:tc>
                <w:tcPr>
                  <w:tcW w:w="4033" w:type="dxa"/>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c>
                <w:tcPr>
                  <w:tcW w:w="1698" w:type="dxa"/>
                  <w:vMerge w:val="continue"/>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p>
              </w:tc>
              <w:tc>
                <w:tcPr>
                  <w:tcW w:w="2213"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废反渗透膜</w:t>
                  </w:r>
                </w:p>
              </w:tc>
              <w:tc>
                <w:tcPr>
                  <w:tcW w:w="4033" w:type="dxa"/>
                  <w:vMerge w:val="continue"/>
                  <w:tcBorders>
                    <w:tl2br w:val="nil"/>
                    <w:tr2bl w:val="nil"/>
                  </w:tcBorders>
                  <w:shd w:val="clear" w:color="auto" w:fill="auto"/>
                  <w:noWrap w:val="0"/>
                  <w:vAlign w:val="center"/>
                </w:tcPr>
                <w:p>
                  <w:pPr>
                    <w:spacing w:line="0" w:lineRule="atLeast"/>
                    <w:jc w:val="center"/>
                    <w:rPr>
                      <w:rFonts w:hint="default" w:ascii="Times New Roman" w:hAnsi="宋体" w:eastAsia="宋体" w:cs="宋体"/>
                      <w:b w:val="0"/>
                      <w:bCs w:val="0"/>
                      <w:color w:val="000000" w:themeColor="text1"/>
                      <w:spacing w:val="0"/>
                      <w:kern w:val="0"/>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c>
                <w:tcPr>
                  <w:tcW w:w="1698"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
                      <w14:textFill>
                        <w14:solidFill>
                          <w14:schemeClr w14:val="tx1"/>
                        </w14:solidFill>
                      </w14:textFill>
                    </w:rPr>
                    <w:t>污水处理站</w:t>
                  </w:r>
                </w:p>
              </w:tc>
              <w:tc>
                <w:tcPr>
                  <w:tcW w:w="2213"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
                      <w14:textFill>
                        <w14:solidFill>
                          <w14:schemeClr w14:val="tx1"/>
                        </w14:solidFill>
                      </w14:textFill>
                    </w:rPr>
                    <w:t>污泥</w:t>
                  </w:r>
                </w:p>
              </w:tc>
              <w:tc>
                <w:tcPr>
                  <w:tcW w:w="4033" w:type="dxa"/>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c>
                <w:tcPr>
                  <w:tcW w:w="1698"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固液分离</w:t>
                  </w:r>
                </w:p>
              </w:tc>
              <w:tc>
                <w:tcPr>
                  <w:tcW w:w="2213"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lang w:val="en-US" w:eastAsia="zh-CN" w:bidi="ar-SA"/>
                      <w14:textFill>
                        <w14:solidFill>
                          <w14:schemeClr w14:val="tx1"/>
                        </w14:solidFill>
                      </w14:textFill>
                    </w:rPr>
                    <w:t>酒糟</w:t>
                  </w:r>
                </w:p>
              </w:tc>
              <w:tc>
                <w:tcPr>
                  <w:tcW w:w="4033" w:type="dxa"/>
                  <w:tcBorders>
                    <w:tl2br w:val="nil"/>
                    <w:tr2bl w:val="nil"/>
                  </w:tcBorders>
                  <w:shd w:val="clear" w:color="auto" w:fill="auto"/>
                  <w:noWrap w:val="0"/>
                  <w:vAlign w:val="center"/>
                </w:tcPr>
                <w:p>
                  <w:pPr>
                    <w:spacing w:line="0" w:lineRule="atLeast"/>
                    <w:jc w:val="center"/>
                    <w:rPr>
                      <w:rFonts w:hint="default" w:ascii="Times New Roman" w:hAnsi="Times New Roman" w:eastAsia="宋体" w:cs="Times New Roman"/>
                      <w:b w:val="0"/>
                      <w:bCs w:val="0"/>
                      <w:color w:val="000000" w:themeColor="text1"/>
                      <w:spacing w:val="0"/>
                      <w:kern w:val="0"/>
                      <w:sz w:val="21"/>
                      <w:szCs w:val="24"/>
                      <w:highlight w:val="none"/>
                      <w:lang w:val="en-US" w:eastAsia="zh-CN" w:bidi="ar-SA"/>
                      <w14:textFill>
                        <w14:solidFill>
                          <w14:schemeClr w14:val="tx1"/>
                        </w14:solidFill>
                      </w14:textFill>
                    </w:rPr>
                  </w:pPr>
                  <w:r>
                    <w:rPr>
                      <w:rFonts w:hint="eastAsia" w:cs="Times New Roman"/>
                      <w:b w:val="0"/>
                      <w:bCs w:val="0"/>
                      <w:color w:val="000000" w:themeColor="text1"/>
                      <w:spacing w:val="0"/>
                      <w:kern w:val="0"/>
                      <w:sz w:val="21"/>
                      <w:szCs w:val="24"/>
                      <w:highlight w:val="none"/>
                      <w:lang w:val="en-US" w:eastAsia="zh-CN" w:bidi="ar-SA"/>
                      <w14:textFill>
                        <w14:solidFill>
                          <w14:schemeClr w14:val="tx1"/>
                        </w14:solidFill>
                      </w14:textFill>
                    </w:rPr>
                    <w:t>外售至周边养殖场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0" w:type="auto"/>
                  <w:vMerge w:val="continue"/>
                  <w:tcBorders>
                    <w:tl2br w:val="nil"/>
                    <w:tr2bl w:val="nil"/>
                  </w:tcBorders>
                  <w:noWrap w:val="0"/>
                  <w:vAlign w:val="center"/>
                </w:tcPr>
                <w:p>
                  <w:pPr>
                    <w:spacing w:line="0" w:lineRule="atLeast"/>
                    <w:jc w:val="center"/>
                    <w:rPr>
                      <w:rFonts w:hint="eastAsia" w:ascii="Times New Roman" w:hAnsi="宋体" w:eastAsia="宋体" w:cs="宋体"/>
                      <w:b w:val="0"/>
                      <w:bCs w:val="0"/>
                      <w:color w:val="000000" w:themeColor="text1"/>
                      <w:spacing w:val="0"/>
                      <w:kern w:val="0"/>
                      <w:szCs w:val="21"/>
                      <w:highlight w:val="none"/>
                      <w14:textFill>
                        <w14:solidFill>
                          <w14:schemeClr w14:val="tx1"/>
                        </w14:solidFill>
                      </w14:textFill>
                    </w:rPr>
                  </w:pPr>
                </w:p>
              </w:tc>
              <w:tc>
                <w:tcPr>
                  <w:tcW w:w="1698"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Cs w:val="21"/>
                      <w:highlight w:val="none"/>
                      <w:lang w:val="en-US" w:eastAsia="zh-CN" w:bidi="ar"/>
                      <w14:textFill>
                        <w14:solidFill>
                          <w14:schemeClr w14:val="tx1"/>
                        </w14:solidFill>
                      </w14:textFill>
                    </w:rPr>
                  </w:pPr>
                  <w:r>
                    <w:rPr>
                      <w:rFonts w:hint="eastAsia" w:cs="Times New Roman"/>
                      <w:b w:val="0"/>
                      <w:bCs w:val="0"/>
                      <w:color w:val="000000" w:themeColor="text1"/>
                      <w:kern w:val="0"/>
                      <w:szCs w:val="21"/>
                      <w:highlight w:val="none"/>
                      <w:lang w:val="en-US" w:eastAsia="zh-CN" w:bidi="ar"/>
                      <w14:textFill>
                        <w14:solidFill>
                          <w14:schemeClr w14:val="tx1"/>
                        </w14:solidFill>
                      </w14:textFill>
                    </w:rPr>
                    <w:t>职工生活</w:t>
                  </w:r>
                </w:p>
              </w:tc>
              <w:tc>
                <w:tcPr>
                  <w:tcW w:w="2213" w:type="dxa"/>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0"/>
                      <w:szCs w:val="21"/>
                      <w:highlight w:val="none"/>
                      <w:lang w:val="en-US" w:eastAsia="zh-CN" w:bidi="ar"/>
                      <w14:textFill>
                        <w14:solidFill>
                          <w14:schemeClr w14:val="tx1"/>
                        </w14:solidFill>
                      </w14:textFill>
                    </w:rPr>
                  </w:pPr>
                  <w:r>
                    <w:rPr>
                      <w:rFonts w:hint="eastAsia" w:cs="Times New Roman"/>
                      <w:b w:val="0"/>
                      <w:bCs w:val="0"/>
                      <w:color w:val="000000" w:themeColor="text1"/>
                      <w:kern w:val="0"/>
                      <w:szCs w:val="21"/>
                      <w:highlight w:val="none"/>
                      <w:lang w:val="en-US" w:eastAsia="zh-CN" w:bidi="ar"/>
                      <w14:textFill>
                        <w14:solidFill>
                          <w14:schemeClr w14:val="tx1"/>
                        </w14:solidFill>
                      </w14:textFill>
                    </w:rPr>
                    <w:t>生活垃圾</w:t>
                  </w:r>
                </w:p>
              </w:tc>
              <w:tc>
                <w:tcPr>
                  <w:tcW w:w="4033" w:type="dxa"/>
                  <w:tcBorders>
                    <w:tl2br w:val="nil"/>
                    <w:tr2bl w:val="nil"/>
                  </w:tcBorders>
                  <w:shd w:val="clear" w:color="auto" w:fill="auto"/>
                  <w:noWrap w:val="0"/>
                  <w:vAlign w:val="center"/>
                </w:tcPr>
                <w:p>
                  <w:pPr>
                    <w:spacing w:line="0" w:lineRule="atLeast"/>
                    <w:jc w:val="center"/>
                    <w:rPr>
                      <w:rFonts w:hint="default" w:ascii="Times New Roman" w:hAnsi="Times New Roman" w:eastAsia="宋体" w:cs="Times New Roman"/>
                      <w:b w:val="0"/>
                      <w:bCs w:val="0"/>
                      <w:color w:val="000000" w:themeColor="text1"/>
                      <w:spacing w:val="0"/>
                      <w:kern w:val="0"/>
                      <w:sz w:val="21"/>
                      <w:szCs w:val="24"/>
                      <w:highlight w:val="none"/>
                      <w:lang w:val="en-US" w:eastAsia="zh-CN" w:bidi="ar-SA"/>
                      <w14:textFill>
                        <w14:solidFill>
                          <w14:schemeClr w14:val="tx1"/>
                        </w14:solidFill>
                      </w14:textFill>
                    </w:rPr>
                  </w:pPr>
                  <w:r>
                    <w:rPr>
                      <w:rFonts w:hint="eastAsia" w:cs="Times New Roman"/>
                      <w:b w:val="0"/>
                      <w:bCs w:val="0"/>
                      <w:color w:val="000000" w:themeColor="text1"/>
                      <w:spacing w:val="0"/>
                      <w:kern w:val="0"/>
                      <w:sz w:val="21"/>
                      <w:szCs w:val="24"/>
                      <w:highlight w:val="none"/>
                      <w:lang w:val="en-US" w:eastAsia="zh-CN" w:bidi="ar-SA"/>
                      <w14:textFill>
                        <w14:solidFill>
                          <w14:schemeClr w14:val="tx1"/>
                        </w14:solidFill>
                      </w14:textFill>
                    </w:rPr>
                    <w:t>由环卫部门进行处置</w:t>
                  </w:r>
                </w:p>
              </w:tc>
            </w:tr>
          </w:tbl>
          <w:p>
            <w:pPr>
              <w:adjustRightInd w:val="0"/>
              <w:snapToGrid w:val="0"/>
              <w:jc w:val="cente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表2-7    物料平衡表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38"/>
              <w:gridCol w:w="1123"/>
              <w:gridCol w:w="4866"/>
              <w:gridCol w:w="11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restar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序号</w:t>
                  </w:r>
                </w:p>
              </w:tc>
              <w:tc>
                <w:tcPr>
                  <w:tcW w:w="1049" w:type="pct"/>
                  <w:gridSpan w:val="2"/>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投入</w:t>
                  </w:r>
                </w:p>
              </w:tc>
              <w:tc>
                <w:tcPr>
                  <w:tcW w:w="3569" w:type="pct"/>
                  <w:gridSpan w:val="2"/>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产出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名称</w:t>
                  </w:r>
                </w:p>
              </w:tc>
              <w:tc>
                <w:tcPr>
                  <w:tcW w:w="668"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数量（t）</w:t>
                  </w:r>
                </w:p>
              </w:tc>
              <w:tc>
                <w:tcPr>
                  <w:tcW w:w="290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名称</w:t>
                  </w:r>
                </w:p>
              </w:tc>
              <w:tc>
                <w:tcPr>
                  <w:tcW w:w="668"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数量（t）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1</w:t>
                  </w:r>
                </w:p>
              </w:tc>
              <w:tc>
                <w:tcPr>
                  <w:tcW w:w="380"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高梁</w:t>
                  </w:r>
                </w:p>
              </w:tc>
              <w:tc>
                <w:tcPr>
                  <w:tcW w:w="668"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206</w:t>
                  </w:r>
                </w:p>
              </w:tc>
              <w:tc>
                <w:tcPr>
                  <w:tcW w:w="2900"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14:textFill>
                        <w14:solidFill>
                          <w14:schemeClr w14:val="tx1"/>
                        </w14:solidFill>
                      </w14:textFill>
                    </w:rPr>
                    <w:t>产品</w:t>
                  </w:r>
                </w:p>
              </w:tc>
              <w:tc>
                <w:tcPr>
                  <w:tcW w:w="668"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2</w:t>
                  </w:r>
                </w:p>
              </w:tc>
              <w:tc>
                <w:tcPr>
                  <w:tcW w:w="380"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玉米</w:t>
                  </w:r>
                </w:p>
              </w:tc>
              <w:tc>
                <w:tcPr>
                  <w:tcW w:w="668"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69</w:t>
                  </w:r>
                </w:p>
              </w:tc>
              <w:tc>
                <w:tcPr>
                  <w:tcW w:w="2900"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酒糟</w:t>
                  </w:r>
                </w:p>
              </w:tc>
              <w:tc>
                <w:tcPr>
                  <w:tcW w:w="668"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22.368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3</w:t>
                  </w:r>
                </w:p>
              </w:tc>
              <w:tc>
                <w:tcPr>
                  <w:tcW w:w="380"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大米</w:t>
                  </w:r>
                </w:p>
              </w:tc>
              <w:tc>
                <w:tcPr>
                  <w:tcW w:w="668"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34</w:t>
                  </w:r>
                </w:p>
              </w:tc>
              <w:tc>
                <w:tcPr>
                  <w:tcW w:w="2900"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废水</w:t>
                  </w:r>
                </w:p>
              </w:tc>
              <w:tc>
                <w:tcPr>
                  <w:tcW w:w="668"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432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4</w:t>
                  </w:r>
                </w:p>
              </w:tc>
              <w:tc>
                <w:tcPr>
                  <w:tcW w:w="380"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小麦</w:t>
                  </w:r>
                </w:p>
              </w:tc>
              <w:tc>
                <w:tcPr>
                  <w:tcW w:w="668"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17</w:t>
                  </w:r>
                </w:p>
              </w:tc>
              <w:tc>
                <w:tcPr>
                  <w:tcW w:w="2900"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损耗（包含水损耗、发酵过程中的微生物损耗等）</w:t>
                  </w:r>
                </w:p>
              </w:tc>
              <w:tc>
                <w:tcPr>
                  <w:tcW w:w="668"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2142.832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5</w:t>
                  </w:r>
                </w:p>
              </w:tc>
              <w:tc>
                <w:tcPr>
                  <w:tcW w:w="380" w:type="pct"/>
                  <w:shd w:val="clear" w:color="auto" w:fill="auto"/>
                  <w:noWrap w:val="0"/>
                  <w:vAlign w:val="center"/>
                </w:tcPr>
                <w:p>
                  <w:pPr>
                    <w:widowControl/>
                    <w:jc w:val="center"/>
                    <w:textAlignment w:val="cente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酒曲</w:t>
                  </w:r>
                </w:p>
              </w:tc>
              <w:tc>
                <w:tcPr>
                  <w:tcW w:w="668" w:type="pct"/>
                  <w:shd w:val="clear" w:color="auto" w:fill="auto"/>
                  <w:noWrap w:val="0"/>
                  <w:vAlign w:val="center"/>
                </w:tcPr>
                <w:p>
                  <w:pPr>
                    <w:widowControl/>
                    <w:jc w:val="center"/>
                    <w:textAlignment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41</w:t>
                  </w:r>
                </w:p>
              </w:tc>
              <w:tc>
                <w:tcPr>
                  <w:tcW w:w="2900"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668"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6</w:t>
                  </w:r>
                </w:p>
              </w:tc>
              <w:tc>
                <w:tcPr>
                  <w:tcW w:w="380"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水</w:t>
                  </w:r>
                </w:p>
              </w:tc>
              <w:tc>
                <w:tcPr>
                  <w:tcW w:w="668"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2380.2</w:t>
                  </w:r>
                </w:p>
              </w:tc>
              <w:tc>
                <w:tcPr>
                  <w:tcW w:w="2900"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668"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合计</w:t>
                  </w:r>
                </w:p>
              </w:tc>
              <w:tc>
                <w:tcPr>
                  <w:tcW w:w="380"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668"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themeColor="text1"/>
                      <w:kern w:val="2"/>
                      <w:sz w:val="21"/>
                      <w:szCs w:val="21"/>
                      <w:u w:val="none"/>
                      <w:lang w:val="en-US" w:eastAsia="zh-CN" w:bidi="ar-SA"/>
                      <w14:textFill>
                        <w14:solidFill>
                          <w14:schemeClr w14:val="tx1"/>
                        </w14:solidFill>
                      </w14:textFill>
                    </w:rPr>
                    <w:t>2747.2</w:t>
                  </w:r>
                </w:p>
              </w:tc>
              <w:tc>
                <w:tcPr>
                  <w:tcW w:w="2900" w:type="pct"/>
                  <w:noWrap w:val="0"/>
                  <w:vAlign w:val="bottom"/>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668" w:type="pct"/>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21"/>
                      <w:szCs w:val="21"/>
                      <w:u w:val="none"/>
                      <w:lang w:val="en-US" w:eastAsia="zh-CN" w:bidi="ar-SA"/>
                      <w14:textFill>
                        <w14:solidFill>
                          <w14:schemeClr w14:val="tx1"/>
                        </w14:solidFill>
                      </w14:textFill>
                    </w:rPr>
                    <w:t>2747.2</w:t>
                  </w:r>
                </w:p>
              </w:tc>
            </w:tr>
            <w:bookmarkEnd w:id="18"/>
          </w:tbl>
          <w:p>
            <w:pPr>
              <w:pStyle w:val="6"/>
              <w:jc w:val="center"/>
              <w:rPr>
                <w:rFonts w:hint="default"/>
                <w:color w:val="000000" w:themeColor="text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455" w:type="dxa"/>
            <w:tcBorders>
              <w:tl2br w:val="nil"/>
              <w:tr2bl w:val="nil"/>
            </w:tcBorders>
            <w:noWrap w:val="0"/>
            <w:vAlign w:val="center"/>
          </w:tcPr>
          <w:p>
            <w:pPr>
              <w:pStyle w:val="29"/>
              <w:adjustRightInd w:val="0"/>
              <w:snapToGrid w:val="0"/>
              <w:spacing w:before="0" w:beforeAutospacing="0" w:after="0" w:afterAutospacing="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kern w:val="2"/>
                <w:sz w:val="24"/>
                <w:szCs w:val="24"/>
                <w:highlight w:val="none"/>
                <w14:textFill>
                  <w14:solidFill>
                    <w14:schemeClr w14:val="tx1"/>
                  </w14:solidFill>
                </w14:textFill>
              </w:rPr>
              <w:t>与项目有关的原有环境污染问题</w:t>
            </w:r>
          </w:p>
        </w:tc>
        <w:tc>
          <w:tcPr>
            <w:tcW w:w="8605" w:type="dxa"/>
            <w:tcBorders>
              <w:tl2br w:val="nil"/>
              <w:tr2bl w:val="nil"/>
            </w:tcBorders>
            <w:noWrap w:val="0"/>
            <w:vAlign w:val="center"/>
          </w:tcPr>
          <w:p>
            <w:pPr>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本项目为新建项目，不存在与本项目有关的原有污染情况及主要环境问题。</w:t>
            </w:r>
          </w:p>
          <w:p>
            <w:pPr>
              <w:pStyle w:val="10"/>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color w:val="000000" w:themeColor="text1"/>
                <w:sz w:val="24"/>
                <w:highlight w:val="none"/>
                <w14:textFill>
                  <w14:solidFill>
                    <w14:schemeClr w14:val="tx1"/>
                  </w14:solidFill>
                </w14:textFill>
              </w:rPr>
            </w:pPr>
          </w:p>
          <w:p>
            <w:pPr>
              <w:pStyle w:val="15"/>
              <w:widowControl w:val="0"/>
              <w:numPr>
                <w:ilvl w:val="0"/>
                <w:numId w:val="0"/>
              </w:numPr>
              <w:jc w:val="both"/>
              <w:rPr>
                <w:rFonts w:hint="default"/>
                <w:color w:val="000000" w:themeColor="text1"/>
                <w:sz w:val="24"/>
                <w:highlight w:val="none"/>
                <w:lang w:val="en-US" w:eastAsia="zh-CN"/>
                <w14:textFill>
                  <w14:solidFill>
                    <w14:schemeClr w14:val="tx1"/>
                  </w14:solidFill>
                </w14:textFill>
              </w:rPr>
            </w:pPr>
          </w:p>
        </w:tc>
      </w:tr>
    </w:tbl>
    <w:p>
      <w:pPr>
        <w:pStyle w:val="29"/>
        <w:jc w:val="center"/>
        <w:rPr>
          <w:rFonts w:hint="eastAsia" w:ascii="宋体" w:hAnsi="宋体" w:eastAsia="宋体" w:cs="宋体"/>
          <w:snapToGrid w:val="0"/>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9"/>
        <w:adjustRightInd w:val="0"/>
        <w:snapToGrid w:val="0"/>
        <w:spacing w:before="0" w:beforeAutospacing="0" w:after="0" w:afterAutospacing="0" w:line="14" w:lineRule="auto"/>
        <w:jc w:val="center"/>
        <w:outlineLvl w:val="9"/>
        <w:rPr>
          <w:rFonts w:hint="eastAsia" w:ascii="宋体" w:hAnsi="宋体" w:eastAsia="宋体" w:cs="宋体"/>
          <w:snapToGrid w:val="0"/>
          <w:sz w:val="30"/>
          <w:szCs w:val="30"/>
          <w:highlight w:val="none"/>
        </w:rPr>
      </w:pP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eastAsia" w:ascii="黑体" w:hAnsi="黑体" w:eastAsia="黑体" w:cs="黑体"/>
          <w:snapToGrid w:val="0"/>
          <w:sz w:val="30"/>
          <w:szCs w:val="30"/>
          <w:highlight w:val="none"/>
        </w:rPr>
      </w:pPr>
      <w:bookmarkStart w:id="20" w:name="_Toc21897"/>
      <w:r>
        <w:rPr>
          <w:rFonts w:hint="eastAsia" w:ascii="黑体" w:hAnsi="黑体" w:eastAsia="黑体" w:cs="黑体"/>
          <w:snapToGrid w:val="0"/>
          <w:sz w:val="30"/>
          <w:szCs w:val="30"/>
          <w:highlight w:val="none"/>
        </w:rPr>
        <w:t>三、区域环境质量现状、环境保护目标及评价标准</w:t>
      </w:r>
      <w:bookmarkEnd w:id="20"/>
    </w:p>
    <w:tbl>
      <w:tblPr>
        <w:tblStyle w:val="33"/>
        <w:tblW w:w="5002"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26"/>
        <w:gridCol w:w="853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2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4"/>
                <w:szCs w:val="24"/>
                <w:highlight w:val="none"/>
              </w:rPr>
              <w:t>区域环境质量现状</w:t>
            </w:r>
          </w:p>
        </w:tc>
        <w:tc>
          <w:tcPr>
            <w:tcW w:w="853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360" w:lineRule="auto"/>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1、环境空气</w:t>
            </w:r>
          </w:p>
          <w:p>
            <w:pPr>
              <w:keepNext w:val="0"/>
              <w:keepLines/>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pPr>
            <w:r>
              <w:rPr>
                <w:rFonts w:hint="eastAsia" w:cs="Times New Roman"/>
                <w:color w:val="000000" w:themeColor="text1"/>
                <w:spacing w:val="0"/>
                <w:kern w:val="0"/>
                <w:position w:val="0"/>
                <w:sz w:val="24"/>
                <w:szCs w:val="24"/>
                <w:highlight w:val="none"/>
                <w:lang w:val="en-US" w:eastAsia="zh-CN" w:bidi="zh-CN"/>
                <w14:textFill>
                  <w14:solidFill>
                    <w14:schemeClr w14:val="tx1"/>
                  </w14:solidFill>
                </w14:textFill>
              </w:rPr>
              <w:t>根据《巴音郭楞蒙古自治州2024年生态环境状况公</w:t>
            </w:r>
            <w:r>
              <w:rPr>
                <w:rFonts w:hint="default" w:ascii="Times New Roman" w:hAnsi="Times New Roman" w:cs="Times New Roman" w:eastAsiaTheme="minorEastAsia"/>
                <w:color w:val="000000" w:themeColor="text1"/>
                <w:spacing w:val="0"/>
                <w:kern w:val="0"/>
                <w:position w:val="0"/>
                <w:sz w:val="24"/>
                <w:szCs w:val="24"/>
                <w:highlight w:val="none"/>
                <w:lang w:val="en-US" w:eastAsia="zh-CN" w:bidi="zh-CN"/>
                <w14:textFill>
                  <w14:solidFill>
                    <w14:schemeClr w14:val="tx1"/>
                  </w14:solidFill>
                </w14:textFill>
              </w:rPr>
              <w:t>报》中的</w:t>
            </w:r>
            <w:r>
              <w:rPr>
                <w:rFonts w:hint="default" w:ascii="Times New Roman" w:hAnsi="Times New Roman" w:cs="Times New Roman" w:eastAsiaTheme="minorEastAsia"/>
                <w:i w:val="0"/>
                <w:iCs w:val="0"/>
                <w:caps w:val="0"/>
                <w:color w:val="000000" w:themeColor="text1"/>
                <w:spacing w:val="0"/>
                <w:sz w:val="24"/>
                <w:szCs w:val="24"/>
                <w:u w:val="none"/>
                <w:shd w:val="clear" w:fill="FFFFFF"/>
                <w14:textFill>
                  <w14:solidFill>
                    <w14:schemeClr w14:val="tx1"/>
                  </w14:solidFill>
                </w14:textFill>
              </w:rPr>
              <w:t>空气环境质量</w:t>
            </w:r>
            <w:r>
              <w:rPr>
                <w:rFonts w:hint="eastAsia" w:ascii="Times New Roman" w:hAnsi="Times New Roman" w:cs="Times New Roman" w:eastAsiaTheme="minorEastAsia"/>
                <w:i w:val="0"/>
                <w:iCs w:val="0"/>
                <w:caps w:val="0"/>
                <w:color w:val="000000" w:themeColor="text1"/>
                <w:spacing w:val="0"/>
                <w:sz w:val="24"/>
                <w:szCs w:val="24"/>
                <w:u w:val="none"/>
                <w:shd w:val="clear" w:fill="FFFFFF"/>
                <w:lang w:eastAsia="zh-CN"/>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sz w:val="24"/>
                <w:szCs w:val="24"/>
                <w:u w:val="none"/>
                <w:shd w:val="clear" w:fill="FFFFFF"/>
                <w14:textFill>
                  <w14:solidFill>
                    <w14:schemeClr w14:val="tx1"/>
                  </w14:solidFill>
                </w14:textFill>
              </w:rPr>
              <w:t>2024年，全州空气质量综合指数为5.22，同比下降7.9%，空气质量明显好于2023年。全州平均优良天数比例为62%，同比增加15.7%，PM</w:t>
            </w:r>
            <w:r>
              <w:rPr>
                <w:rFonts w:hint="default" w:ascii="Times New Roman" w:hAnsi="Times New Roman" w:cs="Times New Roman" w:eastAsiaTheme="minorEastAsia"/>
                <w:i w:val="0"/>
                <w:iCs w:val="0"/>
                <w:caps w:val="0"/>
                <w:color w:val="000000" w:themeColor="text1"/>
                <w:spacing w:val="0"/>
                <w:sz w:val="24"/>
                <w:szCs w:val="24"/>
                <w:u w:val="none"/>
                <w:shd w:val="clear" w:fill="FFFFFF"/>
                <w:vertAlign w:val="subscript"/>
                <w14:textFill>
                  <w14:solidFill>
                    <w14:schemeClr w14:val="tx1"/>
                  </w14:solidFill>
                </w14:textFill>
              </w:rPr>
              <w:t>10</w:t>
            </w:r>
            <w:r>
              <w:rPr>
                <w:rFonts w:hint="default" w:ascii="Times New Roman" w:hAnsi="Times New Roman" w:cs="Times New Roman" w:eastAsiaTheme="minorEastAsia"/>
                <w:i w:val="0"/>
                <w:iCs w:val="0"/>
                <w:caps w:val="0"/>
                <w:color w:val="000000" w:themeColor="text1"/>
                <w:spacing w:val="0"/>
                <w:sz w:val="24"/>
                <w:szCs w:val="24"/>
                <w:u w:val="none"/>
                <w:shd w:val="clear" w:fill="FFFFFF"/>
                <w14:textFill>
                  <w14:solidFill>
                    <w14:schemeClr w14:val="tx1"/>
                  </w14:solidFill>
                </w14:textFill>
              </w:rPr>
              <w:t>为首要污染物，未出现PM</w:t>
            </w:r>
            <w:r>
              <w:rPr>
                <w:rFonts w:hint="default" w:ascii="Times New Roman" w:hAnsi="Times New Roman" w:cs="Times New Roman" w:eastAsiaTheme="minorEastAsia"/>
                <w:i w:val="0"/>
                <w:iCs w:val="0"/>
                <w:caps w:val="0"/>
                <w:color w:val="000000" w:themeColor="text1"/>
                <w:spacing w:val="0"/>
                <w:sz w:val="24"/>
                <w:szCs w:val="24"/>
                <w:u w:val="none"/>
                <w:shd w:val="clear" w:fill="FFFFFF"/>
                <w:vertAlign w:val="subscript"/>
                <w14:textFill>
                  <w14:solidFill>
                    <w14:schemeClr w14:val="tx1"/>
                  </w14:solidFill>
                </w14:textFill>
              </w:rPr>
              <w:t>2.5</w:t>
            </w:r>
            <w:r>
              <w:rPr>
                <w:rFonts w:hint="default" w:ascii="Times New Roman" w:hAnsi="Times New Roman" w:cs="Times New Roman" w:eastAsiaTheme="minorEastAsia"/>
                <w:i w:val="0"/>
                <w:iCs w:val="0"/>
                <w:caps w:val="0"/>
                <w:color w:val="000000" w:themeColor="text1"/>
                <w:spacing w:val="0"/>
                <w:sz w:val="24"/>
                <w:szCs w:val="24"/>
                <w:u w:val="none"/>
                <w:shd w:val="clear" w:fill="FFFFFF"/>
                <w14:textFill>
                  <w14:solidFill>
                    <w14:schemeClr w14:val="tx1"/>
                  </w14:solidFill>
                </w14:textFill>
              </w:rPr>
              <w:t>、O</w:t>
            </w:r>
            <w:r>
              <w:rPr>
                <w:rFonts w:hint="default" w:ascii="Times New Roman" w:hAnsi="Times New Roman" w:cs="Times New Roman" w:eastAsiaTheme="minorEastAsia"/>
                <w:i w:val="0"/>
                <w:iCs w:val="0"/>
                <w:caps w:val="0"/>
                <w:color w:val="000000" w:themeColor="text1"/>
                <w:spacing w:val="0"/>
                <w:sz w:val="24"/>
                <w:szCs w:val="24"/>
                <w:u w:val="none"/>
                <w:shd w:val="clear" w:fill="FFFFFF"/>
                <w:vertAlign w:val="subscript"/>
                <w14:textFill>
                  <w14:solidFill>
                    <w14:schemeClr w14:val="tx1"/>
                  </w14:solidFill>
                </w14:textFill>
              </w:rPr>
              <w:t>3-8</w:t>
            </w:r>
            <w:r>
              <w:rPr>
                <w:rFonts w:hint="eastAsia" w:ascii="Times New Roman" w:hAnsi="Times New Roman" w:cs="Times New Roman" w:eastAsiaTheme="minorEastAsia"/>
                <w:i w:val="0"/>
                <w:iCs w:val="0"/>
                <w:caps w:val="0"/>
                <w:color w:val="000000" w:themeColor="text1"/>
                <w:spacing w:val="0"/>
                <w:sz w:val="24"/>
                <w:szCs w:val="24"/>
                <w:u w:val="none"/>
                <w:shd w:val="clear" w:fill="FFFFFF"/>
                <w:vertAlign w:val="subscript"/>
                <w:lang w:val="en-US" w:eastAsia="zh-CN"/>
                <w14:textFill>
                  <w14:solidFill>
                    <w14:schemeClr w14:val="tx1"/>
                  </w14:solidFill>
                </w14:textFill>
              </w:rPr>
              <w:t>h</w:t>
            </w:r>
            <w:r>
              <w:rPr>
                <w:rFonts w:hint="default" w:ascii="Times New Roman" w:hAnsi="Times New Roman" w:cs="Times New Roman" w:eastAsiaTheme="minorEastAsia"/>
                <w:i w:val="0"/>
                <w:iCs w:val="0"/>
                <w:caps w:val="0"/>
                <w:color w:val="000000" w:themeColor="text1"/>
                <w:spacing w:val="0"/>
                <w:sz w:val="24"/>
                <w:szCs w:val="24"/>
                <w:u w:val="none"/>
                <w:shd w:val="clear" w:fill="FFFFFF"/>
                <w14:textFill>
                  <w14:solidFill>
                    <w14:schemeClr w14:val="tx1"/>
                  </w14:solidFill>
                </w14:textFill>
              </w:rPr>
              <w:t>、SO</w:t>
            </w:r>
            <w:r>
              <w:rPr>
                <w:rFonts w:hint="default" w:ascii="Times New Roman" w:hAnsi="Times New Roman" w:cs="Times New Roman" w:eastAsiaTheme="minorEastAsia"/>
                <w:i w:val="0"/>
                <w:iCs w:val="0"/>
                <w:caps w:val="0"/>
                <w:color w:val="000000" w:themeColor="text1"/>
                <w:spacing w:val="0"/>
                <w:sz w:val="24"/>
                <w:szCs w:val="24"/>
                <w:u w:val="none"/>
                <w:shd w:val="clear" w:fill="FFFFFF"/>
                <w:vertAlign w:val="subscript"/>
                <w14:textFill>
                  <w14:solidFill>
                    <w14:schemeClr w14:val="tx1"/>
                  </w14:solidFill>
                </w14:textFill>
              </w:rPr>
              <w:t>2</w:t>
            </w:r>
            <w:r>
              <w:rPr>
                <w:rFonts w:hint="default" w:ascii="Times New Roman" w:hAnsi="Times New Roman" w:cs="Times New Roman" w:eastAsiaTheme="minorEastAsia"/>
                <w:i w:val="0"/>
                <w:iCs w:val="0"/>
                <w:caps w:val="0"/>
                <w:color w:val="000000" w:themeColor="text1"/>
                <w:spacing w:val="0"/>
                <w:sz w:val="24"/>
                <w:szCs w:val="24"/>
                <w:u w:val="none"/>
                <w:shd w:val="clear" w:fill="FFFFFF"/>
                <w14:textFill>
                  <w14:solidFill>
                    <w14:schemeClr w14:val="tx1"/>
                  </w14:solidFill>
                </w14:textFill>
              </w:rPr>
              <w:t>、NO</w:t>
            </w:r>
            <w:r>
              <w:rPr>
                <w:rFonts w:hint="default" w:ascii="Times New Roman" w:hAnsi="Times New Roman" w:cs="Times New Roman" w:eastAsiaTheme="minorEastAsia"/>
                <w:i w:val="0"/>
                <w:iCs w:val="0"/>
                <w:caps w:val="0"/>
                <w:color w:val="000000" w:themeColor="text1"/>
                <w:spacing w:val="0"/>
                <w:sz w:val="24"/>
                <w:szCs w:val="24"/>
                <w:u w:val="none"/>
                <w:shd w:val="clear" w:fill="FFFFFF"/>
                <w:vertAlign w:val="subscript"/>
                <w14:textFill>
                  <w14:solidFill>
                    <w14:schemeClr w14:val="tx1"/>
                  </w14:solidFill>
                </w14:textFill>
              </w:rPr>
              <w:t>2</w:t>
            </w:r>
            <w:r>
              <w:rPr>
                <w:rFonts w:hint="default" w:ascii="Times New Roman" w:hAnsi="Times New Roman" w:cs="Times New Roman" w:eastAsiaTheme="minorEastAsia"/>
                <w:i w:val="0"/>
                <w:iCs w:val="0"/>
                <w:caps w:val="0"/>
                <w:color w:val="000000" w:themeColor="text1"/>
                <w:spacing w:val="0"/>
                <w:sz w:val="24"/>
                <w:szCs w:val="24"/>
                <w:u w:val="none"/>
                <w:shd w:val="clear" w:fill="FFFFFF"/>
                <w14:textFill>
                  <w14:solidFill>
                    <w14:schemeClr w14:val="tx1"/>
                  </w14:solidFill>
                </w14:textFill>
              </w:rPr>
              <w:t>、CO为首要污染物的超标天。</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因此判断本项目所在区域为不达标区</w:t>
            </w:r>
            <w:r>
              <w:rPr>
                <w:rFonts w:hint="eastAsia" w:cs="Times New Roman"/>
                <w:color w:val="000000" w:themeColor="text1"/>
                <w:spacing w:val="0"/>
                <w:kern w:val="0"/>
                <w:sz w:val="24"/>
                <w:szCs w:val="24"/>
                <w:highlight w:val="none"/>
                <w:lang w:val="en-US" w:eastAsia="zh-CN"/>
                <w14:textFill>
                  <w14:solidFill>
                    <w14:schemeClr w14:val="tx1"/>
                  </w14:solidFill>
                </w14:textFill>
              </w:rPr>
              <w:t>，不达标因子为PM</w:t>
            </w:r>
            <w:r>
              <w:rPr>
                <w:rFonts w:hint="eastAsia" w:cs="Times New Roman"/>
                <w:color w:val="000000" w:themeColor="text1"/>
                <w:spacing w:val="0"/>
                <w:kern w:val="0"/>
                <w:sz w:val="24"/>
                <w:szCs w:val="24"/>
                <w:highlight w:val="none"/>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w:t>
            </w:r>
          </w:p>
          <w:p>
            <w:pPr>
              <w:keepNext w:val="0"/>
              <w:keepLines w:val="0"/>
              <w:pageBreakBefore w:val="0"/>
              <w:kinsoku/>
              <w:wordWrap/>
              <w:overflowPunct/>
              <w:topLinePunct w:val="0"/>
              <w:bidi w:val="0"/>
              <w:adjustRightInd w:val="0"/>
              <w:snapToGrid w:val="0"/>
              <w:spacing w:line="360" w:lineRule="auto"/>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2、地表水环境质量</w:t>
            </w:r>
          </w:p>
          <w:p>
            <w:pPr>
              <w:keepNext w:val="0"/>
              <w:keepLines w:val="0"/>
              <w:pageBreakBefore w:val="0"/>
              <w:kinsoku/>
              <w:wordWrap/>
              <w:overflowPunct/>
              <w:topLinePunct w:val="0"/>
              <w:bidi w:val="0"/>
              <w:adjustRightInd w:val="0"/>
              <w:snapToGrid w:val="0"/>
              <w:spacing w:line="360" w:lineRule="auto"/>
              <w:ind w:firstLine="480" w:firstLineChars="200"/>
              <w:jc w:val="both"/>
              <w:rPr>
                <w:rFonts w:hint="default" w:ascii="Times New Roman" w:hAnsi="Times New Roman" w:eastAsia="宋体" w:cs="Times New Roman"/>
                <w:snapToGrid/>
                <w:color w:val="000000"/>
                <w:spacing w:val="0"/>
                <w:kern w:val="0"/>
                <w:sz w:val="24"/>
                <w:szCs w:val="24"/>
                <w:lang w:val="en-US" w:eastAsia="zh-CN" w:bidi="ar"/>
              </w:rPr>
            </w:pPr>
            <w:bookmarkStart w:id="21" w:name="_Toc27865"/>
            <w:r>
              <w:rPr>
                <w:rFonts w:hint="default" w:ascii="Times New Roman" w:hAnsi="Times New Roman" w:eastAsia="宋体" w:cs="Times New Roman"/>
                <w:snapToGrid/>
                <w:color w:val="000000"/>
                <w:spacing w:val="0"/>
                <w:kern w:val="0"/>
                <w:sz w:val="24"/>
                <w:szCs w:val="24"/>
                <w:lang w:val="en-US" w:eastAsia="zh-CN" w:bidi="ar"/>
              </w:rPr>
              <w:t>根据《2024年巴音郭楞蒙古自治州生态环境状况公报》可知：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p>
          <w:p>
            <w:pPr>
              <w:keepNext w:val="0"/>
              <w:keepLines w:val="0"/>
              <w:pageBreakBefore w:val="0"/>
              <w:kinsoku/>
              <w:wordWrap/>
              <w:overflowPunct/>
              <w:topLinePunct w:val="0"/>
              <w:bidi w:val="0"/>
              <w:adjustRightInd w:val="0"/>
              <w:snapToGrid w:val="0"/>
              <w:spacing w:line="360" w:lineRule="auto"/>
              <w:ind w:firstLine="480" w:firstLineChars="200"/>
              <w:jc w:val="both"/>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距离本项目最近的地表水体为</w:t>
            </w:r>
            <w:r>
              <w:rPr>
                <w:rFonts w:hint="eastAsia" w:cs="Times New Roman"/>
                <w:color w:val="000000"/>
                <w:sz w:val="24"/>
                <w:szCs w:val="24"/>
                <w:lang w:val="en-US" w:eastAsia="zh-CN"/>
              </w:rPr>
              <w:t>开都河</w:t>
            </w:r>
            <w:r>
              <w:rPr>
                <w:rFonts w:hint="default" w:ascii="Times New Roman" w:hAnsi="Times New Roman" w:eastAsia="宋体" w:cs="Times New Roman"/>
                <w:color w:val="000000"/>
                <w:sz w:val="24"/>
                <w:szCs w:val="24"/>
                <w:lang w:val="en-US" w:eastAsia="zh-CN"/>
              </w:rPr>
              <w:t>，位于项目区</w:t>
            </w:r>
            <w:r>
              <w:rPr>
                <w:rFonts w:hint="eastAsia" w:cs="Times New Roman"/>
                <w:color w:val="000000"/>
                <w:sz w:val="24"/>
                <w:szCs w:val="24"/>
                <w:lang w:val="en-US" w:eastAsia="zh-CN"/>
              </w:rPr>
              <w:t>南</w:t>
            </w:r>
            <w:r>
              <w:rPr>
                <w:rFonts w:hint="default" w:ascii="Times New Roman" w:hAnsi="Times New Roman" w:eastAsia="宋体" w:cs="Times New Roman"/>
                <w:color w:val="000000"/>
                <w:sz w:val="24"/>
                <w:szCs w:val="24"/>
                <w:lang w:val="en-US" w:eastAsia="zh-CN"/>
              </w:rPr>
              <w:t>侧</w:t>
            </w:r>
            <w:r>
              <w:rPr>
                <w:rFonts w:hint="eastAsia" w:cs="Times New Roman"/>
                <w:color w:val="000000"/>
                <w:sz w:val="24"/>
                <w:szCs w:val="24"/>
                <w:lang w:val="en-US" w:eastAsia="zh-CN"/>
              </w:rPr>
              <w:t>3.6</w:t>
            </w:r>
            <w:r>
              <w:rPr>
                <w:rFonts w:hint="default" w:ascii="Times New Roman" w:hAnsi="Times New Roman" w:eastAsia="宋体" w:cs="Times New Roman"/>
                <w:color w:val="000000"/>
                <w:sz w:val="24"/>
                <w:szCs w:val="24"/>
                <w:lang w:val="en-US" w:eastAsia="zh-CN"/>
              </w:rPr>
              <w:t>km处，开都河水质可满足《地表水环境质量标准》（GB3838-2002）中Ⅱ类水质标准</w:t>
            </w:r>
            <w:r>
              <w:rPr>
                <w:rFonts w:hint="default" w:ascii="Times New Roman" w:hAnsi="Times New Roman" w:eastAsia="宋体" w:cs="Times New Roman"/>
                <w:color w:val="000000"/>
                <w:sz w:val="24"/>
                <w:szCs w:val="24"/>
                <w:highlight w:val="none"/>
                <w:lang w:val="en-US" w:eastAsia="zh-CN"/>
              </w:rPr>
              <w:t>。</w:t>
            </w:r>
          </w:p>
          <w:p>
            <w:pPr>
              <w:keepNext w:val="0"/>
              <w:keepLines w:val="0"/>
              <w:pageBreakBefore w:val="0"/>
              <w:kinsoku/>
              <w:wordWrap/>
              <w:overflowPunct/>
              <w:topLinePunct w:val="0"/>
              <w:bidi w:val="0"/>
              <w:adjustRightInd w:val="0"/>
              <w:snapToGrid w:val="0"/>
              <w:spacing w:line="360" w:lineRule="auto"/>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3、声环境质量现状</w:t>
            </w:r>
            <w:bookmarkEnd w:id="21"/>
          </w:p>
          <w:p>
            <w:pPr>
              <w:keepNext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项目周边50m范围内声环境敏感目标为东侧居民点，本次对项目区声敏感点处声环境质量进行调查。</w:t>
            </w:r>
          </w:p>
          <w:p>
            <w:pPr>
              <w:keepNext w:val="0"/>
              <w:keepLines/>
              <w:pageBreakBefore w:val="0"/>
              <w:widowControl w:val="0"/>
              <w:kinsoku/>
              <w:wordWrap/>
              <w:overflowPunct/>
              <w:topLinePunct w:val="0"/>
              <w:autoSpaceDE/>
              <w:autoSpaceDN/>
              <w:bidi w:val="0"/>
              <w:adjustRightInd w:val="0"/>
              <w:snapToGrid w:val="0"/>
              <w:spacing w:before="0" w:beforeLines="0" w:after="0" w:afterLines="0" w:line="360" w:lineRule="auto"/>
              <w:ind w:right="0" w:firstLine="482" w:firstLineChars="200"/>
              <w:jc w:val="both"/>
              <w:textAlignment w:val="baseline"/>
              <w:outlineLvl w:val="2"/>
              <w:rPr>
                <w:rFonts w:hint="default" w:ascii="Times New Roman" w:hAnsi="Times New Roman" w:eastAsia="宋体" w:cs="Times New Roman"/>
                <w:b/>
                <w:bCs/>
                <w:kern w:val="0"/>
                <w:sz w:val="24"/>
                <w:szCs w:val="20"/>
                <w:lang w:val="en-US" w:eastAsia="zh-CN" w:bidi="ar-SA"/>
              </w:rPr>
            </w:pPr>
            <w:bookmarkStart w:id="22" w:name="_Toc329596227"/>
            <w:bookmarkStart w:id="23" w:name="_Toc359250053"/>
            <w:bookmarkStart w:id="24" w:name="_Toc361044238"/>
            <w:r>
              <w:rPr>
                <w:rFonts w:hint="default" w:ascii="Times New Roman" w:hAnsi="Times New Roman" w:eastAsia="宋体" w:cs="Times New Roman"/>
                <w:b/>
                <w:bCs/>
                <w:kern w:val="0"/>
                <w:sz w:val="24"/>
                <w:szCs w:val="20"/>
                <w:lang w:val="en-US" w:eastAsia="zh-CN" w:bidi="ar-SA"/>
              </w:rPr>
              <w:t>3.1监测布点</w:t>
            </w:r>
            <w:bookmarkEnd w:id="22"/>
            <w:bookmarkEnd w:id="23"/>
            <w:bookmarkEnd w:id="24"/>
          </w:p>
          <w:p>
            <w:pPr>
              <w:keepNext w:val="0"/>
              <w:pageBreakBefore w:val="0"/>
              <w:widowControl w:val="0"/>
              <w:kinsoku/>
              <w:wordWrap/>
              <w:overflowPunct/>
              <w:topLinePunct w:val="0"/>
              <w:autoSpaceDE/>
              <w:autoSpaceDN/>
              <w:bidi w:val="0"/>
              <w:adjustRightInd w:val="0"/>
              <w:snapToGrid w:val="0"/>
              <w:spacing w:line="360" w:lineRule="auto"/>
              <w:ind w:right="0"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bookmarkStart w:id="25" w:name="_Toc329596228"/>
            <w:bookmarkStart w:id="26" w:name="_Toc143254457"/>
            <w:bookmarkStart w:id="27" w:name="_Toc143252033"/>
            <w:r>
              <w:rPr>
                <w:rFonts w:hint="default" w:ascii="Times New Roman" w:hAnsi="Times New Roman" w:eastAsia="宋体" w:cs="Times New Roman"/>
                <w:color w:val="000000" w:themeColor="text1"/>
                <w:sz w:val="24"/>
                <w:highlight w:val="none"/>
                <w14:textFill>
                  <w14:solidFill>
                    <w14:schemeClr w14:val="tx1"/>
                  </w14:solidFill>
                </w14:textFill>
              </w:rPr>
              <w:t>本项目噪声现状监测主要为</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调查敏感点处声环境质量，在项目区</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东侧居民点设置1个监测点</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pageBreakBefore w:val="0"/>
              <w:widowControl w:val="0"/>
              <w:kinsoku/>
              <w:wordWrap/>
              <w:overflowPunct/>
              <w:topLinePunct w:val="0"/>
              <w:autoSpaceDE/>
              <w:autoSpaceDN/>
              <w:bidi w:val="0"/>
              <w:adjustRightInd w:val="0"/>
              <w:snapToGrid w:val="0"/>
              <w:spacing w:before="0" w:beforeLines="0" w:after="0" w:afterLines="0" w:line="360" w:lineRule="auto"/>
              <w:ind w:right="0" w:firstLine="482" w:firstLineChars="200"/>
              <w:jc w:val="both"/>
              <w:textAlignment w:val="baseline"/>
              <w:outlineLvl w:val="2"/>
              <w:rPr>
                <w:rFonts w:hint="default" w:ascii="Times New Roman" w:hAnsi="Times New Roman" w:eastAsia="宋体" w:cs="Times New Roman"/>
                <w:b/>
                <w:bCs/>
                <w:color w:val="000000" w:themeColor="text1"/>
                <w:kern w:val="0"/>
                <w:sz w:val="24"/>
                <w:szCs w:val="20"/>
                <w:lang w:val="en-US" w:eastAsia="zh-CN" w:bidi="ar-SA"/>
                <w14:textFill>
                  <w14:solidFill>
                    <w14:schemeClr w14:val="tx1"/>
                  </w14:solidFill>
                </w14:textFill>
              </w:rPr>
            </w:pPr>
            <w:bookmarkStart w:id="28" w:name="_Toc361044239"/>
            <w:bookmarkStart w:id="29" w:name="_Toc359250054"/>
            <w:r>
              <w:rPr>
                <w:rFonts w:hint="default" w:ascii="Times New Roman" w:hAnsi="Times New Roman" w:eastAsia="宋体" w:cs="Times New Roman"/>
                <w:b/>
                <w:bCs/>
                <w:color w:val="000000" w:themeColor="text1"/>
                <w:kern w:val="0"/>
                <w:sz w:val="24"/>
                <w:szCs w:val="20"/>
                <w:lang w:val="en-US" w:eastAsia="zh-CN" w:bidi="ar-SA"/>
                <w14:textFill>
                  <w14:solidFill>
                    <w14:schemeClr w14:val="tx1"/>
                  </w14:solidFill>
                </w14:textFill>
              </w:rPr>
              <w:t>3.2监测时段及监测方法</w:t>
            </w:r>
            <w:bookmarkEnd w:id="28"/>
            <w:bookmarkEnd w:id="29"/>
          </w:p>
          <w:bookmarkEnd w:id="25"/>
          <w:bookmarkEnd w:id="26"/>
          <w:bookmarkEnd w:id="27"/>
          <w:p>
            <w:pPr>
              <w:keepNext w:val="0"/>
              <w:pageBreakBefore w:val="0"/>
              <w:widowControl w:val="0"/>
              <w:kinsoku/>
              <w:wordWrap/>
              <w:overflowPunct/>
              <w:topLinePunct w:val="0"/>
              <w:autoSpaceDE/>
              <w:autoSpaceDN/>
              <w:bidi w:val="0"/>
              <w:adjustRightInd w:val="0"/>
              <w:snapToGrid w:val="0"/>
              <w:spacing w:line="360" w:lineRule="auto"/>
              <w:ind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监测时</w:t>
            </w:r>
            <w:r>
              <w:rPr>
                <w:rFonts w:hint="default" w:ascii="Times New Roman" w:hAnsi="Times New Roman" w:eastAsia="宋体" w:cs="Times New Roman"/>
                <w:color w:val="000000" w:themeColor="text1"/>
                <w:sz w:val="24"/>
                <w:highlight w:val="none"/>
                <w14:textFill>
                  <w14:solidFill>
                    <w14:schemeClr w14:val="tx1"/>
                  </w14:solidFill>
                </w14:textFill>
              </w:rPr>
              <w:t>间</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202</w:t>
            </w:r>
            <w:r>
              <w:rPr>
                <w:rFonts w:hint="eastAsia"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年</w:t>
            </w:r>
            <w:r>
              <w:rPr>
                <w:rFonts w:hint="eastAsia" w:cs="Times New Roman"/>
                <w:color w:val="000000" w:themeColor="text1"/>
                <w:sz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4"/>
                <w:highlight w:val="none"/>
                <w14:textFill>
                  <w14:solidFill>
                    <w14:schemeClr w14:val="tx1"/>
                  </w14:solidFill>
                </w14:textFill>
              </w:rPr>
              <w:t>月</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eastAsia"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日，</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新疆中测测试有限公司</w:t>
            </w:r>
            <w:r>
              <w:rPr>
                <w:rFonts w:hint="default" w:ascii="Times New Roman" w:hAnsi="Times New Roman" w:eastAsia="宋体" w:cs="Times New Roman"/>
                <w:color w:val="000000" w:themeColor="text1"/>
                <w:sz w:val="24"/>
                <w14:textFill>
                  <w14:solidFill>
                    <w14:schemeClr w14:val="tx1"/>
                  </w14:solidFill>
                </w14:textFill>
              </w:rPr>
              <w:t>分昼间和夜间两时段进行了监测。监测方法采用《声环境质量标准》（GB3096-2008）中的有关规定进行监测。</w:t>
            </w:r>
          </w:p>
          <w:p>
            <w:pPr>
              <w:keepNext w:val="0"/>
              <w:keepLines/>
              <w:pageBreakBefore w:val="0"/>
              <w:widowControl w:val="0"/>
              <w:kinsoku/>
              <w:wordWrap/>
              <w:overflowPunct/>
              <w:topLinePunct w:val="0"/>
              <w:autoSpaceDE/>
              <w:autoSpaceDN/>
              <w:bidi w:val="0"/>
              <w:adjustRightInd w:val="0"/>
              <w:snapToGrid w:val="0"/>
              <w:spacing w:before="0" w:beforeLines="0" w:after="0" w:afterLines="0" w:line="360" w:lineRule="auto"/>
              <w:ind w:right="0" w:firstLine="482" w:firstLineChars="200"/>
              <w:jc w:val="both"/>
              <w:textAlignment w:val="baseline"/>
              <w:outlineLvl w:val="2"/>
              <w:rPr>
                <w:rFonts w:hint="default" w:ascii="Times New Roman" w:hAnsi="Times New Roman" w:eastAsia="宋体" w:cs="Times New Roman"/>
                <w:b/>
                <w:bCs/>
                <w:color w:val="000000" w:themeColor="text1"/>
                <w:kern w:val="0"/>
                <w:sz w:val="24"/>
                <w:szCs w:val="20"/>
                <w:lang w:val="en-US" w:eastAsia="zh-CN" w:bidi="ar-SA"/>
                <w14:textFill>
                  <w14:solidFill>
                    <w14:schemeClr w14:val="tx1"/>
                  </w14:solidFill>
                </w14:textFill>
              </w:rPr>
            </w:pPr>
            <w:bookmarkStart w:id="30" w:name="_Toc361044240"/>
            <w:bookmarkStart w:id="31" w:name="_Toc329596229"/>
            <w:bookmarkStart w:id="32" w:name="_Toc143252035"/>
            <w:bookmarkStart w:id="33" w:name="_Toc359250055"/>
            <w:bookmarkStart w:id="34" w:name="_Toc143254459"/>
            <w:r>
              <w:rPr>
                <w:rFonts w:hint="default" w:ascii="Times New Roman" w:hAnsi="Times New Roman" w:eastAsia="宋体" w:cs="Times New Roman"/>
                <w:b/>
                <w:bCs/>
                <w:color w:val="000000" w:themeColor="text1"/>
                <w:kern w:val="0"/>
                <w:sz w:val="24"/>
                <w:szCs w:val="20"/>
                <w:lang w:val="en-US" w:eastAsia="zh-CN" w:bidi="ar-SA"/>
                <w14:textFill>
                  <w14:solidFill>
                    <w14:schemeClr w14:val="tx1"/>
                  </w14:solidFill>
                </w14:textFill>
              </w:rPr>
              <w:t>3.3评价标准</w:t>
            </w:r>
            <w:bookmarkEnd w:id="30"/>
            <w:bookmarkEnd w:id="31"/>
            <w:bookmarkEnd w:id="32"/>
            <w:bookmarkEnd w:id="33"/>
            <w:bookmarkEnd w:id="34"/>
          </w:p>
          <w:p>
            <w:pPr>
              <w:keepNext w:val="0"/>
              <w:pageBreakBefore w:val="0"/>
              <w:widowControl w:val="0"/>
              <w:kinsoku/>
              <w:wordWrap/>
              <w:overflowPunct/>
              <w:topLinePunct w:val="0"/>
              <w:autoSpaceDE/>
              <w:autoSpaceDN/>
              <w:bidi w:val="0"/>
              <w:adjustRightInd w:val="0"/>
              <w:snapToGrid w:val="0"/>
              <w:spacing w:line="360" w:lineRule="auto"/>
              <w:ind w:right="0"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bookmarkStart w:id="35" w:name="_Toc329596231"/>
            <w:bookmarkStart w:id="36" w:name="_Toc361044242"/>
            <w:bookmarkStart w:id="37" w:name="_Toc359250057"/>
            <w:r>
              <w:rPr>
                <w:rFonts w:hint="eastAsia" w:ascii="Times New Roman" w:hAnsi="Times New Roman" w:eastAsia="宋体" w:cs="Times New Roman"/>
                <w:color w:val="000000" w:themeColor="text1"/>
                <w:sz w:val="24"/>
                <w:lang w:val="en-US" w:eastAsia="zh-CN"/>
                <w14:textFill>
                  <w14:solidFill>
                    <w14:schemeClr w14:val="tx1"/>
                  </w14:solidFill>
                </w14:textFill>
              </w:rPr>
              <w:t>该居民点位于</w:t>
            </w:r>
            <w:r>
              <w:rPr>
                <w:rFonts w:hint="eastAsia" w:cs="Times New Roman"/>
                <w:color w:val="000000" w:themeColor="text1"/>
                <w:sz w:val="24"/>
                <w:lang w:val="en-US" w:eastAsia="zh-CN"/>
                <w14:textFill>
                  <w14:solidFill>
                    <w14:schemeClr w14:val="tx1"/>
                  </w14:solidFill>
                </w14:textFill>
              </w:rPr>
              <w:t>焉耆工业园区农副产品加工园</w:t>
            </w:r>
            <w:r>
              <w:rPr>
                <w:rFonts w:hint="eastAsia" w:ascii="Times New Roman" w:hAnsi="Times New Roman" w:eastAsia="宋体" w:cs="Times New Roman"/>
                <w:color w:val="000000" w:themeColor="text1"/>
                <w:sz w:val="24"/>
                <w:lang w:val="en-US" w:eastAsia="zh-CN"/>
                <w14:textFill>
                  <w14:solidFill>
                    <w14:schemeClr w14:val="tx1"/>
                  </w14:solidFill>
                </w14:textFill>
              </w:rPr>
              <w:t>规划范围内，执行《声环境质量标准》（GB3096-2008）中3类标准。</w:t>
            </w:r>
          </w:p>
          <w:p>
            <w:pPr>
              <w:keepNext w:val="0"/>
              <w:keepLines/>
              <w:pageBreakBefore w:val="0"/>
              <w:widowControl w:val="0"/>
              <w:kinsoku/>
              <w:wordWrap/>
              <w:overflowPunct/>
              <w:topLinePunct w:val="0"/>
              <w:autoSpaceDE/>
              <w:autoSpaceDN/>
              <w:bidi w:val="0"/>
              <w:adjustRightInd w:val="0"/>
              <w:snapToGrid w:val="0"/>
              <w:spacing w:before="0" w:beforeLines="0" w:after="0" w:afterLines="0" w:line="360" w:lineRule="auto"/>
              <w:ind w:firstLine="361" w:firstLineChars="150"/>
              <w:jc w:val="both"/>
              <w:textAlignment w:val="baseline"/>
              <w:outlineLvl w:val="2"/>
              <w:rPr>
                <w:rFonts w:hint="default" w:ascii="Times New Roman" w:hAnsi="Times New Roman" w:eastAsia="宋体" w:cs="Times New Roman"/>
                <w:b/>
                <w:bCs/>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0"/>
                <w:lang w:val="en-US" w:eastAsia="zh-CN" w:bidi="ar-SA"/>
                <w14:textFill>
                  <w14:solidFill>
                    <w14:schemeClr w14:val="tx1"/>
                  </w14:solidFill>
                </w14:textFill>
              </w:rPr>
              <w:t>3.4现状监测结果及评价结果</w:t>
            </w:r>
            <w:bookmarkEnd w:id="35"/>
            <w:bookmarkEnd w:id="36"/>
            <w:bookmarkEnd w:id="37"/>
          </w:p>
          <w:p>
            <w:pPr>
              <w:keepNext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本次环评</w:t>
            </w:r>
            <w:r>
              <w:rPr>
                <w:rFonts w:hint="default" w:ascii="Times New Roman" w:hAnsi="Times New Roman" w:eastAsia="宋体" w:cs="Times New Roman"/>
                <w:bCs/>
                <w:color w:val="000000" w:themeColor="text1"/>
                <w:sz w:val="24"/>
                <w:highlight w:val="none"/>
                <w14:textFill>
                  <w14:solidFill>
                    <w14:schemeClr w14:val="tx1"/>
                  </w14:solidFill>
                </w14:textFill>
              </w:rPr>
              <w:t>噪声环境质量现状监测及评价结果</w:t>
            </w:r>
            <w:r>
              <w:rPr>
                <w:rFonts w:hint="default" w:ascii="Times New Roman" w:hAnsi="Times New Roman" w:eastAsia="宋体" w:cs="Times New Roman"/>
                <w:color w:val="000000" w:themeColor="text1"/>
                <w:sz w:val="24"/>
                <w:highlight w:val="none"/>
                <w14:textFill>
                  <w14:solidFill>
                    <w14:schemeClr w14:val="tx1"/>
                  </w14:solidFill>
                </w14:textFill>
              </w:rPr>
              <w:t>见表</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33" w:firstLineChars="196"/>
              <w:textAlignment w:val="auto"/>
              <w:rPr>
                <w:rStyle w:val="135"/>
                <w:rFonts w:hint="eastAsia" w:ascii="Times New Roman" w:hAnsi="Times New Roman" w:eastAsia="宋体" w:cs="Times New Roman"/>
                <w:color w:val="000000" w:themeColor="text1"/>
                <w:lang w:val="en-US" w:eastAsia="zh-CN"/>
                <w14:textFill>
                  <w14:solidFill>
                    <w14:schemeClr w14:val="tx1"/>
                  </w14:solidFill>
                </w14:textFill>
              </w:rPr>
            </w:pPr>
            <w:r>
              <w:rPr>
                <w:rStyle w:val="135"/>
                <w:rFonts w:hint="default" w:ascii="Times New Roman" w:hAnsi="Times New Roman" w:eastAsia="宋体" w:cs="Times New Roman"/>
                <w:color w:val="000000" w:themeColor="text1"/>
                <w:szCs w:val="21"/>
                <w14:textFill>
                  <w14:solidFill>
                    <w14:schemeClr w14:val="tx1"/>
                  </w14:solidFill>
                </w14:textFill>
              </w:rPr>
              <w:t>表</w:t>
            </w:r>
            <w:r>
              <w:rPr>
                <w:rStyle w:val="135"/>
                <w:rFonts w:hint="eastAsia" w:ascii="Times New Roman" w:hAnsi="Times New Roman" w:eastAsia="宋体" w:cs="Times New Roman"/>
                <w:color w:val="000000" w:themeColor="text1"/>
                <w:szCs w:val="21"/>
                <w:lang w:val="en-US" w:eastAsia="zh-CN"/>
                <w14:textFill>
                  <w14:solidFill>
                    <w14:schemeClr w14:val="tx1"/>
                  </w14:solidFill>
                </w14:textFill>
              </w:rPr>
              <w:t>3-</w:t>
            </w:r>
            <w:r>
              <w:rPr>
                <w:rStyle w:val="135"/>
                <w:rFonts w:hint="eastAsia" w:cs="Times New Roman"/>
                <w:color w:val="000000" w:themeColor="text1"/>
                <w:szCs w:val="21"/>
                <w:lang w:val="en-US" w:eastAsia="zh-CN"/>
                <w14:textFill>
                  <w14:solidFill>
                    <w14:schemeClr w14:val="tx1"/>
                  </w14:solidFill>
                </w14:textFill>
              </w:rPr>
              <w:t>1</w:t>
            </w:r>
            <w:r>
              <w:rPr>
                <w:rStyle w:val="135"/>
                <w:rFonts w:hint="default" w:ascii="Times New Roman" w:hAnsi="Times New Roman" w:eastAsia="宋体" w:cs="Times New Roman"/>
                <w:color w:val="000000" w:themeColor="text1"/>
                <w:szCs w:val="21"/>
                <w14:textFill>
                  <w14:solidFill>
                    <w14:schemeClr w14:val="tx1"/>
                  </w14:solidFill>
                </w14:textFill>
              </w:rPr>
              <w:t xml:space="preserve">      项目区声环境质量现状监测结果及评价结果表   等效声级：</w:t>
            </w:r>
            <w:r>
              <w:rPr>
                <w:rFonts w:ascii="Times New Roman" w:hAnsi="Times New Roman" w:eastAsia="宋体" w:cs="Times New Roman"/>
                <w:color w:val="000000" w:themeColor="text1"/>
                <w:sz w:val="21"/>
                <w:szCs w:val="21"/>
                <w14:textFill>
                  <w14:solidFill>
                    <w14:schemeClr w14:val="tx1"/>
                  </w14:solidFill>
                </w14:textFill>
              </w:rPr>
              <w:t>dB(A)</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12"/>
              <w:gridCol w:w="858"/>
              <w:gridCol w:w="894"/>
              <w:gridCol w:w="896"/>
              <w:gridCol w:w="894"/>
              <w:gridCol w:w="896"/>
              <w:gridCol w:w="894"/>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restar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监测时间</w:t>
                  </w:r>
                </w:p>
              </w:tc>
              <w:tc>
                <w:tcPr>
                  <w:tcW w:w="788" w:type="pct"/>
                  <w:vMerge w:val="restar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监测点</w:t>
                  </w:r>
                </w:p>
              </w:tc>
              <w:tc>
                <w:tcPr>
                  <w:tcW w:w="515" w:type="pct"/>
                  <w:vMerge w:val="restar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相对场址方位</w:t>
                  </w:r>
                </w:p>
              </w:tc>
              <w:tc>
                <w:tcPr>
                  <w:tcW w:w="1075" w:type="pct"/>
                  <w:gridSpan w:val="2"/>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监测值</w:t>
                  </w:r>
                </w:p>
              </w:tc>
              <w:tc>
                <w:tcPr>
                  <w:tcW w:w="1075" w:type="pct"/>
                  <w:gridSpan w:val="2"/>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标准值</w:t>
                  </w:r>
                </w:p>
              </w:tc>
              <w:tc>
                <w:tcPr>
                  <w:tcW w:w="1075" w:type="pct"/>
                  <w:gridSpan w:val="2"/>
                  <w:noWrap w:val="0"/>
                  <w:vAlign w:val="center"/>
                </w:tcPr>
                <w:p>
                  <w:pPr>
                    <w:widowControl w:val="0"/>
                    <w:ind w:firstLine="420" w:firstLineChars="20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评价结论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vMerge w:val="continue"/>
                  <w:noWrap w:val="0"/>
                  <w:vAlign w:val="center"/>
                </w:tcPr>
                <w:p>
                  <w:pPr>
                    <w:widowControl w:val="0"/>
                    <w:ind w:firstLine="420" w:firstLineChars="20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p>
              </w:tc>
              <w:tc>
                <w:tcPr>
                  <w:tcW w:w="788" w:type="pct"/>
                  <w:vMerge w:val="continue"/>
                  <w:noWrap w:val="0"/>
                  <w:vAlign w:val="center"/>
                </w:tcPr>
                <w:p>
                  <w:pPr>
                    <w:widowControl w:val="0"/>
                    <w:ind w:firstLine="420" w:firstLineChars="20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p>
              </w:tc>
              <w:tc>
                <w:tcPr>
                  <w:tcW w:w="515" w:type="pct"/>
                  <w:vMerge w:val="continue"/>
                  <w:noWrap w:val="0"/>
                  <w:vAlign w:val="center"/>
                </w:tcPr>
                <w:p>
                  <w:pPr>
                    <w:widowControl w:val="0"/>
                    <w:ind w:firstLine="420" w:firstLineChars="200"/>
                    <w:jc w:val="both"/>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p>
              </w:tc>
              <w:tc>
                <w:tcPr>
                  <w:tcW w:w="537"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昼间</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dB(A)</w:t>
                  </w:r>
                </w:p>
              </w:tc>
              <w:tc>
                <w:tcPr>
                  <w:tcW w:w="538"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夜间</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dB(A)</w:t>
                  </w:r>
                </w:p>
              </w:tc>
              <w:tc>
                <w:tcPr>
                  <w:tcW w:w="537"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昼间</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dB(A)</w:t>
                  </w:r>
                </w:p>
              </w:tc>
              <w:tc>
                <w:tcPr>
                  <w:tcW w:w="538"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夜间</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dB(A)</w:t>
                  </w:r>
                </w:p>
              </w:tc>
              <w:tc>
                <w:tcPr>
                  <w:tcW w:w="537"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昼间</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dB(A)</w:t>
                  </w:r>
                </w:p>
              </w:tc>
              <w:tc>
                <w:tcPr>
                  <w:tcW w:w="538"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夜间</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202</w:t>
                  </w:r>
                  <w:r>
                    <w:rPr>
                      <w:rFonts w:hint="eastAsia" w:cs="Times New Roman"/>
                      <w:bCs/>
                      <w:snapToGrid w:val="0"/>
                      <w:color w:val="000000" w:themeColor="text1"/>
                      <w:kern w:val="0"/>
                      <w:sz w:val="21"/>
                      <w:szCs w:val="21"/>
                      <w:lang w:val="en-US" w:eastAsia="zh-CN" w:bidi="ar-SA"/>
                      <w14:textFill>
                        <w14:solidFill>
                          <w14:schemeClr w14:val="tx1"/>
                        </w14:solidFill>
                      </w14:textFill>
                    </w:rPr>
                    <w:t>5.9.11</w:t>
                  </w:r>
                </w:p>
              </w:tc>
              <w:tc>
                <w:tcPr>
                  <w:tcW w:w="788"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项目区东侧声环境敏感点</w:t>
                  </w:r>
                </w:p>
              </w:tc>
              <w:tc>
                <w:tcPr>
                  <w:tcW w:w="515"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东北侧25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m</w:t>
                  </w:r>
                </w:p>
              </w:tc>
              <w:tc>
                <w:tcPr>
                  <w:tcW w:w="537" w:type="pct"/>
                  <w:shd w:val="clear" w:color="auto" w:fill="auto"/>
                  <w:noWrap w:val="0"/>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52</w:t>
                  </w:r>
                </w:p>
              </w:tc>
              <w:tc>
                <w:tcPr>
                  <w:tcW w:w="538" w:type="pct"/>
                  <w:shd w:val="clear" w:color="auto" w:fill="auto"/>
                  <w:noWrap w:val="0"/>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43</w:t>
                  </w:r>
                </w:p>
              </w:tc>
              <w:tc>
                <w:tcPr>
                  <w:tcW w:w="537" w:type="pct"/>
                  <w:noWrap w:val="0"/>
                  <w:vAlign w:val="center"/>
                </w:tcPr>
                <w:p>
                  <w:pPr>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cs="Times New Roman"/>
                      <w:snapToGrid w:val="0"/>
                      <w:color w:val="000000" w:themeColor="text1"/>
                      <w:kern w:val="0"/>
                      <w:sz w:val="21"/>
                      <w:szCs w:val="21"/>
                      <w:lang w:val="en-US" w:eastAsia="zh-CN"/>
                      <w14:textFill>
                        <w14:solidFill>
                          <w14:schemeClr w14:val="tx1"/>
                        </w14:solidFill>
                      </w14:textFill>
                    </w:rPr>
                    <w:t>65</w:t>
                  </w:r>
                </w:p>
              </w:tc>
              <w:tc>
                <w:tcPr>
                  <w:tcW w:w="538" w:type="pct"/>
                  <w:noWrap w:val="0"/>
                  <w:vAlign w:val="center"/>
                </w:tcPr>
                <w:p>
                  <w:pPr>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cs="Times New Roman"/>
                      <w:snapToGrid w:val="0"/>
                      <w:color w:val="000000" w:themeColor="text1"/>
                      <w:kern w:val="0"/>
                      <w:sz w:val="21"/>
                      <w:szCs w:val="21"/>
                      <w:lang w:val="en-US" w:eastAsia="zh-CN"/>
                      <w14:textFill>
                        <w14:solidFill>
                          <w14:schemeClr w14:val="tx1"/>
                        </w14:solidFill>
                      </w14:textFill>
                    </w:rPr>
                    <w:t>55</w:t>
                  </w:r>
                </w:p>
              </w:tc>
              <w:tc>
                <w:tcPr>
                  <w:tcW w:w="537" w:type="pct"/>
                  <w:noWrap w:val="0"/>
                  <w:vAlign w:val="center"/>
                </w:tcPr>
                <w:p>
                  <w:pPr>
                    <w:widowControl w:val="0"/>
                    <w:ind w:firstLine="0" w:firstLineChars="0"/>
                    <w:jc w:val="cente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达标</w:t>
                  </w:r>
                </w:p>
              </w:tc>
              <w:tc>
                <w:tcPr>
                  <w:tcW w:w="538" w:type="pct"/>
                  <w:noWrap w:val="0"/>
                  <w:vAlign w:val="center"/>
                </w:tcPr>
                <w:p>
                  <w:pPr>
                    <w:widowControl/>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本项目</w:t>
            </w:r>
            <w:r>
              <w:rPr>
                <w:rFonts w:hint="eastAsia" w:ascii="Times New Roman" w:hAnsi="Times New Roman" w:eastAsia="宋体" w:cs="Times New Roman"/>
                <w:color w:val="000000" w:themeColor="text1"/>
                <w:sz w:val="24"/>
                <w:lang w:eastAsia="zh-CN"/>
                <w14:textFill>
                  <w14:solidFill>
                    <w14:schemeClr w14:val="tx1"/>
                  </w14:solidFill>
                </w14:textFill>
              </w:rPr>
              <w:t>声环境敏感点处声环境质量</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可满足《声环境质量标准》（GB3096-2008）</w:t>
            </w:r>
            <w:r>
              <w:rPr>
                <w:rFonts w:hint="eastAsia" w:cs="Times New Roman"/>
                <w:b w:val="0"/>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类标准。</w:t>
            </w:r>
          </w:p>
          <w:p>
            <w:pPr>
              <w:keepNext w:val="0"/>
              <w:pageBreakBefore w:val="0"/>
              <w:kinsoku/>
              <w:wordWrap/>
              <w:overflowPunct/>
              <w:topLinePunct w:val="0"/>
              <w:bidi w:val="0"/>
              <w:adjustRightInd w:val="0"/>
              <w:snapToGrid w:val="0"/>
              <w:spacing w:line="360" w:lineRule="auto"/>
              <w:rPr>
                <w:b/>
                <w:bCs/>
                <w:color w:val="000000"/>
                <w:sz w:val="24"/>
              </w:rPr>
            </w:pPr>
            <w:r>
              <w:rPr>
                <w:rFonts w:hint="eastAsia"/>
                <w:b/>
                <w:bCs/>
                <w:color w:val="000000"/>
                <w:sz w:val="24"/>
              </w:rPr>
              <w:t>4</w:t>
            </w:r>
            <w:r>
              <w:rPr>
                <w:b/>
                <w:bCs/>
                <w:color w:val="000000"/>
                <w:sz w:val="24"/>
              </w:rPr>
              <w:t>生态环境</w:t>
            </w:r>
          </w:p>
          <w:p>
            <w:pPr>
              <w:keepNext w:val="0"/>
              <w:pageBreakBefore w:val="0"/>
              <w:kinsoku/>
              <w:wordWrap/>
              <w:overflowPunct/>
              <w:topLinePunct w:val="0"/>
              <w:bidi w:val="0"/>
              <w:adjustRightInd w:val="0"/>
              <w:snapToGrid w:val="0"/>
              <w:spacing w:line="360" w:lineRule="auto"/>
              <w:ind w:firstLine="480" w:firstLineChars="200"/>
              <w:rPr>
                <w:color w:val="000000"/>
                <w:sz w:val="24"/>
              </w:rPr>
            </w:pPr>
            <w:r>
              <w:rPr>
                <w:rFonts w:hint="eastAsia" w:ascii="Times New Roman" w:eastAsia="宋体"/>
                <w:color w:val="000000"/>
                <w:kern w:val="0"/>
                <w:sz w:val="24"/>
                <w:szCs w:val="21"/>
                <w:lang w:val="en-US" w:eastAsia="zh-CN"/>
              </w:rPr>
              <w:t>本项目用地范围内无生态环境保护目标</w:t>
            </w:r>
            <w:r>
              <w:rPr>
                <w:rFonts w:hint="eastAsia"/>
                <w:color w:val="000000"/>
                <w:kern w:val="0"/>
                <w:sz w:val="24"/>
                <w:szCs w:val="21"/>
              </w:rPr>
              <w:t>，</w:t>
            </w:r>
            <w:r>
              <w:rPr>
                <w:rFonts w:hint="eastAsia"/>
                <w:color w:val="000000"/>
                <w:sz w:val="24"/>
              </w:rPr>
              <w:t>因此不开展生态环境现状调查</w:t>
            </w:r>
            <w:r>
              <w:rPr>
                <w:color w:val="000000"/>
                <w:sz w:val="24"/>
              </w:rPr>
              <w:t>。</w:t>
            </w:r>
          </w:p>
          <w:p>
            <w:pPr>
              <w:keepNext w:val="0"/>
              <w:pageBreakBefore w:val="0"/>
              <w:kinsoku/>
              <w:wordWrap/>
              <w:overflowPunct/>
              <w:topLinePunct w:val="0"/>
              <w:bidi w:val="0"/>
              <w:adjustRightInd w:val="0"/>
              <w:snapToGrid w:val="0"/>
              <w:spacing w:line="360" w:lineRule="auto"/>
              <w:rPr>
                <w:rFonts w:hint="eastAsia" w:ascii="Times New Roman" w:hAnsi="Times New Roman" w:eastAsia="宋体" w:cs="Times New Roman"/>
                <w:b/>
                <w:bCs/>
                <w:color w:val="000000"/>
                <w:sz w:val="24"/>
                <w:lang w:val="en-US" w:eastAsia="zh-CN"/>
              </w:rPr>
            </w:pPr>
            <w:r>
              <w:rPr>
                <w:b/>
                <w:bCs/>
                <w:color w:val="000000"/>
                <w:sz w:val="24"/>
              </w:rPr>
              <w:t>5</w:t>
            </w:r>
            <w:r>
              <w:rPr>
                <w:rFonts w:ascii="Times New Roman" w:hAnsi="Times New Roman" w:eastAsia="宋体" w:cs="Times New Roman"/>
                <w:b/>
                <w:bCs/>
                <w:color w:val="000000"/>
                <w:sz w:val="24"/>
              </w:rPr>
              <w:t>地下水</w:t>
            </w:r>
            <w:r>
              <w:rPr>
                <w:rFonts w:hint="eastAsia" w:ascii="Times New Roman" w:hAnsi="Times New Roman" w:eastAsia="宋体" w:cs="Times New Roman"/>
                <w:b/>
                <w:bCs/>
                <w:color w:val="000000"/>
                <w:sz w:val="24"/>
                <w:lang w:eastAsia="zh-CN"/>
              </w:rPr>
              <w:t>、</w:t>
            </w:r>
            <w:r>
              <w:rPr>
                <w:rFonts w:hint="eastAsia" w:ascii="Times New Roman" w:hAnsi="Times New Roman" w:eastAsia="宋体" w:cs="Times New Roman"/>
                <w:b/>
                <w:bCs/>
                <w:color w:val="000000"/>
                <w:sz w:val="24"/>
                <w:lang w:val="en-US" w:eastAsia="zh-CN"/>
              </w:rPr>
              <w:t>土壤</w:t>
            </w:r>
            <w:r>
              <w:rPr>
                <w:rFonts w:ascii="Times New Roman" w:hAnsi="Times New Roman" w:eastAsia="宋体" w:cs="Times New Roman"/>
                <w:b/>
                <w:bCs/>
                <w:color w:val="000000"/>
                <w:sz w:val="24"/>
              </w:rPr>
              <w:t>环境</w:t>
            </w:r>
            <w:r>
              <w:rPr>
                <w:rFonts w:hint="eastAsia" w:ascii="Times New Roman" w:hAnsi="Times New Roman" w:eastAsia="宋体" w:cs="Times New Roman"/>
                <w:b/>
                <w:bCs/>
                <w:color w:val="000000"/>
                <w:sz w:val="24"/>
                <w:lang w:val="en-US" w:eastAsia="zh-CN"/>
              </w:rPr>
              <w:t>现状</w:t>
            </w:r>
          </w:p>
          <w:p>
            <w:pPr>
              <w:keepNext w:val="0"/>
              <w:pageBreakBefore w:val="0"/>
              <w:kinsoku/>
              <w:wordWrap/>
              <w:overflowPunct/>
              <w:topLinePunct w:val="0"/>
              <w:bidi w:val="0"/>
              <w:adjustRightInd w:val="0"/>
              <w:snapToGrid w:val="0"/>
              <w:spacing w:line="360" w:lineRule="auto"/>
              <w:ind w:firstLine="480" w:firstLineChars="200"/>
              <w:rPr>
                <w:color w:val="000000"/>
                <w:sz w:val="24"/>
              </w:rPr>
            </w:pPr>
            <w:r>
              <w:rPr>
                <w:rFonts w:hint="eastAsia" w:ascii="Times New Roman" w:hAnsi="Times New Roman" w:eastAsia="宋体" w:cs="Times New Roman"/>
                <w:color w:val="000000"/>
                <w:sz w:val="24"/>
                <w:lang w:val="en-US" w:eastAsia="zh-CN"/>
              </w:rPr>
              <w:t>本项目不存在土壤、地下水污染途径，且评价范围内无地下水、土壤环境保护目标，</w:t>
            </w:r>
            <w:r>
              <w:rPr>
                <w:rFonts w:hint="eastAsia" w:cs="Times New Roman"/>
                <w:color w:val="000000"/>
                <w:sz w:val="24"/>
                <w:lang w:val="en-US" w:eastAsia="zh-CN"/>
              </w:rPr>
              <w:t>故</w:t>
            </w:r>
            <w:r>
              <w:rPr>
                <w:rFonts w:hint="eastAsia" w:ascii="Times New Roman" w:hAnsi="Times New Roman" w:eastAsia="宋体" w:cs="Times New Roman"/>
                <w:color w:val="000000"/>
                <w:sz w:val="24"/>
                <w:lang w:val="en-US" w:eastAsia="zh-CN"/>
              </w:rPr>
              <w:t>不需要进行地下水、土壤环境现状调查。</w:t>
            </w:r>
          </w:p>
          <w:p>
            <w:pPr>
              <w:keepNext w:val="0"/>
              <w:pageBreakBefore w:val="0"/>
              <w:kinsoku/>
              <w:wordWrap/>
              <w:overflowPunct/>
              <w:topLinePunct w:val="0"/>
              <w:bidi w:val="0"/>
              <w:adjustRightInd w:val="0"/>
              <w:snapToGrid w:val="0"/>
              <w:spacing w:line="360" w:lineRule="auto"/>
              <w:rPr>
                <w:rFonts w:hint="eastAsia" w:ascii="Times New Roman" w:hAnsi="Times New Roman" w:eastAsia="宋体" w:cs="Times New Roman"/>
                <w:b/>
                <w:bCs/>
                <w:color w:val="000000"/>
                <w:sz w:val="24"/>
                <w:lang w:val="en-US" w:eastAsia="zh-CN"/>
              </w:rPr>
            </w:pPr>
            <w:r>
              <w:rPr>
                <w:b/>
                <w:bCs/>
                <w:color w:val="000000"/>
                <w:sz w:val="24"/>
              </w:rPr>
              <w:t>6</w:t>
            </w:r>
            <w:r>
              <w:rPr>
                <w:rFonts w:hint="eastAsia" w:ascii="Times New Roman" w:hAnsi="Times New Roman" w:eastAsia="宋体" w:cs="Times New Roman"/>
                <w:b/>
                <w:bCs/>
                <w:color w:val="000000"/>
                <w:sz w:val="24"/>
                <w:lang w:val="en-US" w:eastAsia="zh-CN"/>
              </w:rPr>
              <w:t>土地沙化现状</w:t>
            </w:r>
          </w:p>
          <w:p>
            <w:pPr>
              <w:keepNext w:val="0"/>
              <w:keepLines w:val="0"/>
              <w:pageBreakBefore w:val="0"/>
              <w:kinsoku/>
              <w:wordWrap/>
              <w:overflowPunct/>
              <w:topLinePunct w:val="0"/>
              <w:bidi w:val="0"/>
              <w:adjustRightInd w:val="0"/>
              <w:snapToGrid w:val="0"/>
              <w:spacing w:line="360" w:lineRule="auto"/>
              <w:ind w:firstLine="480" w:firstLineChars="200"/>
              <w:jc w:val="both"/>
              <w:rPr>
                <w:rFonts w:hint="default" w:ascii="Times New Roman" w:hAnsi="Times New Roman" w:eastAsia="宋体" w:cs="Times New Roman"/>
                <w:color w:val="auto"/>
                <w:kern w:val="0"/>
                <w:szCs w:val="21"/>
                <w:highlight w:val="none"/>
              </w:rPr>
            </w:pPr>
            <w:r>
              <w:rPr>
                <w:rFonts w:hint="default"/>
                <w:color w:val="000000"/>
                <w:sz w:val="24"/>
                <w:lang w:val="en-US" w:eastAsia="zh-CN"/>
              </w:rPr>
              <w:t>根据《新疆第六次沙化监测报告》本项目位于</w:t>
            </w:r>
            <w:r>
              <w:rPr>
                <w:rFonts w:hint="eastAsia" w:ascii="Times New Roman" w:eastAsia="宋体"/>
                <w:color w:val="000000"/>
                <w:kern w:val="0"/>
                <w:sz w:val="24"/>
                <w:highlight w:val="none"/>
                <w:lang w:val="en-US" w:eastAsia="zh-CN"/>
              </w:rPr>
              <w:t>新疆巴州</w:t>
            </w:r>
            <w:r>
              <w:rPr>
                <w:rFonts w:hint="eastAsia"/>
                <w:color w:val="000000"/>
                <w:kern w:val="0"/>
                <w:sz w:val="24"/>
                <w:highlight w:val="none"/>
                <w:lang w:val="en-US" w:eastAsia="zh-CN"/>
              </w:rPr>
              <w:t>焉耆工业园区农副产品加工园</w:t>
            </w:r>
            <w:r>
              <w:rPr>
                <w:rFonts w:hint="eastAsia" w:ascii="Times New Roman" w:eastAsia="宋体"/>
                <w:color w:val="000000"/>
                <w:kern w:val="0"/>
                <w:sz w:val="24"/>
                <w:highlight w:val="none"/>
                <w:lang w:val="en-US" w:eastAsia="zh-CN"/>
              </w:rPr>
              <w:t>，新疆红帆生物科技有限公司东侧，</w:t>
            </w:r>
            <w:r>
              <w:rPr>
                <w:rFonts w:hint="default"/>
                <w:color w:val="000000"/>
                <w:sz w:val="24"/>
                <w:lang w:val="en-US" w:eastAsia="zh-CN"/>
              </w:rPr>
              <w:t>不属于沙化土地</w:t>
            </w:r>
            <w:r>
              <w:rPr>
                <w:rFonts w:hint="eastAsia" w:ascii="Times New Roman" w:eastAsia="宋体"/>
                <w:color w:val="000000"/>
                <w:sz w:val="24"/>
                <w:lang w:val="en-US" w:eastAsia="zh-CN"/>
              </w:rPr>
              <w:t>，详见附图。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2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4"/>
                <w:szCs w:val="24"/>
                <w:highlight w:val="none"/>
              </w:rPr>
              <w:t>环境保护目标</w:t>
            </w:r>
          </w:p>
        </w:tc>
        <w:tc>
          <w:tcPr>
            <w:tcW w:w="85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本项目环境敏感保护目标见下表。</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right="0" w:firstLine="422" w:firstLineChars="200"/>
              <w:jc w:val="both"/>
              <w:textAlignment w:val="auto"/>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kern w:val="0"/>
                <w:sz w:val="21"/>
                <w:szCs w:val="21"/>
                <w:lang w:val="en-US" w:eastAsia="zh-CN" w:bidi="ar-SA"/>
              </w:rPr>
              <w:t>表</w:t>
            </w:r>
            <w:r>
              <w:rPr>
                <w:rFonts w:hint="eastAsia" w:ascii="Times New Roman" w:hAnsi="Times New Roman" w:eastAsia="宋体" w:cs="Times New Roman"/>
                <w:b/>
                <w:bCs w:val="0"/>
                <w:color w:val="auto"/>
                <w:kern w:val="0"/>
                <w:sz w:val="21"/>
                <w:szCs w:val="21"/>
                <w:lang w:val="en-US" w:eastAsia="zh-CN" w:bidi="ar-SA"/>
              </w:rPr>
              <w:t>3-</w:t>
            </w:r>
            <w:r>
              <w:rPr>
                <w:rFonts w:hint="eastAsia" w:cs="Times New Roman"/>
                <w:b/>
                <w:bCs w:val="0"/>
                <w:color w:val="auto"/>
                <w:kern w:val="0"/>
                <w:sz w:val="21"/>
                <w:szCs w:val="21"/>
                <w:lang w:val="en-US" w:eastAsia="zh-CN" w:bidi="ar-SA"/>
              </w:rPr>
              <w:t>2</w:t>
            </w:r>
            <w:r>
              <w:rPr>
                <w:rFonts w:hint="default" w:ascii="Times New Roman" w:hAnsi="Times New Roman" w:eastAsia="宋体" w:cs="Times New Roman"/>
                <w:b/>
                <w:bCs w:val="0"/>
                <w:color w:val="auto"/>
                <w:kern w:val="0"/>
                <w:sz w:val="21"/>
                <w:szCs w:val="21"/>
                <w:lang w:val="en-US" w:eastAsia="zh-CN" w:bidi="ar-SA"/>
              </w:rPr>
              <w:t xml:space="preserve">          主要环境敏感点及保护目标</w:t>
            </w:r>
          </w:p>
          <w:tbl>
            <w:tblPr>
              <w:tblStyle w:val="3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55"/>
              <w:gridCol w:w="1359"/>
              <w:gridCol w:w="1125"/>
              <w:gridCol w:w="469"/>
              <w:gridCol w:w="703"/>
              <w:gridCol w:w="602"/>
              <w:gridCol w:w="846"/>
              <w:gridCol w:w="18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序号</w:t>
                  </w:r>
                </w:p>
              </w:tc>
              <w:tc>
                <w:tcPr>
                  <w:tcW w:w="573"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lang w:val="en-US"/>
                    </w:rPr>
                  </w:pPr>
                  <w:r>
                    <w:rPr>
                      <w:rFonts w:hint="eastAsia" w:ascii="Times New Roman" w:hAnsi="Times New Roman" w:eastAsia="宋体" w:cs="Times New Roman"/>
                      <w:lang w:val="en-US" w:eastAsia="zh-CN"/>
                    </w:rPr>
                    <w:t>环境敏感保护目标名称</w:t>
                  </w:r>
                </w:p>
              </w:tc>
              <w:tc>
                <w:tcPr>
                  <w:tcW w:w="1492"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坐标</w:t>
                  </w:r>
                </w:p>
              </w:tc>
              <w:tc>
                <w:tcPr>
                  <w:tcW w:w="281"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保护内容</w:t>
                  </w:r>
                </w:p>
              </w:tc>
              <w:tc>
                <w:tcPr>
                  <w:tcW w:w="422"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相对场址方位</w:t>
                  </w:r>
                </w:p>
              </w:tc>
              <w:tc>
                <w:tcPr>
                  <w:tcW w:w="361"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Cs w:val="21"/>
                    </w:rPr>
                    <w:t>相对距离/m</w:t>
                  </w:r>
                </w:p>
              </w:tc>
              <w:tc>
                <w:tcPr>
                  <w:tcW w:w="508"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规模（人）</w:t>
                  </w:r>
                </w:p>
              </w:tc>
              <w:tc>
                <w:tcPr>
                  <w:tcW w:w="1104"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p>
              </w:tc>
              <w:tc>
                <w:tcPr>
                  <w:tcW w:w="573"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p>
              </w:tc>
              <w:tc>
                <w:tcPr>
                  <w:tcW w:w="81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经度</w:t>
                  </w:r>
                </w:p>
              </w:tc>
              <w:tc>
                <w:tcPr>
                  <w:tcW w:w="67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纬度</w:t>
                  </w:r>
                </w:p>
              </w:tc>
              <w:tc>
                <w:tcPr>
                  <w:tcW w:w="28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p>
              </w:tc>
              <w:tc>
                <w:tcPr>
                  <w:tcW w:w="42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p>
              </w:tc>
              <w:tc>
                <w:tcPr>
                  <w:tcW w:w="36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p>
              </w:tc>
              <w:tc>
                <w:tcPr>
                  <w:tcW w:w="50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p>
              </w:tc>
              <w:tc>
                <w:tcPr>
                  <w:tcW w:w="1104"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1</w:t>
                  </w:r>
                </w:p>
              </w:tc>
              <w:tc>
                <w:tcPr>
                  <w:tcW w:w="57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居民点</w:t>
                  </w:r>
                </w:p>
              </w:tc>
              <w:tc>
                <w:tcPr>
                  <w:tcW w:w="81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rPr>
                    <w:t>86°35′52.57</w:t>
                  </w:r>
                  <w:r>
                    <w:rPr>
                      <w:rFonts w:hint="eastAsia"/>
                      <w:lang w:val="en-US" w:eastAsia="zh-CN"/>
                    </w:rPr>
                    <w:t>3</w:t>
                  </w:r>
                  <w:r>
                    <w:rPr>
                      <w:rFonts w:hint="eastAsia"/>
                    </w:rPr>
                    <w:t>″</w:t>
                  </w:r>
                </w:p>
              </w:tc>
              <w:tc>
                <w:tcPr>
                  <w:tcW w:w="67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rPr>
                    <w:t>42°5′4.336″</w:t>
                  </w:r>
                </w:p>
              </w:tc>
              <w:tc>
                <w:tcPr>
                  <w:tcW w:w="28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sz w:val="21"/>
                      <w:szCs w:val="21"/>
                      <w:lang w:val="en-US" w:eastAsia="zh-CN"/>
                    </w:rPr>
                    <w:t>声环境</w:t>
                  </w:r>
                </w:p>
              </w:tc>
              <w:tc>
                <w:tcPr>
                  <w:tcW w:w="4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sz w:val="21"/>
                      <w:szCs w:val="21"/>
                      <w:lang w:val="en-US" w:eastAsia="zh-CN"/>
                    </w:rPr>
                    <w:t>东北侧</w:t>
                  </w:r>
                </w:p>
              </w:tc>
              <w:tc>
                <w:tcPr>
                  <w:tcW w:w="36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sz w:val="21"/>
                      <w:szCs w:val="21"/>
                      <w:lang w:val="en-US" w:eastAsia="zh-CN"/>
                    </w:rPr>
                    <w:t>25</w:t>
                  </w:r>
                </w:p>
              </w:tc>
              <w:tc>
                <w:tcPr>
                  <w:tcW w:w="5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10</w:t>
                  </w:r>
                </w:p>
              </w:tc>
              <w:tc>
                <w:tcPr>
                  <w:tcW w:w="11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sz w:val="21"/>
                      <w:szCs w:val="21"/>
                    </w:rPr>
                    <w:t>《声环境质量标准标准》（GB3096-2008）的</w:t>
                  </w:r>
                  <w:r>
                    <w:rPr>
                      <w:rFonts w:hint="eastAsia" w:cs="Times New Roman"/>
                      <w:color w:val="000000"/>
                      <w:sz w:val="21"/>
                      <w:szCs w:val="21"/>
                      <w:lang w:val="en-US" w:eastAsia="zh-CN"/>
                    </w:rPr>
                    <w:t>3</w:t>
                  </w:r>
                  <w:r>
                    <w:rPr>
                      <w:rFonts w:hint="default" w:ascii="Times New Roman" w:hAnsi="Times New Roman" w:eastAsia="宋体" w:cs="Times New Roman"/>
                      <w:color w:val="000000"/>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2</w:t>
                  </w:r>
                </w:p>
              </w:tc>
              <w:tc>
                <w:tcPr>
                  <w:tcW w:w="573"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居民点</w:t>
                  </w:r>
                </w:p>
              </w:tc>
              <w:tc>
                <w:tcPr>
                  <w:tcW w:w="816"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rPr>
                    <w:t>86°35′52.57</w:t>
                  </w:r>
                  <w:r>
                    <w:rPr>
                      <w:rFonts w:hint="eastAsia"/>
                      <w:lang w:val="en-US" w:eastAsia="zh-CN"/>
                    </w:rPr>
                    <w:t>3</w:t>
                  </w:r>
                  <w:r>
                    <w:rPr>
                      <w:rFonts w:hint="eastAsia"/>
                    </w:rPr>
                    <w:t>″</w:t>
                  </w:r>
                </w:p>
              </w:tc>
              <w:tc>
                <w:tcPr>
                  <w:tcW w:w="675"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rPr>
                    <w:t>42°5′4.336″</w:t>
                  </w:r>
                </w:p>
              </w:tc>
              <w:tc>
                <w:tcPr>
                  <w:tcW w:w="28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color w:val="000000"/>
                      <w:sz w:val="21"/>
                      <w:szCs w:val="21"/>
                      <w:lang w:val="en-US" w:eastAsia="zh-CN"/>
                    </w:rPr>
                    <w:t>大气环境</w:t>
                  </w:r>
                </w:p>
              </w:tc>
              <w:tc>
                <w:tcPr>
                  <w:tcW w:w="42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sz w:val="21"/>
                      <w:szCs w:val="21"/>
                      <w:lang w:val="en-US" w:eastAsia="zh-CN"/>
                    </w:rPr>
                    <w:t>东北侧</w:t>
                  </w:r>
                </w:p>
              </w:tc>
              <w:tc>
                <w:tcPr>
                  <w:tcW w:w="361"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sz w:val="21"/>
                      <w:szCs w:val="21"/>
                      <w:lang w:val="en-US" w:eastAsia="zh-CN"/>
                    </w:rPr>
                    <w:t>25</w:t>
                  </w:r>
                </w:p>
              </w:tc>
              <w:tc>
                <w:tcPr>
                  <w:tcW w:w="508"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t>10</w:t>
                  </w:r>
                </w:p>
              </w:tc>
              <w:tc>
                <w:tcPr>
                  <w:tcW w:w="11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snapToGrid w:val="0"/>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sz w:val="21"/>
                      <w:szCs w:val="21"/>
                    </w:rPr>
                    <w:t>《环境空气质量标准》（GB3095-2012）中二级标准</w:t>
                  </w:r>
                </w:p>
              </w:tc>
            </w:tr>
          </w:tbl>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2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kern w:val="0"/>
                <w:sz w:val="24"/>
                <w:szCs w:val="24"/>
                <w:highlight w:val="none"/>
              </w:rPr>
              <w:t>污染物排放控制标准</w:t>
            </w:r>
          </w:p>
        </w:tc>
        <w:tc>
          <w:tcPr>
            <w:tcW w:w="8539" w:type="dxa"/>
            <w:tcBorders>
              <w:tl2br w:val="nil"/>
              <w:tr2bl w:val="nil"/>
            </w:tcBorders>
            <w:noWrap w:val="0"/>
            <w:vAlign w:val="center"/>
          </w:tcPr>
          <w:p>
            <w:pPr>
              <w:widowControl w:val="0"/>
              <w:adjustRightInd w:val="0"/>
              <w:snapToGrid w:val="0"/>
              <w:spacing w:line="360" w:lineRule="auto"/>
              <w:jc w:val="both"/>
              <w:rPr>
                <w:rFonts w:ascii="Times New Roman" w:hAnsi="Times New Roman" w:eastAsia="宋体" w:cs="Times New Roman"/>
                <w:b/>
                <w:color w:val="000000"/>
                <w:kern w:val="2"/>
                <w:sz w:val="24"/>
                <w:szCs w:val="24"/>
                <w:lang w:val="en-US" w:eastAsia="zh-CN" w:bidi="ar-SA"/>
              </w:rPr>
            </w:pPr>
            <w:bookmarkStart w:id="38" w:name="_Toc29182"/>
            <w:bookmarkStart w:id="39" w:name="_Toc13030"/>
            <w:r>
              <w:rPr>
                <w:rFonts w:ascii="Times New Roman" w:hAnsi="Times New Roman" w:eastAsia="宋体" w:cs="Times New Roman"/>
                <w:b/>
                <w:color w:val="000000"/>
                <w:kern w:val="2"/>
                <w:sz w:val="24"/>
                <w:szCs w:val="24"/>
                <w:lang w:val="en-US" w:eastAsia="zh-CN" w:bidi="ar-SA"/>
              </w:rPr>
              <w:t>1</w:t>
            </w:r>
            <w:bookmarkEnd w:id="38"/>
            <w:bookmarkEnd w:id="39"/>
            <w:r>
              <w:rPr>
                <w:rFonts w:ascii="Times New Roman" w:hAnsi="Times New Roman" w:eastAsia="宋体" w:cs="Times New Roman"/>
                <w:b/>
                <w:color w:val="000000"/>
                <w:kern w:val="2"/>
                <w:sz w:val="24"/>
                <w:szCs w:val="24"/>
                <w:lang w:val="en-US" w:eastAsia="zh-CN" w:bidi="ar-SA"/>
              </w:rPr>
              <w:t>、施工期</w:t>
            </w:r>
          </w:p>
          <w:p>
            <w:pPr>
              <w:widowControl w:val="0"/>
              <w:adjustRightInd w:val="0"/>
              <w:snapToGrid w:val="0"/>
              <w:spacing w:line="360" w:lineRule="auto"/>
              <w:ind w:firstLine="482" w:firstLineChars="200"/>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1.1噪声</w:t>
            </w:r>
          </w:p>
          <w:p>
            <w:pPr>
              <w:spacing w:line="360" w:lineRule="auto"/>
              <w:ind w:firstLine="480" w:firstLineChars="200"/>
              <w:rPr>
                <w:rFonts w:eastAsia="宋体"/>
                <w:color w:val="000000"/>
                <w:sz w:val="24"/>
              </w:rPr>
            </w:pPr>
            <w:r>
              <w:rPr>
                <w:rFonts w:eastAsia="宋体"/>
                <w:color w:val="000000"/>
                <w:sz w:val="24"/>
              </w:rPr>
              <w:t>施工期噪声执行《建筑施工场界环境噪声排放标准》（GB12523-2011）表1中标准，见表</w:t>
            </w:r>
            <w:r>
              <w:rPr>
                <w:rFonts w:hint="eastAsia"/>
                <w:color w:val="000000"/>
                <w:sz w:val="24"/>
                <w:lang w:val="en-US" w:eastAsia="zh-CN"/>
              </w:rPr>
              <w:t>3-3</w:t>
            </w:r>
            <w:r>
              <w:rPr>
                <w:rFonts w:eastAsia="宋体"/>
                <w:color w:val="000000"/>
                <w:sz w:val="24"/>
              </w:rPr>
              <w:t>。</w:t>
            </w:r>
          </w:p>
          <w:p>
            <w:pPr>
              <w:widowControl w:val="0"/>
              <w:adjustRightInd w:val="0"/>
              <w:snapToGrid w:val="0"/>
              <w:spacing w:line="240" w:lineRule="auto"/>
              <w:ind w:firstLine="422" w:firstLineChars="200"/>
              <w:jc w:val="both"/>
              <w:rPr>
                <w:rFonts w:ascii="Times New Roman" w:hAnsi="Times New Roman" w:eastAsia="宋体" w:cs="Times New Roman"/>
                <w:b/>
                <w:color w:val="000000"/>
                <w:kern w:val="2"/>
                <w:sz w:val="21"/>
                <w:szCs w:val="21"/>
                <w:lang w:val="en-US" w:eastAsia="zh-CN" w:bidi="ar-SA"/>
              </w:rPr>
            </w:pPr>
            <w:r>
              <w:rPr>
                <w:rFonts w:ascii="Times New Roman" w:hAnsi="Times New Roman" w:eastAsia="宋体" w:cs="Times New Roman"/>
                <w:b/>
                <w:color w:val="000000"/>
                <w:kern w:val="2"/>
                <w:sz w:val="21"/>
                <w:szCs w:val="21"/>
                <w:lang w:val="en-US" w:eastAsia="zh-CN" w:bidi="ar-SA"/>
              </w:rPr>
              <w:t>表</w:t>
            </w:r>
            <w:r>
              <w:rPr>
                <w:rFonts w:hint="eastAsia" w:cs="Times New Roman"/>
                <w:b/>
                <w:color w:val="000000"/>
                <w:kern w:val="2"/>
                <w:sz w:val="21"/>
                <w:szCs w:val="21"/>
                <w:lang w:val="en-US" w:eastAsia="zh-CN" w:bidi="ar-SA"/>
              </w:rPr>
              <w:t>3-3</w:t>
            </w:r>
            <w:r>
              <w:rPr>
                <w:rFonts w:ascii="Times New Roman" w:hAnsi="Times New Roman" w:eastAsia="宋体" w:cs="Times New Roman"/>
                <w:b/>
                <w:color w:val="000000"/>
                <w:kern w:val="2"/>
                <w:sz w:val="21"/>
                <w:szCs w:val="21"/>
                <w:lang w:val="en-US" w:eastAsia="zh-CN" w:bidi="ar-SA"/>
              </w:rPr>
              <w:t xml:space="preserve">        </w:t>
            </w:r>
            <w:r>
              <w:rPr>
                <w:rFonts w:ascii="Times New Roman" w:hAnsi="Times New Roman" w:eastAsia="宋体" w:cs="Times New Roman"/>
                <w:b/>
                <w:color w:val="000000"/>
                <w:kern w:val="2"/>
                <w:sz w:val="21"/>
                <w:szCs w:val="21"/>
                <w:lang w:val="en-US" w:eastAsia="zh-CN" w:bidi="ar-SA"/>
              </w:rPr>
              <w:tab/>
            </w:r>
            <w:r>
              <w:rPr>
                <w:rFonts w:ascii="Times New Roman" w:hAnsi="Times New Roman" w:eastAsia="宋体" w:cs="Times New Roman"/>
                <w:b/>
                <w:color w:val="000000"/>
                <w:kern w:val="2"/>
                <w:sz w:val="21"/>
                <w:szCs w:val="21"/>
                <w:lang w:val="en-US" w:eastAsia="zh-CN" w:bidi="ar-SA"/>
              </w:rPr>
              <w:t xml:space="preserve">   建筑施工场界环境噪声排放限值            单位： dB（A）</w:t>
            </w:r>
          </w:p>
          <w:tbl>
            <w:tblPr>
              <w:tblStyle w:val="33"/>
              <w:tblW w:w="4963"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232"/>
              <w:gridCol w:w="402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2561" w:type="pct"/>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昼间</w:t>
                  </w:r>
                </w:p>
              </w:tc>
              <w:tc>
                <w:tcPr>
                  <w:tcW w:w="2438" w:type="pct"/>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夜间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2561" w:type="pct"/>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70</w:t>
                  </w:r>
                </w:p>
              </w:tc>
              <w:tc>
                <w:tcPr>
                  <w:tcW w:w="2438" w:type="pct"/>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55</w:t>
                  </w:r>
                </w:p>
              </w:tc>
            </w:tr>
          </w:tbl>
          <w:p>
            <w:pPr>
              <w:widowControl w:val="0"/>
              <w:adjustRightInd w:val="0"/>
              <w:snapToGrid w:val="0"/>
              <w:spacing w:line="360" w:lineRule="auto"/>
              <w:ind w:firstLine="482" w:firstLineChars="200"/>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1.2固废</w:t>
            </w:r>
          </w:p>
          <w:p>
            <w:pPr>
              <w:spacing w:line="360" w:lineRule="auto"/>
              <w:ind w:firstLine="480" w:firstLineChars="200"/>
              <w:rPr>
                <w:rFonts w:eastAsia="宋体"/>
                <w:color w:val="000000"/>
                <w:sz w:val="24"/>
              </w:rPr>
            </w:pPr>
            <w:r>
              <w:rPr>
                <w:rFonts w:eastAsia="宋体"/>
                <w:color w:val="000000"/>
                <w:sz w:val="24"/>
              </w:rPr>
              <w:t>施工期固废执行《建筑垃圾处理技术标准》（CJJ/T 134-2019）。</w:t>
            </w:r>
          </w:p>
          <w:p>
            <w:pPr>
              <w:widowControl w:val="0"/>
              <w:adjustRightInd w:val="0"/>
              <w:snapToGrid w:val="0"/>
              <w:spacing w:line="360" w:lineRule="auto"/>
              <w:ind w:firstLine="482" w:firstLineChars="200"/>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1.3大气</w:t>
            </w:r>
          </w:p>
          <w:p>
            <w:pPr>
              <w:spacing w:line="360" w:lineRule="auto"/>
              <w:ind w:firstLine="480" w:firstLineChars="200"/>
              <w:rPr>
                <w:rFonts w:eastAsia="宋体"/>
                <w:color w:val="000000"/>
                <w:sz w:val="24"/>
              </w:rPr>
            </w:pPr>
            <w:r>
              <w:rPr>
                <w:rFonts w:eastAsia="宋体"/>
                <w:color w:val="000000"/>
                <w:sz w:val="24"/>
              </w:rPr>
              <w:t>本项目施工颗粒物执行《大气污染物综合排放标准》（GB16297-1996）表2中无组织排放监控浓度限值要求，具体见</w:t>
            </w:r>
            <w:bookmarkStart w:id="40" w:name="_Ref379546700"/>
            <w:r>
              <w:rPr>
                <w:rFonts w:eastAsia="宋体"/>
                <w:color w:val="000000"/>
                <w:sz w:val="24"/>
              </w:rPr>
              <w:t>表</w:t>
            </w:r>
            <w:bookmarkStart w:id="41" w:name="_Ref396828303"/>
            <w:r>
              <w:rPr>
                <w:rFonts w:hint="eastAsia"/>
                <w:color w:val="000000"/>
                <w:sz w:val="24"/>
                <w:lang w:val="en-US" w:eastAsia="zh-CN"/>
              </w:rPr>
              <w:t>3-4</w:t>
            </w:r>
            <w:r>
              <w:rPr>
                <w:rFonts w:eastAsia="宋体"/>
                <w:color w:val="000000"/>
                <w:sz w:val="24"/>
              </w:rPr>
              <w:t>。</w:t>
            </w:r>
          </w:p>
          <w:p>
            <w:pPr>
              <w:widowControl w:val="0"/>
              <w:adjustRightInd w:val="0"/>
              <w:snapToGrid w:val="0"/>
              <w:spacing w:line="240" w:lineRule="auto"/>
              <w:ind w:firstLine="422" w:firstLineChars="200"/>
              <w:jc w:val="both"/>
              <w:rPr>
                <w:rFonts w:ascii="Times New Roman" w:hAnsi="Times New Roman" w:eastAsia="宋体" w:cs="Times New Roman"/>
                <w:b/>
                <w:color w:val="000000"/>
                <w:kern w:val="2"/>
                <w:sz w:val="21"/>
                <w:szCs w:val="21"/>
                <w:lang w:val="en-US" w:eastAsia="zh-CN" w:bidi="ar-SA"/>
              </w:rPr>
            </w:pPr>
            <w:r>
              <w:rPr>
                <w:rFonts w:ascii="Times New Roman" w:hAnsi="Times New Roman" w:eastAsia="宋体" w:cs="Times New Roman"/>
                <w:b/>
                <w:color w:val="000000"/>
                <w:kern w:val="2"/>
                <w:sz w:val="21"/>
                <w:szCs w:val="21"/>
                <w:lang w:val="en-US" w:eastAsia="zh-CN" w:bidi="ar-SA"/>
              </w:rPr>
              <w:t>表</w:t>
            </w:r>
            <w:bookmarkEnd w:id="40"/>
            <w:bookmarkEnd w:id="41"/>
            <w:r>
              <w:rPr>
                <w:rFonts w:hint="eastAsia" w:cs="Times New Roman"/>
                <w:b/>
                <w:color w:val="000000"/>
                <w:kern w:val="2"/>
                <w:sz w:val="21"/>
                <w:szCs w:val="21"/>
                <w:lang w:val="en-US" w:eastAsia="zh-CN" w:bidi="ar-SA"/>
              </w:rPr>
              <w:t>3-4</w:t>
            </w:r>
            <w:r>
              <w:rPr>
                <w:rFonts w:ascii="Times New Roman" w:hAnsi="Times New Roman" w:eastAsia="宋体" w:cs="Times New Roman"/>
                <w:b/>
                <w:color w:val="000000"/>
                <w:kern w:val="2"/>
                <w:sz w:val="21"/>
                <w:szCs w:val="21"/>
                <w:lang w:val="en-US" w:eastAsia="zh-CN" w:bidi="ar-SA"/>
              </w:rPr>
              <w:t xml:space="preserve">                  大气污染物排放标准</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91"/>
              <w:gridCol w:w="3412"/>
              <w:gridCol w:w="405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91" w:type="dxa"/>
                  <w:vMerge w:val="restart"/>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污染物</w:t>
                  </w:r>
                </w:p>
              </w:tc>
              <w:tc>
                <w:tcPr>
                  <w:tcW w:w="3412" w:type="dxa"/>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标准限值</w:t>
                  </w:r>
                </w:p>
              </w:tc>
              <w:tc>
                <w:tcPr>
                  <w:tcW w:w="4055" w:type="dxa"/>
                  <w:vMerge w:val="restart"/>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执行标准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p>
              </w:tc>
              <w:tc>
                <w:tcPr>
                  <w:tcW w:w="3412" w:type="dxa"/>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无组织排放监控浓度限值</w:t>
                  </w:r>
                  <w:r>
                    <w:rPr>
                      <w:rFonts w:hint="eastAsia" w:cs="Times New Roman"/>
                      <w:b w:val="0"/>
                      <w:bCs/>
                      <w:color w:val="000000"/>
                      <w:kern w:val="2"/>
                      <w:sz w:val="21"/>
                      <w:szCs w:val="21"/>
                      <w:lang w:val="en-US" w:eastAsia="zh-CN" w:bidi="ar-SA"/>
                    </w:rPr>
                    <w:t>（</w:t>
                  </w:r>
                  <w:r>
                    <w:rPr>
                      <w:rFonts w:ascii="Times New Roman" w:hAnsi="Times New Roman" w:eastAsia="宋体" w:cs="Times New Roman"/>
                      <w:b w:val="0"/>
                      <w:bCs/>
                      <w:color w:val="000000"/>
                      <w:kern w:val="2"/>
                      <w:sz w:val="21"/>
                      <w:szCs w:val="21"/>
                      <w:lang w:val="en-US" w:eastAsia="zh-CN" w:bidi="ar-SA"/>
                    </w:rPr>
                    <w:t>mg/m</w:t>
                  </w:r>
                  <w:r>
                    <w:rPr>
                      <w:rFonts w:ascii="Times New Roman" w:hAnsi="Times New Roman" w:eastAsia="宋体" w:cs="Times New Roman"/>
                      <w:b w:val="0"/>
                      <w:bCs/>
                      <w:color w:val="000000"/>
                      <w:kern w:val="2"/>
                      <w:sz w:val="21"/>
                      <w:szCs w:val="21"/>
                      <w:vertAlign w:val="superscript"/>
                      <w:lang w:val="en-US" w:eastAsia="zh-CN" w:bidi="ar-SA"/>
                    </w:rPr>
                    <w:t>3</w:t>
                  </w:r>
                  <w:r>
                    <w:rPr>
                      <w:rFonts w:hint="eastAsia" w:cs="Times New Roman"/>
                      <w:b w:val="0"/>
                      <w:bCs/>
                      <w:color w:val="000000"/>
                      <w:kern w:val="2"/>
                      <w:sz w:val="21"/>
                      <w:szCs w:val="21"/>
                      <w:vertAlign w:val="superscript"/>
                      <w:lang w:val="en-US" w:eastAsia="zh-CN" w:bidi="ar-SA"/>
                    </w:rPr>
                    <w:t>）</w:t>
                  </w:r>
                </w:p>
              </w:tc>
              <w:tc>
                <w:tcPr>
                  <w:tcW w:w="4055" w:type="dxa"/>
                  <w:vMerge w:val="continue"/>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颗粒物</w:t>
                  </w:r>
                </w:p>
              </w:tc>
              <w:tc>
                <w:tcPr>
                  <w:tcW w:w="3412" w:type="dxa"/>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1.0</w:t>
                  </w:r>
                </w:p>
              </w:tc>
              <w:tc>
                <w:tcPr>
                  <w:tcW w:w="4055" w:type="dxa"/>
                  <w:noWrap w:val="0"/>
                  <w:vAlign w:val="center"/>
                </w:tcPr>
                <w:p>
                  <w:pPr>
                    <w:widowControl w:val="0"/>
                    <w:adjustRightInd w:val="0"/>
                    <w:snapToGrid w:val="0"/>
                    <w:spacing w:line="240" w:lineRule="auto"/>
                    <w:jc w:val="center"/>
                    <w:rPr>
                      <w:rFonts w:ascii="Times New Roman" w:hAnsi="Times New Roman" w:eastAsia="宋体" w:cs="Times New Roman"/>
                      <w:b w:val="0"/>
                      <w:bCs/>
                      <w:color w:val="000000"/>
                      <w:kern w:val="2"/>
                      <w:sz w:val="21"/>
                      <w:szCs w:val="21"/>
                      <w:lang w:val="en-US" w:eastAsia="zh-CN" w:bidi="ar-SA"/>
                    </w:rPr>
                  </w:pPr>
                  <w:r>
                    <w:rPr>
                      <w:rFonts w:ascii="Times New Roman" w:hAnsi="Times New Roman" w:eastAsia="宋体" w:cs="Times New Roman"/>
                      <w:b w:val="0"/>
                      <w:bCs/>
                      <w:color w:val="000000"/>
                      <w:kern w:val="2"/>
                      <w:sz w:val="21"/>
                      <w:szCs w:val="21"/>
                      <w:lang w:val="en-US" w:eastAsia="zh-CN" w:bidi="ar-SA"/>
                    </w:rPr>
                    <w:t>《大气污染物综合排放标准》（GB16297-1996）表2标准</w:t>
                  </w:r>
                </w:p>
              </w:tc>
            </w:tr>
          </w:tbl>
          <w:p>
            <w:pPr>
              <w:widowControl w:val="0"/>
              <w:numPr>
                <w:ilvl w:val="0"/>
                <w:numId w:val="0"/>
              </w:numPr>
              <w:adjustRightInd w:val="0"/>
              <w:snapToGrid w:val="0"/>
              <w:spacing w:line="360" w:lineRule="auto"/>
              <w:jc w:val="both"/>
              <w:rPr>
                <w:rFonts w:hint="eastAsia" w:ascii="Times New Roman" w:hAnsi="Times New Roman" w:eastAsia="宋体" w:cs="Times New Roman"/>
                <w:b/>
                <w:color w:val="000000"/>
                <w:kern w:val="2"/>
                <w:sz w:val="24"/>
                <w:szCs w:val="24"/>
                <w:lang w:val="en-US" w:eastAsia="zh-CN" w:bidi="ar-SA"/>
              </w:rPr>
            </w:pPr>
            <w:r>
              <w:rPr>
                <w:rFonts w:hint="eastAsia" w:ascii="Times New Roman" w:hAnsi="Times New Roman" w:eastAsia="宋体" w:cs="Times New Roman"/>
                <w:b/>
                <w:color w:val="000000"/>
                <w:kern w:val="2"/>
                <w:sz w:val="24"/>
                <w:szCs w:val="24"/>
                <w:lang w:val="en-US" w:eastAsia="zh-CN" w:bidi="ar-SA"/>
              </w:rPr>
              <w:t>2、运营期</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cs="Times New Roman"/>
                <w:b/>
                <w:bCs/>
                <w:kern w:val="0"/>
                <w:sz w:val="24"/>
                <w:lang w:val="en-US" w:eastAsia="zh-CN"/>
              </w:rPr>
            </w:pPr>
            <w:r>
              <w:rPr>
                <w:rFonts w:hint="eastAsia" w:cs="Times New Roman"/>
                <w:b/>
                <w:bCs/>
                <w:kern w:val="0"/>
                <w:sz w:val="24"/>
                <w:lang w:val="en-US" w:eastAsia="zh-CN"/>
              </w:rPr>
              <w:t>2.1废气</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rPr>
                <w:rFonts w:hint="eastAsia"/>
                <w:color w:val="auto"/>
                <w:sz w:val="24"/>
                <w:lang w:val="en-US" w:eastAsia="zh-CN"/>
              </w:rPr>
            </w:pPr>
            <w:r>
              <w:rPr>
                <w:rFonts w:hint="eastAsia" w:ascii="Times New Roman" w:eastAsia="宋体"/>
                <w:color w:val="auto"/>
                <w:sz w:val="24"/>
                <w:lang w:val="en-US" w:eastAsia="zh-CN"/>
              </w:rPr>
              <w:t>本项目恶臭气体执行《恶臭污染物排放标准》（GB14554-93）中相关标准。项目相关污染物排放标准值详见下表。</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422" w:firstLineChars="200"/>
              <w:rPr>
                <w:rFonts w:hint="eastAsia"/>
                <w:b/>
                <w:bCs/>
                <w:sz w:val="21"/>
                <w:szCs w:val="21"/>
                <w:lang w:eastAsia="zh-CN"/>
              </w:rPr>
            </w:pPr>
            <w:r>
              <w:rPr>
                <w:rFonts w:hint="default"/>
                <w:b/>
                <w:bCs/>
                <w:color w:val="auto"/>
                <w:sz w:val="21"/>
                <w:szCs w:val="21"/>
                <w:lang w:val="en-US" w:eastAsia="zh-CN"/>
              </w:rPr>
              <w:t>表</w:t>
            </w:r>
            <w:r>
              <w:rPr>
                <w:rFonts w:hint="eastAsia" w:ascii="Times New Roman" w:eastAsia="宋体"/>
                <w:b/>
                <w:bCs/>
                <w:color w:val="auto"/>
                <w:sz w:val="21"/>
                <w:szCs w:val="21"/>
                <w:lang w:val="en-US" w:eastAsia="zh-CN"/>
              </w:rPr>
              <w:t>3-</w:t>
            </w:r>
            <w:r>
              <w:rPr>
                <w:rFonts w:hint="eastAsia"/>
                <w:b/>
                <w:bCs/>
                <w:color w:val="auto"/>
                <w:sz w:val="21"/>
                <w:szCs w:val="21"/>
                <w:lang w:val="en-US" w:eastAsia="zh-CN"/>
              </w:rPr>
              <w:t>5</w:t>
            </w:r>
            <w:r>
              <w:rPr>
                <w:rFonts w:hint="eastAsia" w:ascii="Times New Roman" w:eastAsia="宋体"/>
                <w:b/>
                <w:bCs/>
                <w:color w:val="auto"/>
                <w:sz w:val="21"/>
                <w:szCs w:val="21"/>
                <w:lang w:val="en-US" w:eastAsia="zh-CN"/>
              </w:rPr>
              <w:t xml:space="preserve">                </w:t>
            </w:r>
            <w:r>
              <w:rPr>
                <w:rFonts w:hint="default"/>
                <w:b/>
                <w:bCs/>
                <w:color w:val="auto"/>
                <w:sz w:val="21"/>
                <w:szCs w:val="21"/>
                <w:lang w:val="en-US" w:eastAsia="zh-CN"/>
              </w:rPr>
              <w:t>大气污染排放</w:t>
            </w:r>
            <w:r>
              <w:rPr>
                <w:rFonts w:hint="eastAsia" w:ascii="Times New Roman" w:eastAsia="宋体"/>
                <w:b/>
                <w:bCs/>
                <w:color w:val="auto"/>
                <w:sz w:val="21"/>
                <w:szCs w:val="21"/>
                <w:lang w:val="en-US" w:eastAsia="zh-CN"/>
              </w:rPr>
              <w:t>限值</w:t>
            </w:r>
            <w:r>
              <w:rPr>
                <w:rFonts w:hint="default"/>
                <w:b/>
                <w:bCs/>
                <w:color w:val="auto"/>
                <w:sz w:val="21"/>
                <w:szCs w:val="21"/>
                <w:lang w:val="en-US" w:eastAsia="zh-CN"/>
              </w:rPr>
              <w:t xml:space="preserve">     </w:t>
            </w:r>
            <w:r>
              <w:rPr>
                <w:rFonts w:hint="eastAsia" w:ascii="Times New Roman" w:eastAsia="宋体"/>
                <w:b/>
                <w:bCs/>
                <w:color w:val="auto"/>
                <w:sz w:val="21"/>
                <w:szCs w:val="21"/>
                <w:lang w:val="en-US" w:eastAsia="zh-CN"/>
              </w:rPr>
              <w:t xml:space="preserve">          单位：mg/m</w:t>
            </w:r>
            <w:r>
              <w:rPr>
                <w:rFonts w:hint="eastAsia" w:ascii="Times New Roman" w:eastAsia="宋体"/>
                <w:b/>
                <w:bCs/>
                <w:color w:val="auto"/>
                <w:sz w:val="21"/>
                <w:szCs w:val="21"/>
                <w:vertAlign w:val="superscript"/>
                <w:lang w:val="en-US" w:eastAsia="zh-CN"/>
              </w:rPr>
              <w:t xml:space="preserve">3  </w:t>
            </w:r>
            <w:r>
              <w:rPr>
                <w:rFonts w:hint="eastAsia" w:ascii="Times New Roman" w:eastAsia="宋体"/>
                <w:b/>
                <w:bCs/>
                <w:color w:val="auto"/>
                <w:sz w:val="21"/>
                <w:szCs w:val="21"/>
                <w:lang w:val="en-US" w:eastAsia="zh-CN"/>
              </w:rPr>
              <w:t xml:space="preserve"> </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292"/>
              <w:gridCol w:w="1322"/>
              <w:gridCol w:w="1343"/>
              <w:gridCol w:w="1282"/>
              <w:gridCol w:w="308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0" w:hRule="atLeast"/>
                <w:jc w:val="center"/>
              </w:trPr>
              <w:tc>
                <w:tcPr>
                  <w:tcW w:w="77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位置</w:t>
                  </w:r>
                </w:p>
              </w:tc>
              <w:tc>
                <w:tcPr>
                  <w:tcW w:w="79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污染物项目</w:t>
                  </w:r>
                </w:p>
              </w:tc>
              <w:tc>
                <w:tcPr>
                  <w:tcW w:w="1577"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无组织排放限值</w:t>
                  </w:r>
                </w:p>
              </w:tc>
              <w:tc>
                <w:tcPr>
                  <w:tcW w:w="1851"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77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p>
              </w:tc>
              <w:tc>
                <w:tcPr>
                  <w:tcW w:w="79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p>
              </w:tc>
              <w:tc>
                <w:tcPr>
                  <w:tcW w:w="80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标准值</w:t>
                  </w:r>
                </w:p>
              </w:tc>
              <w:tc>
                <w:tcPr>
                  <w:tcW w:w="7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单位</w:t>
                  </w:r>
                </w:p>
              </w:tc>
              <w:tc>
                <w:tcPr>
                  <w:tcW w:w="185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0" w:hRule="atLeast"/>
                <w:jc w:val="center"/>
              </w:trPr>
              <w:tc>
                <w:tcPr>
                  <w:tcW w:w="77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厂界</w:t>
                  </w:r>
                </w:p>
              </w:tc>
              <w:tc>
                <w:tcPr>
                  <w:tcW w:w="7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臭气浓度</w:t>
                  </w:r>
                </w:p>
              </w:tc>
              <w:tc>
                <w:tcPr>
                  <w:tcW w:w="80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20</w:t>
                  </w:r>
                </w:p>
              </w:tc>
              <w:tc>
                <w:tcPr>
                  <w:tcW w:w="7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无量纲</w:t>
                  </w:r>
                </w:p>
              </w:tc>
              <w:tc>
                <w:tcPr>
                  <w:tcW w:w="1851"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napToGrid w:val="0"/>
                      <w:kern w:val="0"/>
                      <w:sz w:val="21"/>
                      <w:szCs w:val="21"/>
                      <w:lang w:val="en-US" w:eastAsia="zh-CN" w:bidi="ar-SA"/>
                    </w:rPr>
                    <w:t>《</w:t>
                  </w:r>
                  <w:r>
                    <w:rPr>
                      <w:rFonts w:hint="default" w:ascii="Times New Roman" w:hAnsi="Times New Roman" w:eastAsia="宋体" w:cs="Times New Roman"/>
                      <w:snapToGrid w:val="0"/>
                      <w:kern w:val="0"/>
                      <w:sz w:val="21"/>
                      <w:szCs w:val="21"/>
                      <w:lang w:val="en-US" w:eastAsia="zh-CN" w:bidi="ar-SA"/>
                    </w:rPr>
                    <w:t>恶臭污染物排放标准》（GB14554-93）</w:t>
                  </w:r>
                  <w:r>
                    <w:rPr>
                      <w:rFonts w:hint="eastAsia" w:ascii="Times New Roman" w:hAnsi="Times New Roman" w:eastAsia="宋体" w:cs="Times New Roman"/>
                      <w:snapToGrid w:val="0"/>
                      <w:kern w:val="0"/>
                      <w:sz w:val="21"/>
                      <w:szCs w:val="21"/>
                      <w:lang w:val="en-US" w:eastAsia="zh-CN" w:bidi="ar-SA"/>
                    </w:rPr>
                    <w:t>表1中的标准限值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0" w:hRule="atLeast"/>
                <w:jc w:val="center"/>
              </w:trPr>
              <w:tc>
                <w:tcPr>
                  <w:tcW w:w="77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p>
              </w:tc>
              <w:tc>
                <w:tcPr>
                  <w:tcW w:w="7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硫化氢</w:t>
                  </w:r>
                </w:p>
              </w:tc>
              <w:tc>
                <w:tcPr>
                  <w:tcW w:w="80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0.06</w:t>
                  </w:r>
                </w:p>
              </w:tc>
              <w:tc>
                <w:tcPr>
                  <w:tcW w:w="7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mg/m</w:t>
                  </w:r>
                  <w:r>
                    <w:rPr>
                      <w:rFonts w:hint="default" w:ascii="Times New Roman" w:hAnsi="Times New Roman" w:eastAsia="宋体" w:cs="Times New Roman"/>
                      <w:snapToGrid w:val="0"/>
                      <w:kern w:val="0"/>
                      <w:sz w:val="21"/>
                      <w:szCs w:val="21"/>
                      <w:vertAlign w:val="superscript"/>
                      <w:lang w:val="en-US" w:eastAsia="zh-CN" w:bidi="ar-SA"/>
                    </w:rPr>
                    <w:t>3</w:t>
                  </w:r>
                </w:p>
              </w:tc>
              <w:tc>
                <w:tcPr>
                  <w:tcW w:w="185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0" w:hRule="atLeast"/>
                <w:jc w:val="center"/>
              </w:trPr>
              <w:tc>
                <w:tcPr>
                  <w:tcW w:w="77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p>
              </w:tc>
              <w:tc>
                <w:tcPr>
                  <w:tcW w:w="7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氨</w:t>
                  </w:r>
                </w:p>
              </w:tc>
              <w:tc>
                <w:tcPr>
                  <w:tcW w:w="80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1.5</w:t>
                  </w:r>
                </w:p>
              </w:tc>
              <w:tc>
                <w:tcPr>
                  <w:tcW w:w="76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lang w:val="en-US" w:eastAsia="zh-CN" w:bidi="ar-SA"/>
                    </w:rPr>
                    <w:t>mg/m</w:t>
                  </w:r>
                  <w:r>
                    <w:rPr>
                      <w:rFonts w:hint="default" w:ascii="Times New Roman" w:hAnsi="Times New Roman" w:eastAsia="宋体" w:cs="Times New Roman"/>
                      <w:snapToGrid w:val="0"/>
                      <w:kern w:val="0"/>
                      <w:sz w:val="21"/>
                      <w:szCs w:val="21"/>
                      <w:vertAlign w:val="superscript"/>
                      <w:lang w:val="en-US" w:eastAsia="zh-CN" w:bidi="ar-SA"/>
                    </w:rPr>
                    <w:t>3</w:t>
                  </w:r>
                </w:p>
              </w:tc>
              <w:tc>
                <w:tcPr>
                  <w:tcW w:w="185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kern w:val="0"/>
                <w:sz w:val="24"/>
                <w:szCs w:val="24"/>
                <w:lang w:val="en-US" w:eastAsia="zh-CN" w:bidi="ar-SA"/>
              </w:rPr>
              <w:t>锅炉废气：</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运营期</w:t>
            </w:r>
            <w:r>
              <w:rPr>
                <w:rFonts w:hint="eastAsia" w:cs="Times New Roman"/>
                <w:color w:val="000000" w:themeColor="text1"/>
                <w:kern w:val="2"/>
                <w:sz w:val="24"/>
                <w:szCs w:val="24"/>
                <w:highlight w:val="none"/>
                <w:lang w:val="en-US" w:eastAsia="zh-CN" w:bidi="ar-SA"/>
                <w14:textFill>
                  <w14:solidFill>
                    <w14:schemeClr w14:val="tx1"/>
                  </w14:solidFill>
                </w14:textFill>
              </w:rPr>
              <w:t>锅炉</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废气执行</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《锅炉大气污染物排放标准》（GB13271-2014）</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中表2排放限值，见表3-</w:t>
            </w:r>
            <w:r>
              <w:rPr>
                <w:rFonts w:hint="eastAsia" w:cs="Times New Roman"/>
                <w:color w:val="000000" w:themeColor="text1"/>
                <w:kern w:val="2"/>
                <w:sz w:val="24"/>
                <w:szCs w:val="24"/>
                <w:highlight w:val="none"/>
                <w:lang w:val="en-US" w:eastAsia="zh-CN" w:bidi="ar-SA"/>
                <w14:textFill>
                  <w14:solidFill>
                    <w14:schemeClr w14:val="tx1"/>
                  </w14:solidFill>
                </w14:textFill>
              </w:rPr>
              <w:t>6</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宋体" w:cs="Times New Roman"/>
                <w:b/>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bidi="ar-SA"/>
                <w14:textFill>
                  <w14:solidFill>
                    <w14:schemeClr w14:val="tx1"/>
                  </w14:solidFill>
                </w14:textFill>
              </w:rPr>
              <w:t>表3-</w:t>
            </w:r>
            <w:r>
              <w:rPr>
                <w:rFonts w:hint="eastAsia" w:cs="Times New Roman"/>
                <w:b/>
                <w:color w:val="000000" w:themeColor="text1"/>
                <w:sz w:val="21"/>
                <w:szCs w:val="21"/>
                <w:highlight w:val="none"/>
                <w:lang w:val="en-US" w:eastAsia="zh-CN" w:bidi="ar-SA"/>
                <w14:textFill>
                  <w14:solidFill>
                    <w14:schemeClr w14:val="tx1"/>
                  </w14:solidFill>
                </w14:textFill>
              </w:rPr>
              <w:t>6</w:t>
            </w:r>
            <w:r>
              <w:rPr>
                <w:rFonts w:hint="eastAsia" w:ascii="Times New Roman" w:hAnsi="Times New Roman" w:eastAsia="宋体" w:cs="Times New Roman"/>
                <w:b/>
                <w:color w:val="000000" w:themeColor="text1"/>
                <w:sz w:val="21"/>
                <w:szCs w:val="21"/>
                <w:highlight w:val="none"/>
                <w:lang w:val="en-US" w:eastAsia="zh-CN" w:bidi="ar-SA"/>
                <w14:textFill>
                  <w14:solidFill>
                    <w14:schemeClr w14:val="tx1"/>
                  </w14:solidFill>
                </w14:textFill>
              </w:rPr>
              <w:t xml:space="preserve">               大气污染物排放限值及执行标准</w:t>
            </w:r>
          </w:p>
          <w:tbl>
            <w:tblPr>
              <w:tblStyle w:val="3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4"/>
              <w:gridCol w:w="864"/>
              <w:gridCol w:w="1308"/>
              <w:gridCol w:w="1281"/>
              <w:gridCol w:w="41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vertAlign w:val="baseline"/>
                      <w:lang w:val="en-US" w:eastAsia="zh-CN" w:bidi="ar-SA"/>
                      <w14:textFill>
                        <w14:solidFill>
                          <w14:schemeClr w14:val="tx1"/>
                        </w14:solidFill>
                      </w14:textFill>
                    </w:rPr>
                    <w:t>污染源</w:t>
                  </w:r>
                </w:p>
              </w:tc>
              <w:tc>
                <w:tcPr>
                  <w:tcW w:w="86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vertAlign w:val="baseline"/>
                      <w:lang w:val="en-US" w:eastAsia="zh-CN" w:bidi="ar-SA"/>
                      <w14:textFill>
                        <w14:solidFill>
                          <w14:schemeClr w14:val="tx1"/>
                        </w14:solidFill>
                      </w14:textFill>
                    </w:rPr>
                    <w:t>排放方式</w:t>
                  </w:r>
                </w:p>
              </w:tc>
              <w:tc>
                <w:tcPr>
                  <w:tcW w:w="13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1"/>
                      <w:highlight w:val="none"/>
                      <w:vertAlign w:val="baseline"/>
                      <w:lang w:val="en-US" w:eastAsia="zh-CN" w:bidi="ar-SA"/>
                      <w14:textFill>
                        <w14:solidFill>
                          <w14:schemeClr w14:val="tx1"/>
                        </w14:solidFill>
                      </w14:textFill>
                    </w:rPr>
                    <w:t>污染物名称</w:t>
                  </w:r>
                </w:p>
              </w:tc>
              <w:tc>
                <w:tcPr>
                  <w:tcW w:w="12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标准限值</w:t>
                  </w:r>
                  <w:r>
                    <w:rPr>
                      <w:rFonts w:hint="eastAsia"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（mg/m</w:t>
                  </w:r>
                  <w:r>
                    <w:rPr>
                      <w:rFonts w:hint="eastAsia" w:ascii="Times New Roman" w:hAnsi="Times New Roman" w:eastAsia="宋体" w:cs="Times New Roman"/>
                      <w:b w:val="0"/>
                      <w:bCs/>
                      <w:color w:val="000000" w:themeColor="text1"/>
                      <w:sz w:val="21"/>
                      <w:szCs w:val="21"/>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w:t>
                  </w:r>
                </w:p>
              </w:tc>
              <w:tc>
                <w:tcPr>
                  <w:tcW w:w="411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锅炉废气</w:t>
                  </w:r>
                </w:p>
              </w:tc>
              <w:tc>
                <w:tcPr>
                  <w:tcW w:w="86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有组织排放</w:t>
                  </w:r>
                </w:p>
              </w:tc>
              <w:tc>
                <w:tcPr>
                  <w:tcW w:w="13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颗粒物</w:t>
                  </w:r>
                </w:p>
              </w:tc>
              <w:tc>
                <w:tcPr>
                  <w:tcW w:w="12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20</w:t>
                  </w:r>
                </w:p>
              </w:tc>
              <w:tc>
                <w:tcPr>
                  <w:tcW w:w="411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6"/>
                      <w:sz w:val="21"/>
                      <w:szCs w:val="21"/>
                      <w:highlight w:val="none"/>
                      <w:vertAlign w:val="baseline"/>
                      <w:lang w:val="en-US" w:eastAsia="zh-CN" w:bidi="ar-SA"/>
                      <w14:textFill>
                        <w14:solidFill>
                          <w14:schemeClr w14:val="tx1"/>
                        </w14:solidFill>
                      </w14:textFill>
                    </w:rPr>
                    <w:t>执行</w:t>
                  </w:r>
                  <w:r>
                    <w:rPr>
                      <w:rFonts w:hint="default" w:ascii="Times New Roman" w:hAnsi="Times New Roman" w:eastAsia="宋体" w:cs="Times New Roman"/>
                      <w:b w:val="0"/>
                      <w:bCs/>
                      <w:color w:val="000000" w:themeColor="text1"/>
                      <w:spacing w:val="-6"/>
                      <w:sz w:val="21"/>
                      <w:szCs w:val="21"/>
                      <w:highlight w:val="none"/>
                      <w:vertAlign w:val="baseline"/>
                      <w:lang w:val="en-US" w:eastAsia="zh-CN" w:bidi="ar-SA"/>
                      <w14:textFill>
                        <w14:solidFill>
                          <w14:schemeClr w14:val="tx1"/>
                        </w14:solidFill>
                      </w14:textFill>
                    </w:rPr>
                    <w:t>《锅炉大气污染物排放标准》（GB13271-2014）</w:t>
                  </w:r>
                  <w:r>
                    <w:rPr>
                      <w:rFonts w:hint="eastAsia" w:ascii="Times New Roman" w:hAnsi="Times New Roman" w:eastAsia="宋体" w:cs="Times New Roman"/>
                      <w:b w:val="0"/>
                      <w:bCs/>
                      <w:color w:val="000000" w:themeColor="text1"/>
                      <w:spacing w:val="-6"/>
                      <w:sz w:val="21"/>
                      <w:szCs w:val="21"/>
                      <w:highlight w:val="none"/>
                      <w:vertAlign w:val="baseline"/>
                      <w:lang w:val="en-US" w:eastAsia="zh-CN" w:bidi="ar-SA"/>
                      <w14:textFill>
                        <w14:solidFill>
                          <w14:schemeClr w14:val="tx1"/>
                        </w14:solidFill>
                      </w14:textFill>
                    </w:rPr>
                    <w:t>中表2排放限值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13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SO</w:t>
                  </w:r>
                  <w:r>
                    <w:rPr>
                      <w:rFonts w:hint="default" w:ascii="Times New Roman" w:hAnsi="Times New Roman" w:eastAsia="宋体" w:cs="Times New Roman"/>
                      <w:b w:val="0"/>
                      <w:bCs/>
                      <w:color w:val="000000" w:themeColor="text1"/>
                      <w:sz w:val="21"/>
                      <w:szCs w:val="21"/>
                      <w:highlight w:val="none"/>
                      <w:vertAlign w:val="subscript"/>
                      <w:lang w:val="en-US" w:eastAsia="zh-CN" w:bidi="ar-SA"/>
                      <w14:textFill>
                        <w14:solidFill>
                          <w14:schemeClr w14:val="tx1"/>
                        </w14:solidFill>
                      </w14:textFill>
                    </w:rPr>
                    <w:t>2</w:t>
                  </w:r>
                </w:p>
              </w:tc>
              <w:tc>
                <w:tcPr>
                  <w:tcW w:w="12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50</w:t>
                  </w:r>
                </w:p>
              </w:tc>
              <w:tc>
                <w:tcPr>
                  <w:tcW w:w="4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13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NO</w:t>
                  </w:r>
                  <w:r>
                    <w:rPr>
                      <w:rFonts w:hint="default" w:ascii="Times New Roman" w:hAnsi="Times New Roman" w:eastAsia="宋体" w:cs="Times New Roman"/>
                      <w:b w:val="0"/>
                      <w:bCs/>
                      <w:color w:val="000000" w:themeColor="text1"/>
                      <w:sz w:val="21"/>
                      <w:szCs w:val="21"/>
                      <w:highlight w:val="none"/>
                      <w:vertAlign w:val="subscript"/>
                      <w:lang w:val="en-US" w:eastAsia="zh-CN" w:bidi="ar-SA"/>
                      <w14:textFill>
                        <w14:solidFill>
                          <w14:schemeClr w14:val="tx1"/>
                        </w14:solidFill>
                      </w14:textFill>
                    </w:rPr>
                    <w:t>X</w:t>
                  </w:r>
                </w:p>
              </w:tc>
              <w:tc>
                <w:tcPr>
                  <w:tcW w:w="12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eastAsia" w:cs="Times New Roman"/>
                      <w:b w:val="0"/>
                      <w:bCs/>
                      <w:color w:val="000000" w:themeColor="text1"/>
                      <w:sz w:val="21"/>
                      <w:szCs w:val="21"/>
                      <w:highlight w:val="none"/>
                      <w:vertAlign w:val="baseline"/>
                      <w:lang w:val="en-US" w:eastAsia="zh-CN" w:bidi="ar-SA"/>
                      <w14:textFill>
                        <w14:solidFill>
                          <w14:schemeClr w14:val="tx1"/>
                        </w14:solidFill>
                      </w14:textFill>
                    </w:rPr>
                    <w:t>200</w:t>
                  </w:r>
                </w:p>
              </w:tc>
              <w:tc>
                <w:tcPr>
                  <w:tcW w:w="4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86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13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林格曼黑度</w:t>
                  </w:r>
                </w:p>
              </w:tc>
              <w:tc>
                <w:tcPr>
                  <w:tcW w:w="128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t>≤1</w:t>
                  </w:r>
                </w:p>
              </w:tc>
              <w:tc>
                <w:tcPr>
                  <w:tcW w:w="411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1"/>
                      <w:szCs w:val="21"/>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kern w:val="0"/>
                <w:sz w:val="24"/>
                <w:lang w:val="en-US" w:eastAsia="zh-CN"/>
              </w:rPr>
            </w:pPr>
            <w:r>
              <w:rPr>
                <w:rFonts w:hint="eastAsia" w:ascii="Times New Roman" w:hAnsi="Times New Roman" w:eastAsia="宋体" w:cs="Times New Roman"/>
                <w:b/>
                <w:bCs/>
                <w:kern w:val="0"/>
                <w:sz w:val="24"/>
                <w:lang w:val="en-US" w:eastAsia="zh-CN"/>
              </w:rPr>
              <w:t>2.2噪声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56" w:firstLineChars="200"/>
              <w:jc w:val="both"/>
              <w:textAlignment w:val="auto"/>
              <w:rPr>
                <w:rFonts w:hint="default"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t>运营期噪声控制标准执行《工业企业厂界环境噪声排放标准》（GB 12348-2008）3类标准，昼间65dB(A</w:t>
            </w:r>
            <w:r>
              <w:rPr>
                <w:rFonts w:hint="eastAsia" w:cs="Times New Roman"/>
                <w:b w:val="0"/>
                <w:bCs/>
                <w:color w:val="000000" w:themeColor="text1"/>
                <w:spacing w:val="-6"/>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t>，夜间55dB(A</w:t>
            </w:r>
            <w:r>
              <w:rPr>
                <w:rFonts w:hint="eastAsia" w:cs="Times New Roman"/>
                <w:b w:val="0"/>
                <w:bCs/>
                <w:color w:val="000000" w:themeColor="text1"/>
                <w:spacing w:val="-6"/>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kern w:val="0"/>
                <w:sz w:val="24"/>
                <w:lang w:val="en-US" w:eastAsia="zh-CN"/>
              </w:rPr>
            </w:pPr>
            <w:r>
              <w:rPr>
                <w:rFonts w:hint="eastAsia" w:ascii="Times New Roman" w:hAnsi="Times New Roman" w:eastAsia="宋体" w:cs="Times New Roman"/>
                <w:b/>
                <w:bCs/>
                <w:kern w:val="0"/>
                <w:sz w:val="24"/>
                <w:lang w:val="en-US" w:eastAsia="zh-CN"/>
              </w:rPr>
              <w:t>2.3废水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56" w:firstLineChars="200"/>
              <w:jc w:val="both"/>
              <w:textAlignment w:val="auto"/>
              <w:rPr>
                <w:rFonts w:hint="eastAsia"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t>本项目废水执行</w:t>
            </w:r>
            <w:r>
              <w:rPr>
                <w:rFonts w:hint="eastAsia" w:cs="Times New Roman"/>
                <w:b w:val="0"/>
                <w:bCs/>
                <w:color w:val="000000" w:themeColor="text1"/>
                <w:spacing w:val="-6"/>
                <w:kern w:val="2"/>
                <w:sz w:val="24"/>
                <w:szCs w:val="24"/>
                <w:highlight w:val="none"/>
                <w:lang w:val="en-US" w:eastAsia="zh-CN" w:bidi="ar-SA"/>
                <w14:textFill>
                  <w14:solidFill>
                    <w14:schemeClr w14:val="tx1"/>
                  </w14:solidFill>
                </w14:textFill>
              </w:rPr>
              <w:t>《发酵酒精和白酒工业水污染物排放标准》（GB 27631-2011）及修改单</w:t>
            </w:r>
            <w:r>
              <w:rPr>
                <w:rFonts w:hint="eastAsia"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t>中表2间接排放标准。</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宋体" w:cs="Times New Roman"/>
                <w:b/>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bidi="ar-SA"/>
                <w14:textFill>
                  <w14:solidFill>
                    <w14:schemeClr w14:val="tx1"/>
                  </w14:solidFill>
                </w14:textFill>
              </w:rPr>
              <w:t>表3-</w:t>
            </w:r>
            <w:r>
              <w:rPr>
                <w:rFonts w:hint="eastAsia" w:cs="Times New Roman"/>
                <w:b/>
                <w:color w:val="000000" w:themeColor="text1"/>
                <w:sz w:val="21"/>
                <w:szCs w:val="21"/>
                <w:highlight w:val="none"/>
                <w:lang w:val="en-US" w:eastAsia="zh-CN" w:bidi="ar-SA"/>
                <w14:textFill>
                  <w14:solidFill>
                    <w14:schemeClr w14:val="tx1"/>
                  </w14:solidFill>
                </w14:textFill>
              </w:rPr>
              <w:t>7</w:t>
            </w:r>
            <w:r>
              <w:rPr>
                <w:rFonts w:hint="eastAsia" w:ascii="Times New Roman" w:hAnsi="Times New Roman" w:eastAsia="宋体" w:cs="Times New Roman"/>
                <w:b/>
                <w:color w:val="000000" w:themeColor="text1"/>
                <w:sz w:val="21"/>
                <w:szCs w:val="21"/>
                <w:highlight w:val="none"/>
                <w:lang w:val="en-US" w:eastAsia="zh-CN" w:bidi="ar-SA"/>
                <w14:textFill>
                  <w14:solidFill>
                    <w14:schemeClr w14:val="tx1"/>
                  </w14:solidFill>
                </w14:textFill>
              </w:rPr>
              <w:t xml:space="preserve">                废水执行标准</w:t>
            </w:r>
          </w:p>
          <w:tbl>
            <w:tblPr>
              <w:tblStyle w:val="3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753"/>
              <w:gridCol w:w="724"/>
              <w:gridCol w:w="40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序号</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污染物项目</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限值</w:t>
                  </w:r>
                </w:p>
              </w:tc>
              <w:tc>
                <w:tcPr>
                  <w:tcW w:w="2462"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污染物排放监控位置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pH值</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6~9</w:t>
                  </w:r>
                </w:p>
              </w:tc>
              <w:tc>
                <w:tcPr>
                  <w:tcW w:w="2462" w:type="pct"/>
                  <w:vMerge w:val="restar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企业废水总排放口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2</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色度（稀释倍数）</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80</w:t>
                  </w:r>
                </w:p>
              </w:tc>
              <w:tc>
                <w:tcPr>
                  <w:tcW w:w="2462" w:type="pct"/>
                  <w:vMerge w:val="continue"/>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3</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悬浮物</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140</w:t>
                  </w:r>
                </w:p>
              </w:tc>
              <w:tc>
                <w:tcPr>
                  <w:tcW w:w="2462" w:type="pct"/>
                  <w:vMerge w:val="continue"/>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4</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五日生化需氧量（BOD</w:t>
                  </w:r>
                  <w:r>
                    <w:rPr>
                      <w:rFonts w:hint="eastAsia"/>
                      <w:sz w:val="21"/>
                      <w:szCs w:val="21"/>
                      <w:vertAlign w:val="subscript"/>
                      <w:lang w:val="en-US" w:eastAsia="zh-CN"/>
                    </w:rPr>
                    <w:t>5</w:t>
                  </w:r>
                  <w:r>
                    <w:rPr>
                      <w:rFonts w:hint="eastAsia"/>
                      <w:sz w:val="21"/>
                      <w:szCs w:val="21"/>
                      <w:vertAlign w:val="baseline"/>
                      <w:lang w:val="en-US" w:eastAsia="zh-CN"/>
                    </w:rPr>
                    <w:t>）</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80</w:t>
                  </w:r>
                </w:p>
              </w:tc>
              <w:tc>
                <w:tcPr>
                  <w:tcW w:w="2462" w:type="pct"/>
                  <w:vMerge w:val="continue"/>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5</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化学需氧量（CODcr）</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400</w:t>
                  </w:r>
                </w:p>
              </w:tc>
              <w:tc>
                <w:tcPr>
                  <w:tcW w:w="2462" w:type="pct"/>
                  <w:vMerge w:val="continue"/>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6</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氨氮</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30</w:t>
                  </w:r>
                </w:p>
              </w:tc>
              <w:tc>
                <w:tcPr>
                  <w:tcW w:w="2462" w:type="pct"/>
                  <w:vMerge w:val="continue"/>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7</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总氮</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50</w:t>
                  </w:r>
                </w:p>
              </w:tc>
              <w:tc>
                <w:tcPr>
                  <w:tcW w:w="2462" w:type="pct"/>
                  <w:vMerge w:val="continue"/>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8</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总磷</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3.0</w:t>
                  </w:r>
                </w:p>
              </w:tc>
              <w:tc>
                <w:tcPr>
                  <w:tcW w:w="2462" w:type="pct"/>
                  <w:vMerge w:val="continue"/>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9</w:t>
                  </w:r>
                </w:p>
              </w:tc>
              <w:tc>
                <w:tcPr>
                  <w:tcW w:w="1654"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单位产品基准排水量（m</w:t>
                  </w:r>
                  <w:r>
                    <w:rPr>
                      <w:rFonts w:hint="eastAsia"/>
                      <w:sz w:val="21"/>
                      <w:szCs w:val="21"/>
                      <w:vertAlign w:val="superscript"/>
                      <w:lang w:val="en-US" w:eastAsia="zh-CN"/>
                    </w:rPr>
                    <w:t>3</w:t>
                  </w:r>
                  <w:r>
                    <w:rPr>
                      <w:rFonts w:hint="eastAsia"/>
                      <w:sz w:val="21"/>
                      <w:szCs w:val="21"/>
                      <w:vertAlign w:val="baseline"/>
                      <w:lang w:val="en-US" w:eastAsia="zh-CN"/>
                    </w:rPr>
                    <w:t>/t）</w:t>
                  </w:r>
                </w:p>
              </w:tc>
              <w:tc>
                <w:tcPr>
                  <w:tcW w:w="435"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20</w:t>
                  </w:r>
                </w:p>
              </w:tc>
              <w:tc>
                <w:tcPr>
                  <w:tcW w:w="2462" w:type="pct"/>
                  <w:tcBorders>
                    <w:tl2br w:val="nil"/>
                    <w:tr2bl w:val="nil"/>
                  </w:tcBorders>
                  <w:vAlign w:val="center"/>
                </w:tcPr>
                <w:p>
                  <w:pPr>
                    <w:pStyle w:val="1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排水量计量位置与污染物排放监控位置一致</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kern w:val="0"/>
                <w:sz w:val="24"/>
                <w:lang w:val="en-US" w:eastAsia="zh-CN"/>
              </w:rPr>
            </w:pPr>
            <w:r>
              <w:rPr>
                <w:rFonts w:hint="eastAsia" w:ascii="Times New Roman" w:hAnsi="Times New Roman" w:eastAsia="宋体" w:cs="Times New Roman"/>
                <w:b/>
                <w:bCs/>
                <w:kern w:val="0"/>
                <w:sz w:val="24"/>
                <w:lang w:val="en-US" w:eastAsia="zh-CN"/>
              </w:rPr>
              <w:t>2.4 固体废物相关标准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56" w:firstLineChars="200"/>
              <w:jc w:val="both"/>
              <w:textAlignment w:val="auto"/>
              <w:rPr>
                <w:rFonts w:hint="default"/>
                <w:lang w:val="en-US" w:eastAsia="zh-CN"/>
              </w:rPr>
            </w:pPr>
            <w:r>
              <w:rPr>
                <w:rFonts w:hint="eastAsia" w:ascii="Times New Roman" w:hAnsi="Times New Roman" w:eastAsia="宋体" w:cs="Times New Roman"/>
                <w:b w:val="0"/>
                <w:bCs/>
                <w:color w:val="000000" w:themeColor="text1"/>
                <w:spacing w:val="-6"/>
                <w:kern w:val="2"/>
                <w:sz w:val="24"/>
                <w:szCs w:val="24"/>
                <w:highlight w:val="none"/>
                <w:lang w:val="en-US" w:eastAsia="zh-CN" w:bidi="ar-SA"/>
                <w14:textFill>
                  <w14:solidFill>
                    <w14:schemeClr w14:val="tx1"/>
                  </w14:solidFill>
                </w14:textFill>
              </w:rPr>
              <w:t>一般工业固体废物执行《中华人民共和国固体废物污染环境防治法》中的有关规定。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26" w:type="dxa"/>
            <w:tcBorders>
              <w:tl2br w:val="nil"/>
              <w:tr2bl w:val="nil"/>
            </w:tcBorders>
            <w:noWrap w:val="0"/>
            <w:vAlign w:val="center"/>
          </w:tcPr>
          <w:p>
            <w:pPr>
              <w:keepNext w:val="0"/>
              <w:keepLines w:val="0"/>
              <w:pageBreakBefore w:val="0"/>
              <w:kinsoku/>
              <w:wordWrap/>
              <w:overflowPunct/>
              <w:topLinePunct w:val="0"/>
              <w:bidi w:val="0"/>
              <w:adjustRightInd w:val="0"/>
              <w:snapToGrid w:val="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color w:val="auto"/>
                <w:sz w:val="24"/>
                <w:szCs w:val="24"/>
                <w:highlight w:val="none"/>
              </w:rPr>
              <w:t>总量控制指标</w:t>
            </w:r>
          </w:p>
        </w:tc>
        <w:tc>
          <w:tcPr>
            <w:tcW w:w="8539" w:type="dxa"/>
            <w:tcBorders>
              <w:tl2br w:val="nil"/>
              <w:tr2bl w:val="nil"/>
            </w:tcBorders>
            <w:noWrap w:val="0"/>
            <w:vAlign w:val="center"/>
          </w:tcPr>
          <w:p>
            <w:pPr>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0"/>
                <w:kern w:val="0"/>
                <w:sz w:val="24"/>
                <w:szCs w:val="24"/>
                <w:highlight w:val="none"/>
                <w14:textFill>
                  <w14:solidFill>
                    <w14:schemeClr w14:val="tx1"/>
                  </w14:solidFill>
                </w14:textFill>
              </w:rPr>
              <w:t>根据</w:t>
            </w:r>
            <w:r>
              <w:rPr>
                <w:rFonts w:hint="default" w:ascii="Times New Roman" w:hAnsi="Times New Roman" w:cs="Times New Roman" w:eastAsiaTheme="minorEastAsia"/>
                <w:color w:val="000000" w:themeColor="text1"/>
                <w:spacing w:val="0"/>
                <w:kern w:val="0"/>
                <w:sz w:val="24"/>
                <w:szCs w:val="24"/>
                <w:highlight w:val="none"/>
                <w:lang w:eastAsia="zh-CN"/>
                <w14:textFill>
                  <w14:solidFill>
                    <w14:schemeClr w14:val="tx1"/>
                  </w14:solidFill>
                </w14:textFill>
              </w:rPr>
              <w:t>生态环境部</w:t>
            </w:r>
            <w:r>
              <w:rPr>
                <w:rFonts w:hint="default" w:ascii="Times New Roman" w:hAnsi="Times New Roman" w:cs="Times New Roman" w:eastAsiaTheme="minorEastAsia"/>
                <w:color w:val="000000" w:themeColor="text1"/>
                <w:spacing w:val="0"/>
                <w:kern w:val="0"/>
                <w:sz w:val="24"/>
                <w:szCs w:val="24"/>
                <w:highlight w:val="none"/>
                <w14:textFill>
                  <w14:solidFill>
                    <w14:schemeClr w14:val="tx1"/>
                  </w14:solidFill>
                </w14:textFill>
              </w:rPr>
              <w:t>已颁布的总量控制计划，结合本项目所在区域的环境特征及本项目排污情况，确定本项目总量控制因子为</w:t>
            </w:r>
            <w:r>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t>NO</w:t>
            </w:r>
            <w:r>
              <w:rPr>
                <w:rFonts w:hint="default" w:ascii="Times New Roman" w:hAnsi="Times New Roman" w:cs="Times New Roman" w:eastAsiaTheme="minorEastAsia"/>
                <w:color w:val="000000" w:themeColor="text1"/>
                <w:spacing w:val="0"/>
                <w:kern w:val="0"/>
                <w:sz w:val="24"/>
                <w:szCs w:val="24"/>
                <w:highlight w:val="none"/>
                <w:vertAlign w:val="subscript"/>
                <w:lang w:val="en-US" w:eastAsia="zh-CN"/>
                <w14:textFill>
                  <w14:solidFill>
                    <w14:schemeClr w14:val="tx1"/>
                  </w14:solidFill>
                </w14:textFill>
              </w:rPr>
              <w:t>X</w:t>
            </w:r>
            <w:r>
              <w:rPr>
                <w:rFonts w:hint="default" w:ascii="Times New Roman" w:hAnsi="Times New Roman" w:cs="Times New Roman" w:eastAsiaTheme="minorEastAsia"/>
                <w:color w:val="000000" w:themeColor="text1"/>
                <w:spacing w:val="0"/>
                <w:kern w:val="0"/>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t>本次采用《排污许可证申请与核发技术规范</w:t>
            </w:r>
            <w:r>
              <w:rPr>
                <w:rFonts w:hint="eastAsia" w:cs="Times New Roman" w:eastAsiaTheme="minorEastAsia"/>
                <w:color w:val="000000" w:themeColor="text1"/>
                <w:spacing w:val="0"/>
                <w:kern w:val="0"/>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t>锅炉》（HJ953-2018）允许排放量核算方法、《源强核算技术指南</w:t>
            </w:r>
            <w:r>
              <w:rPr>
                <w:rFonts w:hint="eastAsia" w:cs="Times New Roman" w:eastAsiaTheme="minorEastAsia"/>
                <w:color w:val="000000" w:themeColor="text1"/>
                <w:spacing w:val="0"/>
                <w:kern w:val="0"/>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t>锅炉》（HJ991-2018）中污染物排放量核算方法计算以及系数法进行核算，按照取严的原则确定本项目总量控制指标。</w:t>
            </w:r>
          </w:p>
          <w:p>
            <w:pPr>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bCs/>
                <w:color w:val="000000"/>
                <w:spacing w:val="0"/>
                <w:kern w:val="0"/>
                <w:sz w:val="24"/>
                <w:szCs w:val="24"/>
                <w:highlight w:val="none"/>
                <w:lang w:val="en-US" w:eastAsia="zh-CN" w:bidi="ar-SA"/>
              </w:rPr>
            </w:pPr>
            <w:r>
              <w:rPr>
                <w:rFonts w:hint="default" w:ascii="Times New Roman" w:hAnsi="Times New Roman" w:cs="Times New Roman" w:eastAsiaTheme="minorEastAsia"/>
                <w:bCs/>
                <w:color w:val="000000"/>
                <w:spacing w:val="0"/>
                <w:kern w:val="0"/>
                <w:sz w:val="24"/>
                <w:szCs w:val="24"/>
                <w:highlight w:val="none"/>
                <w:lang w:val="en-US" w:eastAsia="zh-CN" w:bidi="ar-SA"/>
              </w:rPr>
              <w:t>（1）允许排放量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kern w:val="0"/>
                <w:sz w:val="24"/>
                <w:highlight w:val="none"/>
                <w:lang w:val="en-US" w:eastAsia="zh-CN"/>
              </w:rPr>
              <w:drawing>
                <wp:inline distT="0" distB="0" distL="0" distR="0">
                  <wp:extent cx="3721735" cy="382270"/>
                  <wp:effectExtent l="0" t="0" r="0" b="1778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
                          <a:srcRect r="9121" b="2269"/>
                          <a:stretch>
                            <a:fillRect/>
                          </a:stretch>
                        </pic:blipFill>
                        <pic:spPr>
                          <a:xfrm>
                            <a:off x="0" y="0"/>
                            <a:ext cx="3721735" cy="382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kern w:val="0"/>
                <w:sz w:val="24"/>
                <w:highlight w:val="none"/>
                <w:lang w:val="en-US" w:eastAsia="zh-CN"/>
              </w:rPr>
              <w:t>式中：E年许可—锅炉排污单位污染物年许可排放量，吨；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kern w:val="0"/>
                <w:sz w:val="24"/>
                <w:highlight w:val="none"/>
                <w:lang w:val="en-US" w:eastAsia="zh-CN"/>
              </w:rPr>
              <w:t>C</w:t>
            </w:r>
            <w:r>
              <w:rPr>
                <w:rFonts w:hint="default" w:ascii="Times New Roman" w:hAnsi="Times New Roman" w:eastAsia="宋体" w:cs="Times New Roman"/>
                <w:kern w:val="0"/>
                <w:sz w:val="24"/>
                <w:highlight w:val="none"/>
                <w:vertAlign w:val="subscript"/>
                <w:lang w:val="en-US" w:eastAsia="zh-CN"/>
              </w:rPr>
              <w:t>i</w:t>
            </w:r>
            <w:r>
              <w:rPr>
                <w:rFonts w:hint="default" w:ascii="Times New Roman" w:hAnsi="Times New Roman" w:eastAsia="宋体" w:cs="Times New Roman"/>
                <w:kern w:val="0"/>
                <w:sz w:val="24"/>
                <w:highlight w:val="none"/>
                <w:lang w:val="en-US" w:eastAsia="zh-CN"/>
              </w:rPr>
              <w:t>—第i个主要排放口污染物排放标准浓度限值，毫克/立方米；</w:t>
            </w:r>
            <w:r>
              <w:rPr>
                <w:rFonts w:hint="eastAsia" w:cs="Times New Roman"/>
                <w:kern w:val="0"/>
                <w:sz w:val="24"/>
                <w:highlight w:val="none"/>
                <w:lang w:val="en-US" w:eastAsia="zh-CN"/>
              </w:rPr>
              <w:t>（200mg/m</w:t>
            </w:r>
            <w:r>
              <w:rPr>
                <w:rFonts w:hint="eastAsia" w:cs="Times New Roman"/>
                <w:kern w:val="0"/>
                <w:sz w:val="24"/>
                <w:highlight w:val="none"/>
                <w:vertAlign w:val="superscript"/>
                <w:lang w:val="en-US" w:eastAsia="zh-CN"/>
              </w:rPr>
              <w:t>3</w:t>
            </w:r>
            <w:r>
              <w:rPr>
                <w:rFonts w:hint="eastAsia" w:cs="Times New Roman"/>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kern w:val="0"/>
                <w:sz w:val="24"/>
                <w:highlight w:val="none"/>
                <w:lang w:val="en-US" w:eastAsia="zh-CN"/>
              </w:rPr>
              <w:t>V</w:t>
            </w:r>
            <w:r>
              <w:rPr>
                <w:rFonts w:hint="default" w:ascii="Times New Roman" w:hAnsi="Times New Roman" w:eastAsia="宋体" w:cs="Times New Roman"/>
                <w:kern w:val="0"/>
                <w:sz w:val="24"/>
                <w:highlight w:val="none"/>
                <w:vertAlign w:val="subscript"/>
                <w:lang w:val="en-US" w:eastAsia="zh-CN"/>
              </w:rPr>
              <w:t>i</w:t>
            </w:r>
            <w:r>
              <w:rPr>
                <w:rFonts w:hint="default" w:ascii="Times New Roman" w:hAnsi="Times New Roman" w:eastAsia="宋体" w:cs="Times New Roman"/>
                <w:kern w:val="0"/>
                <w:sz w:val="24"/>
                <w:highlight w:val="none"/>
                <w:lang w:val="en-US" w:eastAsia="zh-CN"/>
              </w:rPr>
              <w:t>—第i个主要排放口基准烟气量，标立方米/千克或标立方米/立方米；</w:t>
            </w:r>
            <w:r>
              <w:rPr>
                <w:rFonts w:hint="eastAsia" w:cs="Times New Roman"/>
                <w:kern w:val="0"/>
                <w:sz w:val="24"/>
                <w:highlight w:val="none"/>
                <w:lang w:val="en-US" w:eastAsia="zh-CN"/>
              </w:rPr>
              <w:t>（</w:t>
            </w:r>
            <w:r>
              <w:rPr>
                <w:rFonts w:hint="eastAsia" w:ascii="Times New Roman" w:hAnsi="Times New Roman" w:eastAsia="宋体" w:cs="Times New Roman"/>
                <w:bCs/>
                <w:color w:val="auto"/>
                <w:spacing w:val="0"/>
                <w:kern w:val="0"/>
                <w:position w:val="0"/>
                <w:sz w:val="24"/>
                <w:szCs w:val="24"/>
                <w:highlight w:val="none"/>
                <w:lang w:val="en-US" w:eastAsia="zh-CN" w:bidi="ar-SA"/>
              </w:rPr>
              <w:t>9.614</w:t>
            </w:r>
            <w:r>
              <w:rPr>
                <w:rFonts w:hint="default" w:ascii="Times New Roman" w:hAnsi="Times New Roman" w:eastAsia="宋体" w:cs="Times New Roman"/>
                <w:bCs/>
                <w:color w:val="auto"/>
                <w:spacing w:val="0"/>
                <w:kern w:val="0"/>
                <w:position w:val="0"/>
                <w:sz w:val="24"/>
                <w:szCs w:val="24"/>
                <w:highlight w:val="none"/>
                <w:lang w:val="en-US" w:eastAsia="zh-CN" w:bidi="ar-SA"/>
              </w:rPr>
              <w:t>Nm</w:t>
            </w:r>
            <w:r>
              <w:rPr>
                <w:rFonts w:hint="default" w:ascii="Times New Roman" w:hAnsi="Times New Roman" w:eastAsia="宋体" w:cs="Times New Roman"/>
                <w:bCs/>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bCs/>
                <w:color w:val="auto"/>
                <w:spacing w:val="0"/>
                <w:kern w:val="0"/>
                <w:position w:val="0"/>
                <w:sz w:val="24"/>
                <w:szCs w:val="24"/>
                <w:highlight w:val="none"/>
                <w:lang w:val="en-US" w:eastAsia="zh-CN" w:bidi="ar-SA"/>
              </w:rPr>
              <w:t>/m</w:t>
            </w:r>
            <w:r>
              <w:rPr>
                <w:rFonts w:hint="default" w:ascii="Times New Roman" w:hAnsi="Times New Roman" w:eastAsia="宋体" w:cs="Times New Roman"/>
                <w:bCs/>
                <w:color w:val="auto"/>
                <w:spacing w:val="0"/>
                <w:kern w:val="0"/>
                <w:position w:val="0"/>
                <w:sz w:val="24"/>
                <w:szCs w:val="24"/>
                <w:highlight w:val="none"/>
                <w:vertAlign w:val="superscript"/>
                <w:lang w:val="en-US" w:eastAsia="zh-CN" w:bidi="ar-SA"/>
              </w:rPr>
              <w:t>3</w:t>
            </w:r>
            <w:r>
              <w:rPr>
                <w:rFonts w:hint="eastAsia" w:cs="Times New Roman"/>
                <w:bCs/>
                <w:color w:val="auto"/>
                <w:spacing w:val="0"/>
                <w:kern w:val="0"/>
                <w:position w:val="0"/>
                <w:sz w:val="24"/>
                <w:szCs w:val="24"/>
                <w:highlight w:val="none"/>
                <w:vertAlign w:val="baseline"/>
                <w:lang w:val="en-US" w:eastAsia="zh-CN" w:bidi="ar-SA"/>
              </w:rPr>
              <w:t>，源强核算章节已进行核算</w:t>
            </w:r>
            <w:r>
              <w:rPr>
                <w:rFonts w:hint="eastAsia" w:cs="Times New Roman"/>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kern w:val="0"/>
                <w:sz w:val="24"/>
                <w:highlight w:val="none"/>
                <w:lang w:val="en-US" w:eastAsia="zh-CN"/>
              </w:rPr>
              <w:t>R</w:t>
            </w:r>
            <w:r>
              <w:rPr>
                <w:rFonts w:hint="default" w:ascii="Times New Roman" w:hAnsi="Times New Roman" w:eastAsia="宋体" w:cs="Times New Roman"/>
                <w:kern w:val="0"/>
                <w:sz w:val="24"/>
                <w:highlight w:val="none"/>
                <w:vertAlign w:val="subscript"/>
                <w:lang w:val="en-US" w:eastAsia="zh-CN"/>
              </w:rPr>
              <w:t>i</w:t>
            </w:r>
            <w:r>
              <w:rPr>
                <w:rFonts w:hint="default" w:ascii="Times New Roman" w:hAnsi="Times New Roman" w:eastAsia="宋体" w:cs="Times New Roman"/>
                <w:kern w:val="0"/>
                <w:sz w:val="24"/>
                <w:highlight w:val="none"/>
                <w:lang w:val="en-US" w:eastAsia="zh-CN"/>
              </w:rPr>
              <w:t>—第i个主要排放口所对应的锅炉前三年年平均燃料使用量（未投运或投运不满一年的锅炉按照设计年燃料使用量进行选取，投运满一年但未满三年的锅炉按运行周期年平均燃料使用量选取，当前三年或周期年年平均燃料使用量超过设计燃料使用量时，按设计燃料使用量选取），吨或万立方米；</w:t>
            </w:r>
            <w:r>
              <w:rPr>
                <w:rFonts w:hint="eastAsia" w:cs="Times New Roman"/>
                <w:kern w:val="0"/>
                <w:sz w:val="24"/>
                <w:highlight w:val="none"/>
                <w:lang w:val="en-US" w:eastAsia="zh-CN"/>
              </w:rPr>
              <w:t>（</w:t>
            </w:r>
            <w:r>
              <w:rPr>
                <w:rFonts w:hint="eastAsia" w:ascii="Times New Roman" w:hAnsi="Times New Roman" w:eastAsia="宋体" w:cs="Times New Roman"/>
                <w:color w:val="auto"/>
                <w:sz w:val="24"/>
                <w:szCs w:val="24"/>
                <w:highlight w:val="none"/>
                <w:lang w:val="en-US" w:eastAsia="zh-CN"/>
              </w:rPr>
              <w:t>16.93万m</w:t>
            </w:r>
            <w:r>
              <w:rPr>
                <w:rFonts w:hint="eastAsia" w:ascii="Times New Roman" w:hAnsi="Times New Roman" w:eastAsia="宋体" w:cs="Times New Roman"/>
                <w:color w:val="auto"/>
                <w:sz w:val="24"/>
                <w:szCs w:val="24"/>
                <w:highlight w:val="none"/>
                <w:vertAlign w:val="superscript"/>
                <w:lang w:val="en-US" w:eastAsia="zh-CN"/>
              </w:rPr>
              <w:t>3</w:t>
            </w:r>
            <w:r>
              <w:rPr>
                <w:rFonts w:hint="eastAsia" w:cs="Times New Roman"/>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kern w:val="0"/>
                <w:sz w:val="24"/>
                <w:highlight w:val="none"/>
                <w:lang w:val="en-US" w:eastAsia="zh-CN"/>
              </w:rPr>
            </w:pPr>
            <w:r>
              <w:rPr>
                <w:rFonts w:hint="eastAsia" w:cs="Times New Roman"/>
                <w:kern w:val="0"/>
                <w:sz w:val="24"/>
                <w:highlight w:val="none"/>
                <w:lang w:val="en-US" w:eastAsia="zh-CN"/>
              </w:rPr>
              <w:t>经计算，允许排放量为0.326t/a。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kern w:val="0"/>
                <w:sz w:val="24"/>
                <w:highlight w:val="none"/>
                <w:lang w:val="en-US" w:eastAsia="zh-CN"/>
              </w:rPr>
            </w:pPr>
            <w:r>
              <w:rPr>
                <w:rFonts w:hint="eastAsia" w:cs="Times New Roman"/>
                <w:kern w:val="0"/>
                <w:sz w:val="24"/>
                <w:highlight w:val="none"/>
                <w:lang w:val="en-US" w:eastAsia="zh-CN"/>
              </w:rPr>
              <w:t>（2）物料衡算法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r>
              <w:rPr>
                <w:rFonts w:hint="eastAsia" w:cs="Times New Roman"/>
                <w:kern w:val="0"/>
                <w:sz w:val="24"/>
                <w:highlight w:val="none"/>
                <w:lang w:val="en-US" w:eastAsia="zh-CN"/>
              </w:rPr>
              <w:t>根据第四章核算结果，本项目排放量为0.081t/a。</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kern w:val="0"/>
                <w:sz w:val="24"/>
                <w:highlight w:val="none"/>
                <w:lang w:val="en-US" w:eastAsia="zh-CN"/>
              </w:rPr>
            </w:pPr>
            <w:r>
              <w:rPr>
                <w:rFonts w:hint="eastAsia" w:cs="Times New Roman"/>
                <w:kern w:val="0"/>
                <w:sz w:val="24"/>
                <w:highlight w:val="none"/>
                <w:lang w:val="en-US" w:eastAsia="zh-CN"/>
              </w:rPr>
              <w:t>系数法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kern w:val="0"/>
                <w:sz w:val="24"/>
                <w:highlight w:val="none"/>
                <w:lang w:val="en-US" w:eastAsia="zh-CN"/>
              </w:rPr>
            </w:pPr>
            <w:r>
              <w:rPr>
                <w:rFonts w:hint="eastAsia" w:cs="Times New Roman"/>
                <w:kern w:val="0"/>
                <w:sz w:val="24"/>
                <w:highlight w:val="none"/>
                <w:lang w:val="en-US" w:eastAsia="zh-CN"/>
              </w:rPr>
              <w:t>参考《排污许可证申请与核发技术规范 锅炉》（HJ953-2018）中表F.3燃气工业锅炉的废气产排污系数9.36（低氮燃烧）千克/万立方米-燃料，计算可知本项目排放量为0.158t/a。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kern w:val="0"/>
                <w:sz w:val="24"/>
                <w:highlight w:val="none"/>
                <w:lang w:val="en-US" w:eastAsia="zh-CN"/>
              </w:rPr>
            </w:pPr>
            <w:r>
              <w:rPr>
                <w:rFonts w:hint="default" w:cs="Times New Roman"/>
                <w:kern w:val="0"/>
                <w:sz w:val="24"/>
                <w:highlight w:val="none"/>
                <w:lang w:val="en-US" w:eastAsia="zh-CN"/>
              </w:rPr>
              <w:t>综上，按照多种计算方法取严的原则，最终确定本项目总量控制指标为：NO</w:t>
            </w:r>
            <w:r>
              <w:rPr>
                <w:rFonts w:hint="default" w:cs="Times New Roman"/>
                <w:kern w:val="0"/>
                <w:sz w:val="24"/>
                <w:highlight w:val="none"/>
                <w:vertAlign w:val="subscript"/>
                <w:lang w:val="en-US" w:eastAsia="zh-CN"/>
              </w:rPr>
              <w:t>X</w:t>
            </w:r>
            <w:r>
              <w:rPr>
                <w:rFonts w:hint="default" w:cs="Times New Roman"/>
                <w:kern w:val="0"/>
                <w:sz w:val="24"/>
                <w:highlight w:val="none"/>
                <w:lang w:val="en-US" w:eastAsia="zh-CN"/>
              </w:rPr>
              <w:t>：</w:t>
            </w:r>
            <w:r>
              <w:rPr>
                <w:rFonts w:hint="eastAsia" w:cs="Times New Roman"/>
                <w:kern w:val="0"/>
                <w:sz w:val="24"/>
                <w:highlight w:val="none"/>
                <w:lang w:val="en-US" w:eastAsia="zh-CN"/>
              </w:rPr>
              <w:t>0.081</w:t>
            </w:r>
            <w:r>
              <w:rPr>
                <w:rFonts w:hint="default" w:cs="Times New Roman"/>
                <w:kern w:val="0"/>
                <w:sz w:val="24"/>
                <w:highlight w:val="none"/>
                <w:lang w:val="en-US" w:eastAsia="zh-CN"/>
              </w:rPr>
              <w:t>t/a</w:t>
            </w:r>
            <w:r>
              <w:rPr>
                <w:rFonts w:hint="eastAsia" w:cs="Times New Roman"/>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kern w:val="0"/>
                <w:sz w:val="24"/>
                <w:highlight w:val="none"/>
                <w:lang w:val="en-US" w:eastAsia="zh-CN"/>
              </w:rPr>
            </w:pPr>
          </w:p>
        </w:tc>
      </w:tr>
    </w:tbl>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eastAsia" w:ascii="宋体" w:hAnsi="宋体" w:eastAsia="宋体" w:cs="宋体"/>
          <w:snapToGrid w:val="0"/>
          <w:sz w:val="30"/>
          <w:szCs w:val="30"/>
          <w:highlight w:val="none"/>
        </w:rPr>
      </w:pPr>
      <w:r>
        <w:rPr>
          <w:rFonts w:hint="eastAsia" w:ascii="宋体" w:hAnsi="宋体" w:eastAsia="宋体" w:cs="宋体"/>
          <w:snapToGrid w:val="0"/>
          <w:sz w:val="36"/>
          <w:szCs w:val="36"/>
          <w:highlight w:val="none"/>
        </w:rPr>
        <w:br w:type="page"/>
      </w:r>
      <w:bookmarkStart w:id="42" w:name="_Toc23097"/>
      <w:r>
        <w:rPr>
          <w:rFonts w:hint="eastAsia" w:ascii="黑体" w:hAnsi="黑体" w:eastAsia="黑体" w:cs="黑体"/>
          <w:snapToGrid w:val="0"/>
          <w:sz w:val="30"/>
          <w:szCs w:val="30"/>
          <w:highlight w:val="none"/>
        </w:rPr>
        <w:t>四、主要环境影响和保护措施</w:t>
      </w:r>
      <w:bookmarkEnd w:id="42"/>
    </w:p>
    <w:tbl>
      <w:tblPr>
        <w:tblStyle w:val="33"/>
        <w:tblW w:w="898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autofit"/>
        <w:tblCellMar>
          <w:top w:w="0" w:type="dxa"/>
          <w:left w:w="108" w:type="dxa"/>
          <w:bottom w:w="0" w:type="dxa"/>
          <w:right w:w="108" w:type="dxa"/>
        </w:tblCellMar>
      </w:tblPr>
      <w:tblGrid>
        <w:gridCol w:w="656"/>
        <w:gridCol w:w="83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2674" w:hRule="atLeast"/>
          <w:jc w:val="center"/>
        </w:trPr>
        <w:tc>
          <w:tcPr>
            <w:tcW w:w="656" w:type="dxa"/>
            <w:tcBorders>
              <w:tl2br w:val="nil"/>
              <w:tr2bl w:val="nil"/>
            </w:tcBorders>
            <w:noWrap w:val="0"/>
            <w:tcMar>
              <w:left w:w="28" w:type="dxa"/>
              <w:right w:w="28" w:type="dxa"/>
            </w:tcMar>
            <w:vAlign w:val="center"/>
          </w:tcPr>
          <w:p>
            <w:pPr>
              <w:pStyle w:val="29"/>
              <w:adjustRightInd w:val="0"/>
              <w:snapToGrid w:val="0"/>
              <w:spacing w:before="0" w:beforeAutospacing="0" w:after="0" w:afterAutospacing="0"/>
              <w:jc w:val="center"/>
              <w:rPr>
                <w:rFonts w:hint="default" w:ascii="Times New Roman" w:hAnsi="Times New Roman" w:eastAsia="宋体" w:cs="Times New Roman"/>
                <w:bCs/>
                <w:color w:val="auto"/>
                <w:spacing w:val="0"/>
                <w:kern w:val="0"/>
                <w:position w:val="0"/>
                <w:sz w:val="21"/>
                <w:szCs w:val="21"/>
                <w:highlight w:val="none"/>
              </w:rPr>
            </w:pPr>
            <w:r>
              <w:rPr>
                <w:rFonts w:hint="default" w:ascii="Times New Roman" w:hAnsi="Times New Roman" w:eastAsia="宋体" w:cs="Times New Roman"/>
                <w:color w:val="auto"/>
                <w:spacing w:val="0"/>
                <w:kern w:val="0"/>
                <w:position w:val="0"/>
                <w:sz w:val="24"/>
                <w:szCs w:val="24"/>
                <w:highlight w:val="none"/>
              </w:rPr>
              <w:t>施工期环境保护措施</w:t>
            </w:r>
          </w:p>
        </w:tc>
        <w:tc>
          <w:tcPr>
            <w:tcW w:w="83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spacing w:val="0"/>
                <w:kern w:val="0"/>
                <w:position w:val="0"/>
                <w:sz w:val="24"/>
                <w:lang w:val="en-US" w:eastAsia="zh-CN"/>
              </w:rPr>
            </w:pPr>
            <w:r>
              <w:rPr>
                <w:rFonts w:hint="default" w:ascii="Times New Roman" w:hAnsi="Times New Roman" w:eastAsia="宋体" w:cs="Times New Roman"/>
                <w:color w:val="000000"/>
                <w:spacing w:val="0"/>
                <w:kern w:val="0"/>
                <w:position w:val="0"/>
                <w:sz w:val="24"/>
                <w:szCs w:val="24"/>
                <w:highlight w:val="none"/>
                <w:lang w:val="en-US" w:eastAsia="zh-CN" w:bidi="ar-SA"/>
              </w:rPr>
              <w:t>本项目预计施工期为</w:t>
            </w:r>
            <w:r>
              <w:rPr>
                <w:rFonts w:hint="eastAsia" w:ascii="Times New Roman" w:hAnsi="Times New Roman" w:eastAsia="宋体" w:cs="Times New Roman"/>
                <w:color w:val="000000"/>
                <w:spacing w:val="0"/>
                <w:kern w:val="0"/>
                <w:position w:val="0"/>
                <w:sz w:val="24"/>
                <w:szCs w:val="24"/>
                <w:highlight w:val="none"/>
                <w:lang w:val="en-US" w:eastAsia="zh-CN" w:bidi="ar-SA"/>
              </w:rPr>
              <w:t>18</w:t>
            </w:r>
            <w:r>
              <w:rPr>
                <w:rFonts w:hint="default" w:ascii="Times New Roman" w:hAnsi="Times New Roman" w:eastAsia="宋体" w:cs="Times New Roman"/>
                <w:color w:val="000000"/>
                <w:spacing w:val="0"/>
                <w:kern w:val="0"/>
                <w:position w:val="0"/>
                <w:sz w:val="24"/>
                <w:szCs w:val="24"/>
                <w:highlight w:val="none"/>
                <w:lang w:val="en-US" w:eastAsia="zh-CN" w:bidi="ar-SA"/>
              </w:rPr>
              <w:t>个月，</w:t>
            </w:r>
            <w:r>
              <w:rPr>
                <w:rFonts w:hint="default" w:ascii="Times New Roman" w:hAnsi="Times New Roman" w:eastAsia="宋体" w:cs="Times New Roman"/>
                <w:color w:val="000000"/>
                <w:spacing w:val="0"/>
                <w:kern w:val="0"/>
                <w:position w:val="0"/>
                <w:sz w:val="24"/>
                <w:szCs w:val="24"/>
                <w:lang w:val="en-US" w:eastAsia="zh-CN" w:bidi="ar-SA"/>
              </w:rPr>
              <w:t>施工内容主要</w:t>
            </w:r>
            <w:r>
              <w:rPr>
                <w:rFonts w:hint="eastAsia" w:ascii="Times New Roman" w:hAnsi="Times New Roman" w:eastAsia="宋体" w:cs="Times New Roman"/>
                <w:color w:val="000000"/>
                <w:spacing w:val="0"/>
                <w:kern w:val="0"/>
                <w:position w:val="0"/>
                <w:sz w:val="24"/>
                <w:szCs w:val="24"/>
                <w:lang w:val="en-US" w:eastAsia="zh-CN" w:bidi="ar-SA"/>
              </w:rPr>
              <w:t>为生产车间、发酵车间、成品库、原料库、综合办公楼等内容。</w:t>
            </w:r>
            <w:r>
              <w:rPr>
                <w:rFonts w:hint="default" w:ascii="Times New Roman" w:hAnsi="Times New Roman" w:eastAsia="宋体" w:cs="Times New Roman"/>
                <w:color w:val="000000"/>
                <w:spacing w:val="0"/>
                <w:kern w:val="0"/>
                <w:position w:val="0"/>
                <w:sz w:val="24"/>
                <w:szCs w:val="24"/>
                <w:lang w:val="en-US" w:eastAsia="zh-CN" w:bidi="ar-SA"/>
              </w:rPr>
              <w:t>在此期间将产生噪声</w:t>
            </w:r>
            <w:r>
              <w:rPr>
                <w:rFonts w:hint="eastAsia" w:ascii="Times New Roman" w:hAnsi="Times New Roman" w:eastAsia="宋体" w:cs="Times New Roman"/>
                <w:color w:val="000000"/>
                <w:spacing w:val="0"/>
                <w:kern w:val="0"/>
                <w:position w:val="0"/>
                <w:sz w:val="24"/>
                <w:szCs w:val="24"/>
                <w:lang w:val="en-US" w:eastAsia="zh-CN" w:bidi="ar-SA"/>
              </w:rPr>
              <w:t>和施工垃圾</w:t>
            </w:r>
            <w:r>
              <w:rPr>
                <w:rFonts w:hint="default" w:ascii="Times New Roman" w:hAnsi="Times New Roman" w:eastAsia="宋体" w:cs="Times New Roman"/>
                <w:color w:val="000000"/>
                <w:spacing w:val="0"/>
                <w:kern w:val="0"/>
                <w:position w:val="0"/>
                <w:sz w:val="24"/>
                <w:szCs w:val="24"/>
                <w:lang w:val="en-US" w:eastAsia="zh-CN" w:bidi="ar-SA"/>
              </w:rPr>
              <w:t>等。此外，物料运输也将对运输路线两侧一定范围内大气、声环境产生不利影响。</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lang w:val="en-US" w:eastAsia="zh-CN"/>
              </w:rPr>
            </w:pPr>
            <w:r>
              <w:rPr>
                <w:rFonts w:hint="default" w:ascii="Times New Roman" w:hAnsi="Times New Roman" w:eastAsia="宋体" w:cs="Times New Roman"/>
                <w:b/>
                <w:bCs/>
                <w:spacing w:val="0"/>
                <w:kern w:val="0"/>
                <w:position w:val="0"/>
                <w:sz w:val="24"/>
                <w:lang w:val="en-US" w:eastAsia="zh-CN"/>
              </w:rPr>
              <w:t>1、施工废气环境影响分析及保护措施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项目施工过程主要大气污染物为施工机械设备及运输车辆尾气、运输道路扬尘和施工粉尘等。为了减少施工粉尘对周边环境的影响，施工期大气环境保护措施见下：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（1）建筑施工现场100%围挡；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（2）工地裸土100%覆盖；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（3）工地主要路面100%硬化；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（4）拆除工程100%洒水抑尘；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（5）出工地运输车辆100%冲净无撒漏；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（6）裸露场地100%覆盖。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综上所述，通过采取扬尘治理措施，项目施工过程产生的扬尘对项目区大气环境影响较小。</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lang w:val="en-US" w:eastAsia="zh-CN"/>
              </w:rPr>
            </w:pPr>
            <w:r>
              <w:rPr>
                <w:rFonts w:hint="default" w:ascii="Times New Roman" w:hAnsi="Times New Roman" w:eastAsia="宋体" w:cs="Times New Roman"/>
                <w:b/>
                <w:bCs/>
                <w:spacing w:val="0"/>
                <w:kern w:val="0"/>
                <w:position w:val="0"/>
                <w:sz w:val="24"/>
                <w:lang w:val="en-US" w:eastAsia="zh-CN"/>
              </w:rPr>
              <w:t>2、施工期水环境影响分析及保护措施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施工期主要废水种类有：</w:t>
            </w:r>
            <w:r>
              <w:rPr>
                <w:rFonts w:hint="eastAsia" w:ascii="Times New Roman" w:hAnsi="Times New Roman" w:eastAsia="宋体" w:cs="Times New Roman"/>
                <w:spacing w:val="0"/>
                <w:kern w:val="0"/>
                <w:position w:val="0"/>
                <w:sz w:val="24"/>
                <w:lang w:val="en-US" w:eastAsia="zh-CN"/>
              </w:rPr>
              <w:t>施工人员生活污水、</w:t>
            </w:r>
            <w:r>
              <w:rPr>
                <w:rFonts w:hint="default" w:ascii="Times New Roman" w:hAnsi="Times New Roman" w:eastAsia="宋体" w:cs="Times New Roman"/>
                <w:spacing w:val="0"/>
                <w:kern w:val="0"/>
                <w:position w:val="0"/>
                <w:sz w:val="24"/>
                <w:lang w:val="en-US" w:eastAsia="zh-CN"/>
              </w:rPr>
              <w:t>施工机械跑、冒、滴、漏的污油和（或）露天施工机</w:t>
            </w:r>
            <w:r>
              <w:rPr>
                <w:rFonts w:hint="default" w:ascii="Times New Roman" w:hAnsi="Times New Roman" w:eastAsia="宋体" w:cs="Times New Roman"/>
                <w:b w:val="0"/>
                <w:bCs w:val="0"/>
                <w:spacing w:val="0"/>
                <w:kern w:val="0"/>
                <w:position w:val="0"/>
                <w:sz w:val="24"/>
                <w:lang w:val="en-US" w:eastAsia="zh-CN"/>
              </w:rPr>
              <w:t>械被雨水冲刷后产生一定量的含油污水等。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pacing w:val="0"/>
                <w:kern w:val="0"/>
                <w:position w:val="0"/>
                <w:sz w:val="24"/>
                <w:lang w:val="en-US" w:eastAsia="zh-CN"/>
              </w:rPr>
            </w:pPr>
            <w:r>
              <w:rPr>
                <w:rFonts w:hint="default" w:ascii="Times New Roman" w:hAnsi="Times New Roman" w:eastAsia="宋体" w:cs="Times New Roman"/>
                <w:b w:val="0"/>
                <w:bCs w:val="0"/>
                <w:spacing w:val="0"/>
                <w:kern w:val="0"/>
                <w:position w:val="0"/>
                <w:sz w:val="24"/>
                <w:lang w:val="en-US" w:eastAsia="zh-CN"/>
              </w:rPr>
              <w:t>（1）施工人员生活污水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pacing w:val="0"/>
                <w:kern w:val="0"/>
                <w:position w:val="0"/>
                <w:sz w:val="24"/>
                <w:lang w:val="en-US" w:eastAsia="zh-CN"/>
              </w:rPr>
            </w:pPr>
            <w:r>
              <w:rPr>
                <w:rFonts w:hint="default" w:ascii="Times New Roman" w:hAnsi="Times New Roman" w:eastAsia="宋体" w:cs="Times New Roman"/>
                <w:b w:val="0"/>
                <w:bCs w:val="0"/>
                <w:spacing w:val="0"/>
                <w:kern w:val="0"/>
                <w:position w:val="0"/>
                <w:sz w:val="24"/>
                <w:lang w:val="en-US" w:eastAsia="zh-CN"/>
              </w:rPr>
              <w:t>施工人员食宿不在项目区内，不设生活营地，</w:t>
            </w:r>
            <w:r>
              <w:rPr>
                <w:rFonts w:hint="eastAsia" w:cs="Times New Roman"/>
                <w:b w:val="0"/>
                <w:bCs w:val="0"/>
                <w:spacing w:val="0"/>
                <w:kern w:val="0"/>
                <w:position w:val="0"/>
                <w:sz w:val="24"/>
                <w:lang w:val="en-US" w:eastAsia="zh-CN"/>
              </w:rPr>
              <w:t>施工场地设置环保水冲厕，废水排入园区下水管网。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pacing w:val="0"/>
                <w:kern w:val="0"/>
                <w:position w:val="0"/>
                <w:sz w:val="24"/>
                <w:lang w:val="en-US" w:eastAsia="zh-CN"/>
              </w:rPr>
            </w:pPr>
            <w:r>
              <w:rPr>
                <w:rFonts w:hint="default" w:ascii="Times New Roman" w:hAnsi="Times New Roman" w:eastAsia="宋体" w:cs="Times New Roman"/>
                <w:b w:val="0"/>
                <w:bCs w:val="0"/>
                <w:spacing w:val="0"/>
                <w:kern w:val="0"/>
                <w:position w:val="0"/>
                <w:sz w:val="24"/>
                <w:lang w:val="en-US" w:eastAsia="zh-CN"/>
              </w:rPr>
              <w:t>（2）施工机械冲洗、维修产生的含油污水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施工机械的含油废水的排放较为分散，其影响程度和范围有限，但石油类在自然条件下降解较慢，且对土壤理化性质及水体生物有较大影响，应当尽量给予控制；因此，应做好废油及含油废水的收集，临时机修产生的含油废水经隔油、沉淀后回用，不外排。本项目不设专门的机械维修点，主要利用当地现有的汽修厂等解决机械维修、保养问题。</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spacing w:val="0"/>
                <w:kern w:val="0"/>
                <w:position w:val="0"/>
              </w:rPr>
            </w:pPr>
            <w:r>
              <w:rPr>
                <w:rFonts w:hint="default" w:ascii="Times New Roman" w:hAnsi="Times New Roman" w:eastAsia="宋体" w:cs="Times New Roman"/>
                <w:b w:val="0"/>
                <w:bCs w:val="0"/>
                <w:color w:val="000000"/>
                <w:spacing w:val="0"/>
                <w:kern w:val="0"/>
                <w:position w:val="0"/>
                <w:sz w:val="24"/>
                <w:szCs w:val="24"/>
                <w:lang w:val="en-US" w:eastAsia="zh-CN" w:bidi="ar"/>
              </w:rPr>
              <w:t>保护措施：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（1）施工废水经沉淀处理后回用，不外排。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（2）临时机修产生的含油废水经隔油、沉淀后回用，不外排。</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lang w:val="en-US" w:eastAsia="zh-CN"/>
              </w:rPr>
            </w:pPr>
            <w:r>
              <w:rPr>
                <w:rFonts w:hint="default" w:ascii="Times New Roman" w:hAnsi="Times New Roman" w:eastAsia="宋体" w:cs="Times New Roman"/>
                <w:b/>
                <w:bCs/>
                <w:spacing w:val="0"/>
                <w:kern w:val="0"/>
                <w:position w:val="0"/>
                <w:sz w:val="24"/>
                <w:lang w:val="en-US" w:eastAsia="zh-CN"/>
              </w:rPr>
              <w:t>3、施工噪声环境影响分析及保护措施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施工期噪声主要是各种机械设备所产生的噪声和车辆行驶时产生的噪声，施工阶段各类施工机械噪声源强如下表4-</w:t>
            </w:r>
            <w:r>
              <w:rPr>
                <w:rFonts w:hint="eastAsia" w:cs="Times New Roman"/>
                <w:spacing w:val="0"/>
                <w:kern w:val="0"/>
                <w:position w:val="0"/>
                <w:sz w:val="24"/>
                <w:lang w:val="en-US" w:eastAsia="zh-CN"/>
              </w:rPr>
              <w:t>1</w:t>
            </w:r>
            <w:r>
              <w:rPr>
                <w:rFonts w:hint="default" w:ascii="Times New Roman" w:hAnsi="Times New Roman" w:eastAsia="宋体" w:cs="Times New Roman"/>
                <w:spacing w:val="0"/>
                <w:kern w:val="0"/>
                <w:position w:val="0"/>
                <w:sz w:val="24"/>
                <w:lang w:val="en-US" w:eastAsia="zh-CN"/>
              </w:rPr>
              <w:t>所示。</w:t>
            </w:r>
          </w:p>
          <w:p>
            <w:pPr>
              <w:pStyle w:val="14"/>
              <w:snapToGrid w:val="0"/>
              <w:ind w:firstLine="420"/>
              <w:jc w:val="center"/>
              <w:rPr>
                <w:rFonts w:hint="default" w:ascii="Times New Roman" w:hAnsi="Times New Roman" w:eastAsia="宋体" w:cs="Times New Roman"/>
                <w:b/>
                <w:color w:val="auto"/>
                <w:spacing w:val="0"/>
                <w:kern w:val="0"/>
                <w:position w:val="0"/>
                <w:sz w:val="24"/>
                <w:szCs w:val="24"/>
                <w:highlight w:val="none"/>
                <w:lang w:val="en-US" w:eastAsia="zh-CN"/>
              </w:rPr>
            </w:pPr>
            <w:r>
              <w:rPr>
                <w:rFonts w:hint="default" w:ascii="Times New Roman" w:hAnsi="Times New Roman" w:eastAsia="宋体" w:cs="Times New Roman"/>
                <w:b/>
                <w:color w:val="auto"/>
                <w:spacing w:val="0"/>
                <w:kern w:val="0"/>
                <w:position w:val="0"/>
                <w:sz w:val="24"/>
                <w:szCs w:val="24"/>
                <w:highlight w:val="none"/>
                <w:lang w:val="en-US" w:eastAsia="zh-CN"/>
              </w:rPr>
              <w:t>表4-</w:t>
            </w:r>
            <w:r>
              <w:rPr>
                <w:rFonts w:hint="eastAsia" w:ascii="Times New Roman" w:hAnsi="Times New Roman" w:eastAsia="宋体" w:cs="Times New Roman"/>
                <w:b/>
                <w:color w:val="auto"/>
                <w:spacing w:val="0"/>
                <w:kern w:val="0"/>
                <w:position w:val="0"/>
                <w:sz w:val="24"/>
                <w:szCs w:val="24"/>
                <w:highlight w:val="none"/>
                <w:lang w:val="en-US" w:eastAsia="zh-CN"/>
              </w:rPr>
              <w:t>1</w:t>
            </w:r>
            <w:r>
              <w:rPr>
                <w:rFonts w:hint="default" w:ascii="Times New Roman" w:hAnsi="Times New Roman" w:eastAsia="宋体" w:cs="Times New Roman"/>
                <w:b/>
                <w:color w:val="auto"/>
                <w:spacing w:val="0"/>
                <w:kern w:val="0"/>
                <w:position w:val="0"/>
                <w:sz w:val="24"/>
                <w:szCs w:val="24"/>
                <w:highlight w:val="none"/>
                <w:lang w:val="en-US" w:eastAsia="zh-CN"/>
              </w:rPr>
              <w:t xml:space="preserve"> 施工期噪声声源强度表</w:t>
            </w:r>
          </w:p>
          <w:tbl>
            <w:tblPr>
              <w:tblStyle w:val="3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990"/>
              <w:gridCol w:w="2826"/>
              <w:gridCol w:w="26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1"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序号</w:t>
                  </w:r>
                </w:p>
              </w:tc>
              <w:tc>
                <w:tcPr>
                  <w:tcW w:w="122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机械类型</w:t>
                  </w:r>
                </w:p>
              </w:tc>
              <w:tc>
                <w:tcPr>
                  <w:tcW w:w="1742"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测点距施工机械距离（m）</w:t>
                  </w:r>
                </w:p>
              </w:tc>
              <w:tc>
                <w:tcPr>
                  <w:tcW w:w="161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最高声级值L</w:t>
                  </w:r>
                  <w:r>
                    <w:rPr>
                      <w:rFonts w:hint="default" w:ascii="Times New Roman" w:hAnsi="Times New Roman" w:eastAsia="宋体" w:cs="Times New Roman"/>
                      <w:b w:val="0"/>
                      <w:bCs w:val="0"/>
                      <w:spacing w:val="0"/>
                      <w:kern w:val="0"/>
                      <w:position w:val="0"/>
                      <w:vertAlign w:val="subscript"/>
                      <w:lang w:val="en-US" w:eastAsia="zh-CN"/>
                    </w:rPr>
                    <w:t>max</w:t>
                  </w:r>
                  <w:r>
                    <w:rPr>
                      <w:rFonts w:hint="default" w:ascii="Times New Roman" w:hAnsi="Times New Roman" w:eastAsia="宋体" w:cs="Times New Roman"/>
                      <w:b w:val="0"/>
                      <w:bCs w:val="0"/>
                      <w:spacing w:val="0"/>
                      <w:kern w:val="0"/>
                      <w:position w:val="0"/>
                      <w:vertAlign w:val="baseline"/>
                      <w:lang w:val="en-US" w:eastAsia="zh-CN"/>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1"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1</w:t>
                  </w:r>
                </w:p>
              </w:tc>
              <w:tc>
                <w:tcPr>
                  <w:tcW w:w="122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电锯、电刨</w:t>
                  </w:r>
                </w:p>
              </w:tc>
              <w:tc>
                <w:tcPr>
                  <w:tcW w:w="1742"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1</w:t>
                  </w:r>
                </w:p>
              </w:tc>
              <w:tc>
                <w:tcPr>
                  <w:tcW w:w="161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1"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2</w:t>
                  </w:r>
                </w:p>
              </w:tc>
              <w:tc>
                <w:tcPr>
                  <w:tcW w:w="122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振捣棒</w:t>
                  </w:r>
                </w:p>
              </w:tc>
              <w:tc>
                <w:tcPr>
                  <w:tcW w:w="1742"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1</w:t>
                  </w:r>
                </w:p>
              </w:tc>
              <w:tc>
                <w:tcPr>
                  <w:tcW w:w="161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1"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3</w:t>
                  </w:r>
                </w:p>
              </w:tc>
              <w:tc>
                <w:tcPr>
                  <w:tcW w:w="122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小型吊车、升降机</w:t>
                  </w:r>
                </w:p>
              </w:tc>
              <w:tc>
                <w:tcPr>
                  <w:tcW w:w="1742"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15</w:t>
                  </w:r>
                </w:p>
              </w:tc>
              <w:tc>
                <w:tcPr>
                  <w:tcW w:w="161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1"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4</w:t>
                  </w:r>
                </w:p>
              </w:tc>
              <w:tc>
                <w:tcPr>
                  <w:tcW w:w="122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钻孔机</w:t>
                  </w:r>
                </w:p>
              </w:tc>
              <w:tc>
                <w:tcPr>
                  <w:tcW w:w="1742"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1</w:t>
                  </w:r>
                </w:p>
              </w:tc>
              <w:tc>
                <w:tcPr>
                  <w:tcW w:w="161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1"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5</w:t>
                  </w:r>
                </w:p>
              </w:tc>
              <w:tc>
                <w:tcPr>
                  <w:tcW w:w="122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推土机</w:t>
                  </w:r>
                </w:p>
              </w:tc>
              <w:tc>
                <w:tcPr>
                  <w:tcW w:w="1742"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5</w:t>
                  </w:r>
                </w:p>
              </w:tc>
              <w:tc>
                <w:tcPr>
                  <w:tcW w:w="161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1"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6</w:t>
                  </w:r>
                </w:p>
              </w:tc>
              <w:tc>
                <w:tcPr>
                  <w:tcW w:w="122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挖掘机</w:t>
                  </w:r>
                </w:p>
              </w:tc>
              <w:tc>
                <w:tcPr>
                  <w:tcW w:w="1742"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5</w:t>
                  </w:r>
                </w:p>
              </w:tc>
              <w:tc>
                <w:tcPr>
                  <w:tcW w:w="1617" w:type="pct"/>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85</w:t>
                  </w:r>
                </w:p>
              </w:tc>
            </w:tr>
          </w:tbl>
          <w:p>
            <w:pPr>
              <w:pStyle w:val="14"/>
              <w:snapToGrid w:val="0"/>
              <w:ind w:firstLine="420"/>
              <w:jc w:val="center"/>
              <w:rPr>
                <w:rFonts w:hint="default" w:ascii="Times New Roman" w:hAnsi="Times New Roman" w:eastAsia="宋体" w:cs="Times New Roman"/>
                <w:b/>
                <w:color w:val="auto"/>
                <w:spacing w:val="0"/>
                <w:kern w:val="0"/>
                <w:position w:val="0"/>
                <w:sz w:val="24"/>
                <w:szCs w:val="24"/>
                <w:highlight w:val="none"/>
                <w:lang w:val="en-US" w:eastAsia="zh-CN"/>
              </w:rPr>
            </w:pPr>
            <w:r>
              <w:rPr>
                <w:rFonts w:hint="default" w:ascii="Times New Roman" w:hAnsi="Times New Roman" w:eastAsia="宋体" w:cs="Times New Roman"/>
                <w:b/>
                <w:color w:val="auto"/>
                <w:spacing w:val="0"/>
                <w:kern w:val="0"/>
                <w:position w:val="0"/>
                <w:sz w:val="24"/>
                <w:szCs w:val="24"/>
                <w:highlight w:val="none"/>
                <w:lang w:val="en-US" w:eastAsia="zh-CN"/>
              </w:rPr>
              <w:t>表4-</w:t>
            </w:r>
            <w:r>
              <w:rPr>
                <w:rFonts w:hint="eastAsia" w:ascii="Times New Roman" w:hAnsi="Times New Roman" w:eastAsia="宋体" w:cs="Times New Roman"/>
                <w:b/>
                <w:color w:val="auto"/>
                <w:spacing w:val="0"/>
                <w:kern w:val="0"/>
                <w:position w:val="0"/>
                <w:sz w:val="24"/>
                <w:szCs w:val="24"/>
                <w:highlight w:val="none"/>
                <w:lang w:val="en-US" w:eastAsia="zh-CN"/>
              </w:rPr>
              <w:t>2</w:t>
            </w:r>
            <w:r>
              <w:rPr>
                <w:rFonts w:hint="default" w:ascii="Times New Roman" w:hAnsi="Times New Roman" w:eastAsia="宋体" w:cs="Times New Roman"/>
                <w:b/>
                <w:color w:val="auto"/>
                <w:spacing w:val="0"/>
                <w:kern w:val="0"/>
                <w:position w:val="0"/>
                <w:sz w:val="24"/>
                <w:szCs w:val="24"/>
                <w:highlight w:val="none"/>
                <w:lang w:val="en-US" w:eastAsia="zh-CN"/>
              </w:rPr>
              <w:t xml:space="preserve"> 交通运输车辆噪声</w:t>
            </w:r>
          </w:p>
          <w:tbl>
            <w:tblPr>
              <w:tblStyle w:val="3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689"/>
              <w:gridCol w:w="2242"/>
              <w:gridCol w:w="20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施工阶段</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运输内容</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车辆类型</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声源强度dB（A）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土方阶段</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渣土、土石方</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大型载重车</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84~89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结构阶段</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钢架、钢筋、商品混凝土</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混凝土罐车、载重车</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80~85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装修阶段</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各种装修材料及必备设备</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轻型载重卡车</w:t>
                  </w:r>
                </w:p>
              </w:tc>
              <w:tc>
                <w:tcPr>
                  <w:tcW w:w="0" w:type="auto"/>
                  <w:tcBorders>
                    <w:tl2br w:val="nil"/>
                    <w:tr2bl w:val="nil"/>
                  </w:tcBorders>
                  <w:vAlign w:val="center"/>
                </w:tcPr>
                <w:p>
                  <w:pPr>
                    <w:pStyle w:val="47"/>
                    <w:jc w:val="center"/>
                    <w:rPr>
                      <w:rFonts w:hint="default" w:ascii="Times New Roman" w:hAnsi="Times New Roman" w:eastAsia="宋体" w:cs="Times New Roman"/>
                      <w:b w:val="0"/>
                      <w:bCs w:val="0"/>
                      <w:spacing w:val="0"/>
                      <w:kern w:val="0"/>
                      <w:position w:val="0"/>
                      <w:vertAlign w:val="baseline"/>
                      <w:lang w:val="en-US" w:eastAsia="zh-CN"/>
                    </w:rPr>
                  </w:pPr>
                  <w:r>
                    <w:rPr>
                      <w:rFonts w:hint="default" w:ascii="Times New Roman" w:hAnsi="Times New Roman" w:eastAsia="宋体" w:cs="Times New Roman"/>
                      <w:b w:val="0"/>
                      <w:bCs w:val="0"/>
                      <w:spacing w:val="0"/>
                      <w:kern w:val="0"/>
                      <w:position w:val="0"/>
                      <w:vertAlign w:val="baseline"/>
                      <w:lang w:val="en-US" w:eastAsia="zh-CN"/>
                    </w:rPr>
                    <w:t>75~80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为最大限度避免和减轻施工及运输噪声对周围声环境的不利影响，本评价建议建设单位在进行工程施工时采取以下噪声控制对策和措施：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①合理布局施工场地；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②合理安排施工时间，强噪声作业尽量安排在白天进行，严禁夜间高噪声设备施工；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③施工现场提倡文明施工，建立健全控制人为噪声的管理制度，尽量减少人为的大声喧哗，增强全体施工人员的防噪声扰民的自觉意识；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④运输材料及设备时，必须轻拿轻放，严禁野蛮装卸，并在装卸点铺垫草包等降噪物体；大型物件装卸，应当使用起吊设备，严禁汽车自卸；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⑤材料运输等汽车进场安排专人指挥，场内禁止运输车辆鸣笛；材料装卸采用人工传递，严禁抛掷或汽车一次性下料；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⑥建材、施工机械器具、建渣等的运输尽量选择影响最小的路线，途</w:t>
            </w:r>
            <w:r>
              <w:rPr>
                <w:rFonts w:hint="eastAsia" w:cs="Times New Roman"/>
                <w:spacing w:val="0"/>
                <w:kern w:val="0"/>
                <w:position w:val="0"/>
                <w:sz w:val="24"/>
                <w:lang w:val="en-US" w:eastAsia="zh-CN"/>
              </w:rPr>
              <w:t>经</w:t>
            </w:r>
            <w:r>
              <w:rPr>
                <w:rFonts w:hint="default" w:ascii="Times New Roman" w:hAnsi="Times New Roman" w:eastAsia="宋体" w:cs="Times New Roman"/>
                <w:spacing w:val="0"/>
                <w:kern w:val="0"/>
                <w:position w:val="0"/>
                <w:sz w:val="24"/>
                <w:lang w:val="en-US" w:eastAsia="zh-CN"/>
              </w:rPr>
              <w:t>敏感点时减速慢行，严禁鸣笛；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⑦项目施工管理由专人负责，并设定专门负责人定期对该区的施工噪声污染防治措施以及环保管理进行检查和核实，严格按照国家的施工噪声防治和管理规范中的相关规程要求进行治理，尽量减少施工噪声对外环境的影响程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采取上述措施后，施工期间的厂界噪声能够满足《建筑施工场界环境噪声排放标准》（GB12523-2011）标准要求。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lang w:val="en-US" w:eastAsia="zh-CN"/>
              </w:rPr>
            </w:pPr>
            <w:r>
              <w:rPr>
                <w:rFonts w:hint="default" w:ascii="Times New Roman" w:hAnsi="Times New Roman" w:eastAsia="宋体" w:cs="Times New Roman"/>
                <w:b/>
                <w:bCs/>
                <w:spacing w:val="0"/>
                <w:kern w:val="0"/>
                <w:position w:val="0"/>
                <w:sz w:val="24"/>
                <w:lang w:val="en-US" w:eastAsia="zh-CN"/>
              </w:rPr>
              <w:t>4、固体废物影响分析及治理措施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施工期固体废物主要为弃土石方、建筑废物及生活垃圾。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（1）弃土石方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本项目位于园区内，园区整体地势较平坦，项目产生的土石方全部用于场地调整场平及绿化，无弃土产生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（2）建筑废物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施工</w:t>
            </w:r>
            <w:r>
              <w:rPr>
                <w:rFonts w:hint="eastAsia" w:cs="Times New Roman"/>
                <w:spacing w:val="0"/>
                <w:kern w:val="0"/>
                <w:position w:val="0"/>
                <w:sz w:val="24"/>
                <w:lang w:val="en-US" w:eastAsia="zh-CN"/>
              </w:rPr>
              <w:t>期间</w:t>
            </w:r>
            <w:r>
              <w:rPr>
                <w:rFonts w:hint="default" w:ascii="Times New Roman" w:hAnsi="Times New Roman" w:eastAsia="宋体" w:cs="Times New Roman"/>
                <w:spacing w:val="0"/>
                <w:kern w:val="0"/>
                <w:position w:val="0"/>
                <w:sz w:val="24"/>
                <w:lang w:val="en-US" w:eastAsia="zh-CN"/>
              </w:rPr>
              <w:t>建筑废物主要包括建筑施工废料和装修垃圾，对于施工期间产生的可回收利用的废料通过分类收集后交废物收购站；对不能回收再利用的建筑废物集中收集后堆放在指定地点，最终运至</w:t>
            </w:r>
            <w:r>
              <w:rPr>
                <w:rFonts w:hint="eastAsia" w:cs="Times New Roman"/>
                <w:spacing w:val="0"/>
                <w:kern w:val="0"/>
                <w:position w:val="0"/>
                <w:sz w:val="24"/>
                <w:lang w:val="en-US" w:eastAsia="zh-CN"/>
              </w:rPr>
              <w:t>焉耆县</w:t>
            </w:r>
            <w:r>
              <w:rPr>
                <w:rFonts w:hint="default" w:ascii="Times New Roman" w:hAnsi="Times New Roman" w:eastAsia="宋体" w:cs="Times New Roman"/>
                <w:spacing w:val="0"/>
                <w:kern w:val="0"/>
                <w:position w:val="0"/>
                <w:sz w:val="24"/>
                <w:lang w:val="en-US" w:eastAsia="zh-CN"/>
              </w:rPr>
              <w:t>住建部门指定地点处理。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（3）施工生活垃圾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项目施工高峰期时施工人员约</w:t>
            </w:r>
            <w:r>
              <w:rPr>
                <w:rFonts w:hint="eastAsia" w:cs="Times New Roman"/>
                <w:spacing w:val="0"/>
                <w:kern w:val="0"/>
                <w:position w:val="0"/>
                <w:sz w:val="24"/>
                <w:lang w:val="en-US" w:eastAsia="zh-CN"/>
              </w:rPr>
              <w:t>1</w:t>
            </w:r>
            <w:r>
              <w:rPr>
                <w:rFonts w:hint="default" w:ascii="Times New Roman" w:hAnsi="Times New Roman" w:eastAsia="宋体" w:cs="Times New Roman"/>
                <w:spacing w:val="0"/>
                <w:kern w:val="0"/>
                <w:position w:val="0"/>
                <w:sz w:val="24"/>
                <w:lang w:val="en-US" w:eastAsia="zh-CN"/>
              </w:rPr>
              <w:t>0人，生活垃圾按0.2kg/人.d计，生活垃圾产生量10kg/d</w:t>
            </w:r>
            <w:r>
              <w:rPr>
                <w:rFonts w:hint="eastAsia"/>
                <w:lang w:val="en-US" w:eastAsia="zh-CN"/>
              </w:rPr>
              <w:t>·</w:t>
            </w:r>
            <w:r>
              <w:rPr>
                <w:rFonts w:hint="default" w:ascii="Times New Roman" w:hAnsi="Times New Roman" w:eastAsia="宋体" w:cs="Times New Roman"/>
                <w:spacing w:val="0"/>
                <w:kern w:val="0"/>
                <w:position w:val="0"/>
                <w:sz w:val="24"/>
                <w:lang w:val="en-US" w:eastAsia="zh-CN"/>
              </w:rPr>
              <w:t>人，本项目施工人员产生的生活垃圾经收集后，由环卫部门统一清运。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根据《中华人民共和国固体废物污染环境防治法》的有关内容，应该特别注意对临时垃圾堆放点的维护管理，避免垃圾的随意堆放造成垃圾四处散落，同时对堆放点定期喷杀菌、杀虫药水，减少蚊虫和病菌的滋生。环评要求施工单位袋装收集施工人员生活垃圾，交市政环卫部门清运处理，做到“日产日清”，严禁就地填埋。施工单位应在三十日内将建筑垃圾全部清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default" w:ascii="Times New Roman" w:hAnsi="Times New Roman" w:eastAsia="宋体" w:cs="Times New Roman"/>
                <w:spacing w:val="0"/>
                <w:kern w:val="0"/>
                <w:position w:val="0"/>
                <w:sz w:val="24"/>
                <w:lang w:val="en-US" w:eastAsia="zh-CN"/>
              </w:rPr>
              <w:t>综上所述，项目施工期在严格落实了本环评提出的上述措施后，其施工期的固体废弃物可实现清洁处理和处置，不会造成二次污染。</w:t>
            </w:r>
          </w:p>
          <w:p>
            <w:pPr>
              <w:widowControl w:val="0"/>
              <w:tabs>
                <w:tab w:val="left" w:pos="1078"/>
              </w:tabs>
              <w:autoSpaceDE w:val="0"/>
              <w:autoSpaceDN w:val="0"/>
              <w:adjustRightInd w:val="0"/>
              <w:snapToGrid w:val="0"/>
              <w:spacing w:line="360" w:lineRule="auto"/>
              <w:ind w:left="0" w:firstLine="0"/>
              <w:jc w:val="left"/>
              <w:rPr>
                <w:rFonts w:hint="eastAsia" w:ascii="Times New Roman" w:hAnsi="Times New Roman" w:eastAsia="宋体" w:cs="Times New Roman"/>
                <w:b/>
                <w:bCs/>
                <w:color w:val="000000"/>
                <w:kern w:val="0"/>
                <w:sz w:val="24"/>
                <w:szCs w:val="24"/>
                <w:lang w:val="en-US" w:eastAsia="zh-CN" w:bidi="zh-CN"/>
              </w:rPr>
            </w:pPr>
            <w:r>
              <w:rPr>
                <w:rFonts w:hint="eastAsia" w:ascii="Times New Roman" w:hAnsi="Times New Roman" w:eastAsia="宋体" w:cs="Times New Roman"/>
                <w:b/>
                <w:bCs/>
                <w:color w:val="000000"/>
                <w:kern w:val="0"/>
                <w:sz w:val="24"/>
                <w:szCs w:val="24"/>
                <w:lang w:val="en-US" w:eastAsia="zh-CN" w:bidi="zh-CN"/>
              </w:rPr>
              <w:t>5、施工期水土流失保护措施</w:t>
            </w:r>
          </w:p>
          <w:p>
            <w:pPr>
              <w:autoSpaceDE w:val="0"/>
              <w:autoSpaceDN w:val="0"/>
              <w:adjustRightInd w:val="0"/>
              <w:snapToGrid w:val="0"/>
              <w:spacing w:line="360" w:lineRule="auto"/>
              <w:ind w:firstLine="480" w:firstLineChars="200"/>
              <w:textAlignment w:val="baseline"/>
              <w:outlineLvl w:val="1"/>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sz w:val="24"/>
              </w:rPr>
              <w:t>（1）</w:t>
            </w:r>
            <w:r>
              <w:rPr>
                <w:rFonts w:hint="eastAsia" w:ascii="Times New Roman" w:hAnsi="Times New Roman" w:eastAsia="宋体" w:cs="Times New Roman"/>
                <w:color w:val="000000"/>
                <w:kern w:val="0"/>
                <w:sz w:val="24"/>
              </w:rPr>
              <w:t>施工过程中建（构）筑物基础开挖，用于场地平整的土石料，应随时运往需要平整的场地，防止碾压；</w:t>
            </w:r>
          </w:p>
          <w:p>
            <w:pPr>
              <w:autoSpaceDE w:val="0"/>
              <w:autoSpaceDN w:val="0"/>
              <w:adjustRightInd w:val="0"/>
              <w:snapToGrid w:val="0"/>
              <w:spacing w:line="360" w:lineRule="auto"/>
              <w:ind w:firstLine="480" w:firstLineChars="200"/>
              <w:textAlignment w:val="baseline"/>
              <w:outlineLvl w:val="1"/>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2）用于回填的土料需根据项目区建（构）筑物的布设位置和施工道路布设情况，集中堆放，临时堆土场人工拍实，堆放高度不得超过3.0m，采取纤维布苫盖临时挡护措施，待基础浇筑完成后及时回填，及时将堆土场平整清理，设计纤维布幅宽2.0m，每隔5.0m布设一立杆，并用铁丝绑牢固；</w:t>
            </w:r>
          </w:p>
          <w:p>
            <w:pPr>
              <w:autoSpaceDE w:val="0"/>
              <w:autoSpaceDN w:val="0"/>
              <w:adjustRightInd w:val="0"/>
              <w:snapToGrid w:val="0"/>
              <w:spacing w:line="360" w:lineRule="auto"/>
              <w:ind w:firstLine="480" w:firstLineChars="200"/>
              <w:textAlignment w:val="baseline"/>
              <w:outlineLvl w:val="1"/>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（3）项目地基开挖，设计在开挖一侧设置堆土区，开挖土料集中堆放在临时堆土区人工拍实，并在顶部设置纤维布苫盖措施，外侧边坡采用纤维土袋临时挡护措施，设计纤维土袋挡土墙高1m，宽0.5m，外坡比1</w:t>
            </w:r>
            <w:r>
              <w:rPr>
                <w:rFonts w:hint="eastAsia" w:ascii="Times New Roman" w:hAnsi="Times New Roman" w:eastAsia="宋体" w:cs="Times New Roman"/>
                <w:color w:val="000000"/>
                <w:kern w:val="0"/>
                <w:sz w:val="24"/>
                <w:lang w:eastAsia="zh-CN"/>
              </w:rPr>
              <w:t>:</w:t>
            </w:r>
            <w:r>
              <w:rPr>
                <w:rFonts w:hint="eastAsia" w:ascii="Times New Roman" w:hAnsi="Times New Roman" w:eastAsia="宋体" w:cs="Times New Roman"/>
                <w:color w:val="000000"/>
                <w:kern w:val="0"/>
                <w:sz w:val="24"/>
              </w:rPr>
              <w:t>0.5。</w:t>
            </w:r>
          </w:p>
          <w:p>
            <w:pPr>
              <w:autoSpaceDE w:val="0"/>
              <w:autoSpaceDN w:val="0"/>
              <w:adjustRightInd w:val="0"/>
              <w:snapToGrid w:val="0"/>
              <w:spacing w:line="360" w:lineRule="auto"/>
              <w:ind w:firstLine="480" w:firstLineChars="200"/>
              <w:textAlignment w:val="baseline"/>
              <w:outlineLvl w:val="1"/>
              <w:rPr>
                <w:rFonts w:hint="eastAsia"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（4）施工结束后及时回填临时占地，回填以后的开挖区以及施工区、施工便道种草恢复植被，选择适应性强、生长迅速、繁殖容易的草灌为主，草种选择早熟禾。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lang w:val="en-US" w:eastAsia="zh-CN"/>
              </w:rPr>
            </w:pPr>
            <w:r>
              <w:rPr>
                <w:rFonts w:hint="eastAsia" w:ascii="Times New Roman" w:hAnsi="Times New Roman" w:eastAsia="宋体" w:cs="Times New Roman"/>
                <w:color w:val="000000"/>
                <w:kern w:val="0"/>
                <w:sz w:val="24"/>
              </w:rPr>
              <w:t>（5）在场地建构筑物建设和硬化以外的空地区域采取相应的植物措施，增加植物覆盖率，最终减少项目区的水土流失，为</w:t>
            </w:r>
            <w:r>
              <w:rPr>
                <w:rFonts w:hint="eastAsia" w:ascii="Times New Roman" w:hAnsi="Times New Roman" w:eastAsia="宋体" w:cs="Times New Roman"/>
                <w:color w:val="000000"/>
                <w:kern w:val="0"/>
                <w:sz w:val="24"/>
                <w:lang w:val="en-US" w:eastAsia="zh-CN"/>
              </w:rPr>
              <w:t>基础</w:t>
            </w:r>
            <w:r>
              <w:rPr>
                <w:rFonts w:hint="eastAsia" w:ascii="Times New Roman" w:hAnsi="Times New Roman" w:eastAsia="宋体" w:cs="Times New Roman"/>
                <w:color w:val="000000"/>
                <w:kern w:val="0"/>
                <w:sz w:val="24"/>
              </w:rPr>
              <w:t>设施建设提供重要生态屏障。</w:t>
            </w:r>
          </w:p>
        </w:tc>
      </w:tr>
    </w:tbl>
    <w:p>
      <w:pPr>
        <w:pStyle w:val="15"/>
        <w:numPr>
          <w:ilvl w:val="0"/>
          <w:numId w:val="0"/>
        </w:numPr>
        <w:rPr>
          <w:rFonts w:hint="default"/>
        </w:rPr>
        <w:sectPr>
          <w:pgSz w:w="11907" w:h="16840"/>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CellMar>
          <w:top w:w="0" w:type="dxa"/>
          <w:left w:w="108" w:type="dxa"/>
          <w:bottom w:w="0" w:type="dxa"/>
          <w:right w:w="108" w:type="dxa"/>
        </w:tblCellMar>
      </w:tblPr>
      <w:tblGrid>
        <w:gridCol w:w="431"/>
        <w:gridCol w:w="1322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c>
          <w:tcPr>
            <w:tcW w:w="157" w:type="pct"/>
            <w:tcBorders>
              <w:tl2br w:val="nil"/>
              <w:tr2bl w:val="nil"/>
            </w:tcBorders>
          </w:tcPr>
          <w:p>
            <w:pPr>
              <w:pStyle w:val="15"/>
              <w:numPr>
                <w:ilvl w:val="0"/>
                <w:numId w:val="0"/>
              </w:numPr>
              <w:rPr>
                <w:rFonts w:hint="default"/>
                <w:vertAlign w:val="baseline"/>
              </w:rPr>
            </w:pPr>
            <w:r>
              <w:rPr>
                <w:rFonts w:hint="default"/>
                <w:vertAlign w:val="baseline"/>
              </w:rPr>
              <w:t>运营期环境影响和保护措施</w:t>
            </w:r>
          </w:p>
        </w:tc>
        <w:tc>
          <w:tcPr>
            <w:tcW w:w="4842" w:type="pct"/>
            <w:tcBorders>
              <w:tl2br w:val="nil"/>
              <w:tr2bl w:val="nil"/>
            </w:tcBorders>
          </w:tcPr>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firstLine="422" w:firstLineChars="200"/>
              <w:jc w:val="both"/>
              <w:textAlignment w:val="auto"/>
              <w:outlineLvl w:val="9"/>
              <w:rPr>
                <w:rFonts w:hint="eastAsia" w:ascii="黑体" w:hAnsi="黑体" w:eastAsia="黑体" w:cs="Times New Roman"/>
                <w:snapToGrid w:val="0"/>
                <w:kern w:val="0"/>
                <w:sz w:val="30"/>
                <w:szCs w:val="30"/>
                <w:lang w:val="en-US" w:eastAsia="zh-CN" w:bidi="ar-SA"/>
              </w:rPr>
            </w:pPr>
            <w:r>
              <w:rPr>
                <w:rFonts w:hint="eastAsia" w:ascii="宋体" w:hAnsi="宋体" w:eastAsia="宋体" w:cs="Times New Roman"/>
                <w:b/>
                <w:bCs/>
                <w:kern w:val="0"/>
                <w:sz w:val="21"/>
                <w:szCs w:val="21"/>
                <w:lang w:val="en-US" w:eastAsia="zh-CN" w:bidi="ar-SA"/>
              </w:rPr>
              <w:t>表4-</w:t>
            </w:r>
            <w:r>
              <w:rPr>
                <w:rFonts w:hint="eastAsia" w:ascii="宋体" w:hAnsi="宋体" w:cs="Times New Roman"/>
                <w:b/>
                <w:bCs/>
                <w:kern w:val="0"/>
                <w:sz w:val="21"/>
                <w:szCs w:val="21"/>
                <w:lang w:val="en-US" w:eastAsia="zh-CN" w:bidi="ar-SA"/>
              </w:rPr>
              <w:t>3</w:t>
            </w:r>
            <w:r>
              <w:rPr>
                <w:rFonts w:hint="eastAsia" w:ascii="宋体" w:hAnsi="宋体" w:eastAsia="宋体" w:cs="Times New Roman"/>
                <w:b/>
                <w:bCs/>
                <w:kern w:val="0"/>
                <w:sz w:val="21"/>
                <w:szCs w:val="21"/>
                <w:lang w:val="en-US" w:eastAsia="zh-CN" w:bidi="ar-SA"/>
              </w:rPr>
              <w:t xml:space="preserve">                                      本项目废气产生及排放情况一览表</w:t>
            </w:r>
          </w:p>
          <w:tbl>
            <w:tblPr>
              <w:tblStyle w:val="34"/>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59"/>
              <w:gridCol w:w="790"/>
              <w:gridCol w:w="645"/>
              <w:gridCol w:w="647"/>
              <w:gridCol w:w="566"/>
              <w:gridCol w:w="436"/>
              <w:gridCol w:w="716"/>
              <w:gridCol w:w="534"/>
              <w:gridCol w:w="447"/>
              <w:gridCol w:w="721"/>
              <w:gridCol w:w="736"/>
              <w:gridCol w:w="750"/>
              <w:gridCol w:w="923"/>
              <w:gridCol w:w="835"/>
              <w:gridCol w:w="605"/>
              <w:gridCol w:w="436"/>
              <w:gridCol w:w="436"/>
              <w:gridCol w:w="436"/>
              <w:gridCol w:w="436"/>
              <w:gridCol w:w="564"/>
              <w:gridCol w:w="4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环节</w:t>
                  </w:r>
                </w:p>
              </w:tc>
              <w:tc>
                <w:tcPr>
                  <w:tcW w:w="17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w:t>
                  </w:r>
                </w:p>
              </w:tc>
              <w:tc>
                <w:tcPr>
                  <w:tcW w:w="30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标准干烟气量（</w:t>
                  </w:r>
                  <w:r>
                    <w:rPr>
                      <w:rFonts w:hint="default" w:ascii="Times New Roman" w:hAnsi="Times New Roman" w:eastAsia="宋体" w:cs="Times New Roman"/>
                      <w:b w:val="0"/>
                      <w:bCs w:val="0"/>
                      <w:color w:val="auto"/>
                      <w:spacing w:val="0"/>
                      <w:kern w:val="0"/>
                      <w:position w:val="0"/>
                      <w:sz w:val="21"/>
                      <w:szCs w:val="21"/>
                      <w:highlight w:val="none"/>
                    </w:rPr>
                    <w:t>Nm</w:t>
                  </w:r>
                  <w:r>
                    <w:rPr>
                      <w:rFonts w:hint="default" w:ascii="Times New Roman" w:hAnsi="Times New Roman" w:eastAsia="宋体" w:cs="Times New Roman"/>
                      <w:b w:val="0"/>
                      <w:bCs w:val="0"/>
                      <w:color w:val="auto"/>
                      <w:spacing w:val="0"/>
                      <w:kern w:val="0"/>
                      <w:position w:val="0"/>
                      <w:sz w:val="21"/>
                      <w:szCs w:val="21"/>
                      <w:highlight w:val="none"/>
                      <w:vertAlign w:val="superscript"/>
                    </w:rPr>
                    <w:t>3</w:t>
                  </w:r>
                  <w:r>
                    <w:rPr>
                      <w:rFonts w:hint="default" w:ascii="Times New Roman" w:hAnsi="Times New Roman" w:eastAsia="宋体" w:cs="Times New Roman"/>
                      <w:b w:val="0"/>
                      <w:bCs w:val="0"/>
                      <w:color w:val="auto"/>
                      <w:sz w:val="21"/>
                      <w:szCs w:val="21"/>
                      <w:highlight w:val="none"/>
                      <w:lang w:val="en-US" w:eastAsia="zh-CN"/>
                    </w:rPr>
                    <w:t>）</w:t>
                  </w:r>
                </w:p>
              </w:tc>
              <w:tc>
                <w:tcPr>
                  <w:tcW w:w="714"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产生情况</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排放形式</w:t>
                  </w:r>
                </w:p>
              </w:tc>
              <w:tc>
                <w:tcPr>
                  <w:tcW w:w="480"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治理情况</w:t>
                  </w:r>
                </w:p>
              </w:tc>
              <w:tc>
                <w:tcPr>
                  <w:tcW w:w="1020" w:type="pct"/>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排放情况</w:t>
                  </w:r>
                </w:p>
              </w:tc>
              <w:tc>
                <w:tcPr>
                  <w:tcW w:w="1579" w:type="pct"/>
                  <w:gridSpan w:val="7"/>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排气筒参数</w:t>
                  </w:r>
                </w:p>
              </w:tc>
              <w:tc>
                <w:tcPr>
                  <w:tcW w:w="390"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7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30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4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产生量</w:t>
                  </w:r>
                  <w:r>
                    <w:rPr>
                      <w:rFonts w:hint="default" w:ascii="Times New Roman" w:hAnsi="Times New Roman" w:eastAsia="宋体" w:cs="Times New Roman"/>
                      <w:b w:val="0"/>
                      <w:bCs w:val="0"/>
                      <w:color w:val="auto"/>
                      <w:sz w:val="21"/>
                      <w:szCs w:val="21"/>
                      <w:highlight w:val="none"/>
                      <w:lang w:val="en-US" w:eastAsia="zh-CN"/>
                    </w:rPr>
                    <w:t>t/a</w:t>
                  </w:r>
                </w:p>
              </w:tc>
              <w:tc>
                <w:tcPr>
                  <w:tcW w:w="24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产生</w:t>
                  </w:r>
                  <w:r>
                    <w:rPr>
                      <w:rFonts w:hint="default" w:ascii="Times New Roman" w:hAnsi="Times New Roman" w:eastAsia="宋体" w:cs="Times New Roman"/>
                      <w:b w:val="0"/>
                      <w:bCs w:val="0"/>
                      <w:color w:val="auto"/>
                      <w:sz w:val="21"/>
                      <w:szCs w:val="21"/>
                      <w:highlight w:val="none"/>
                      <w:lang w:eastAsia="zh-CN"/>
                    </w:rPr>
                    <w:t>速率</w:t>
                  </w:r>
                  <w:r>
                    <w:rPr>
                      <w:rFonts w:hint="default" w:ascii="Times New Roman" w:hAnsi="Times New Roman" w:eastAsia="宋体" w:cs="Times New Roman"/>
                      <w:b w:val="0"/>
                      <w:bCs w:val="0"/>
                      <w:color w:val="auto"/>
                      <w:sz w:val="21"/>
                      <w:szCs w:val="21"/>
                      <w:highlight w:val="none"/>
                      <w:lang w:val="en-US" w:eastAsia="zh-CN"/>
                    </w:rPr>
                    <w:t>kg/h</w:t>
                  </w:r>
                </w:p>
              </w:tc>
              <w:tc>
                <w:tcPr>
                  <w:tcW w:w="21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产生浓度mg/m</w:t>
                  </w:r>
                  <w:r>
                    <w:rPr>
                      <w:rFonts w:hint="default" w:ascii="Times New Roman" w:hAnsi="Times New Roman" w:eastAsia="宋体" w:cs="Times New Roman"/>
                      <w:b w:val="0"/>
                      <w:bCs w:val="0"/>
                      <w:color w:val="auto"/>
                      <w:sz w:val="21"/>
                      <w:szCs w:val="21"/>
                      <w:highlight w:val="none"/>
                      <w:vertAlign w:val="superscript"/>
                    </w:rPr>
                    <w:t>3</w:t>
                  </w: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7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治理措施</w:t>
                  </w:r>
                </w:p>
              </w:tc>
              <w:tc>
                <w:tcPr>
                  <w:tcW w:w="20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去除率%</w:t>
                  </w:r>
                </w:p>
              </w:tc>
              <w:tc>
                <w:tcPr>
                  <w:tcW w:w="17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是否可行</w:t>
                  </w:r>
                </w:p>
              </w:tc>
              <w:tc>
                <w:tcPr>
                  <w:tcW w:w="27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排放量t/a</w:t>
                  </w:r>
                </w:p>
              </w:tc>
              <w:tc>
                <w:tcPr>
                  <w:tcW w:w="28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eastAsia="zh-CN"/>
                    </w:rPr>
                    <w:t>排放速率</w:t>
                  </w:r>
                  <w:r>
                    <w:rPr>
                      <w:rFonts w:hint="default" w:ascii="Times New Roman" w:hAnsi="Times New Roman" w:eastAsia="宋体" w:cs="Times New Roman"/>
                      <w:b w:val="0"/>
                      <w:bCs w:val="0"/>
                      <w:color w:val="auto"/>
                      <w:sz w:val="21"/>
                      <w:szCs w:val="21"/>
                      <w:highlight w:val="none"/>
                      <w:lang w:val="en-US" w:eastAsia="zh-CN"/>
                    </w:rPr>
                    <w:t>kg/h</w:t>
                  </w:r>
                </w:p>
              </w:tc>
              <w:tc>
                <w:tcPr>
                  <w:tcW w:w="28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排放浓度mg/m</w:t>
                  </w:r>
                  <w:r>
                    <w:rPr>
                      <w:rFonts w:hint="default" w:ascii="Times New Roman" w:hAnsi="Times New Roman" w:eastAsia="宋体" w:cs="Times New Roman"/>
                      <w:b w:val="0"/>
                      <w:bCs w:val="0"/>
                      <w:color w:val="auto"/>
                      <w:sz w:val="21"/>
                      <w:szCs w:val="21"/>
                      <w:highlight w:val="none"/>
                      <w:vertAlign w:val="superscript"/>
                    </w:rPr>
                    <w:t>3</w:t>
                  </w:r>
                </w:p>
              </w:tc>
              <w:tc>
                <w:tcPr>
                  <w:tcW w:w="675"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地理</w:t>
                  </w:r>
                  <w:r>
                    <w:rPr>
                      <w:rFonts w:hint="default" w:ascii="Times New Roman" w:hAnsi="Times New Roman" w:eastAsia="宋体" w:cs="Times New Roman"/>
                      <w:b w:val="0"/>
                      <w:bCs w:val="0"/>
                      <w:color w:val="auto"/>
                      <w:sz w:val="21"/>
                      <w:szCs w:val="21"/>
                      <w:highlight w:val="none"/>
                    </w:rPr>
                    <w:t>坐标</w:t>
                  </w:r>
                </w:p>
              </w:tc>
              <w:tc>
                <w:tcPr>
                  <w:tcW w:w="23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编号</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名称</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类型</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高度m</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内径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m</w:t>
                  </w:r>
                </w:p>
              </w:tc>
              <w:tc>
                <w:tcPr>
                  <w:tcW w:w="21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浓度</w:t>
                  </w:r>
                  <w:r>
                    <w:rPr>
                      <w:rFonts w:hint="default" w:ascii="Times New Roman" w:hAnsi="Times New Roman" w:eastAsia="宋体" w:cs="Times New Roman"/>
                      <w:b w:val="0"/>
                      <w:bCs w:val="0"/>
                      <w:color w:val="auto"/>
                      <w:sz w:val="21"/>
                      <w:szCs w:val="21"/>
                      <w:highlight w:val="none"/>
                    </w:rPr>
                    <w:t>mg/m</w:t>
                  </w:r>
                  <w:r>
                    <w:rPr>
                      <w:rFonts w:hint="default" w:ascii="Times New Roman" w:hAnsi="Times New Roman" w:eastAsia="宋体" w:cs="Times New Roman"/>
                      <w:b w:val="0"/>
                      <w:bCs w:val="0"/>
                      <w:color w:val="auto"/>
                      <w:sz w:val="21"/>
                      <w:szCs w:val="21"/>
                      <w:highlight w:val="none"/>
                      <w:vertAlign w:val="superscript"/>
                    </w:rPr>
                    <w:t>3</w:t>
                  </w:r>
                </w:p>
              </w:tc>
              <w:tc>
                <w:tcPr>
                  <w:tcW w:w="17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eastAsia="zh-CN"/>
                    </w:rPr>
                    <w:t>速率</w:t>
                  </w:r>
                  <w:r>
                    <w:rPr>
                      <w:rFonts w:hint="default" w:ascii="Times New Roman" w:hAnsi="Times New Roman" w:eastAsia="宋体" w:cs="Times New Roman"/>
                      <w:b w:val="0"/>
                      <w:bCs w:val="0"/>
                      <w:color w:val="auto"/>
                      <w:sz w:val="21"/>
                      <w:szCs w:val="21"/>
                      <w:highlight w:val="none"/>
                      <w:lang w:val="en-US" w:eastAsia="zh-CN"/>
                    </w:rPr>
                    <w:t>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7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30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4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4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1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7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0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7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7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8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8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3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经度</w:t>
                  </w:r>
                </w:p>
              </w:tc>
              <w:tc>
                <w:tcPr>
                  <w:tcW w:w="3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纬度</w:t>
                  </w:r>
                </w:p>
              </w:tc>
              <w:tc>
                <w:tcPr>
                  <w:tcW w:w="23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21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7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锅炉废气</w:t>
                  </w:r>
                </w:p>
              </w:tc>
              <w:tc>
                <w:tcPr>
                  <w:tcW w:w="1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c>
                <w:tcPr>
                  <w:tcW w:w="30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1627650.2</w:t>
                  </w:r>
                </w:p>
              </w:tc>
              <w:tc>
                <w:tcPr>
                  <w:tcW w:w="2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0.024</w:t>
                  </w:r>
                </w:p>
              </w:tc>
              <w:tc>
                <w:tcPr>
                  <w:tcW w:w="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0.011</w:t>
                  </w:r>
                </w:p>
              </w:tc>
              <w:tc>
                <w:tcPr>
                  <w:tcW w:w="2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14.7</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有组织</w:t>
                  </w:r>
                </w:p>
              </w:tc>
              <w:tc>
                <w:tcPr>
                  <w:tcW w:w="2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2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w:t>
                  </w:r>
                </w:p>
              </w:tc>
              <w:tc>
                <w:tcPr>
                  <w:tcW w:w="1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是</w:t>
                  </w:r>
                </w:p>
              </w:tc>
              <w:tc>
                <w:tcPr>
                  <w:tcW w:w="27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0.024</w:t>
                  </w:r>
                </w:p>
              </w:tc>
              <w:tc>
                <w:tcPr>
                  <w:tcW w:w="282"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0.011</w:t>
                  </w:r>
                </w:p>
              </w:tc>
              <w:tc>
                <w:tcPr>
                  <w:tcW w:w="288"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14.7</w:t>
                  </w:r>
                </w:p>
              </w:tc>
              <w:tc>
                <w:tcPr>
                  <w:tcW w:w="35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eastAsia="zh-CN"/>
                    </w:rPr>
                  </w:pPr>
                  <w:r>
                    <w:rPr>
                      <w:rFonts w:hint="eastAsia"/>
                    </w:rPr>
                    <w:t>86°35′47.455″</w:t>
                  </w:r>
                </w:p>
              </w:tc>
              <w:tc>
                <w:tcPr>
                  <w:tcW w:w="32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eastAsia="zh-CN"/>
                    </w:rPr>
                  </w:pPr>
                  <w:r>
                    <w:rPr>
                      <w:rFonts w:hint="eastAsia"/>
                    </w:rPr>
                    <w:t>42°5′3.563″</w:t>
                  </w:r>
                </w:p>
              </w:tc>
              <w:tc>
                <w:tcPr>
                  <w:tcW w:w="23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DA001</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锅炉废气排放口</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一般排放口</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0.4</w:t>
                  </w:r>
                </w:p>
              </w:tc>
              <w:tc>
                <w:tcPr>
                  <w:tcW w:w="21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20</w:t>
                  </w:r>
                </w:p>
              </w:tc>
              <w:tc>
                <w:tcPr>
                  <w:tcW w:w="1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pacing w:val="0"/>
                      <w:kern w:val="0"/>
                      <w:position w:val="0"/>
                      <w:sz w:val="21"/>
                      <w:szCs w:val="21"/>
                      <w:highlight w:val="none"/>
                      <w:lang w:val="en-US" w:eastAsia="zh-CN" w:bidi="ar-SA"/>
                    </w:rPr>
                    <w:t>SO</w:t>
                  </w:r>
                  <w:r>
                    <w:rPr>
                      <w:rFonts w:hint="default" w:ascii="Times New Roman" w:hAnsi="Times New Roman" w:eastAsia="宋体" w:cs="Times New Roman"/>
                      <w:b w:val="0"/>
                      <w:bCs w:val="0"/>
                      <w:color w:val="auto"/>
                      <w:spacing w:val="0"/>
                      <w:kern w:val="0"/>
                      <w:position w:val="0"/>
                      <w:sz w:val="21"/>
                      <w:szCs w:val="21"/>
                      <w:highlight w:val="none"/>
                      <w:vertAlign w:val="subscript"/>
                      <w:lang w:val="en-US" w:eastAsia="zh-CN" w:bidi="ar-SA"/>
                    </w:rPr>
                    <w:t>2</w:t>
                  </w:r>
                </w:p>
              </w:tc>
              <w:tc>
                <w:tcPr>
                  <w:tcW w:w="30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0.003</w:t>
                  </w:r>
                </w:p>
              </w:tc>
              <w:tc>
                <w:tcPr>
                  <w:tcW w:w="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0.002</w:t>
                  </w:r>
                </w:p>
              </w:tc>
              <w:tc>
                <w:tcPr>
                  <w:tcW w:w="2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2.0</w:t>
                  </w: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2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w:t>
                  </w:r>
                </w:p>
              </w:tc>
              <w:tc>
                <w:tcPr>
                  <w:tcW w:w="1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是</w:t>
                  </w:r>
                </w:p>
              </w:tc>
              <w:tc>
                <w:tcPr>
                  <w:tcW w:w="27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0.003</w:t>
                  </w:r>
                </w:p>
              </w:tc>
              <w:tc>
                <w:tcPr>
                  <w:tcW w:w="282"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0.002</w:t>
                  </w:r>
                </w:p>
              </w:tc>
              <w:tc>
                <w:tcPr>
                  <w:tcW w:w="288"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2.0</w:t>
                  </w:r>
                </w:p>
              </w:tc>
              <w:tc>
                <w:tcPr>
                  <w:tcW w:w="35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3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1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50</w:t>
                  </w:r>
                </w:p>
              </w:tc>
              <w:tc>
                <w:tcPr>
                  <w:tcW w:w="1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NOx</w:t>
                  </w:r>
                </w:p>
              </w:tc>
              <w:tc>
                <w:tcPr>
                  <w:tcW w:w="30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4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0.317</w:t>
                  </w:r>
                </w:p>
              </w:tc>
              <w:tc>
                <w:tcPr>
                  <w:tcW w:w="248"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0.147</w:t>
                  </w:r>
                </w:p>
              </w:tc>
              <w:tc>
                <w:tcPr>
                  <w:tcW w:w="21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195</w:t>
                  </w: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低氮燃烧器</w:t>
                  </w:r>
                </w:p>
              </w:tc>
              <w:tc>
                <w:tcPr>
                  <w:tcW w:w="2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74.4</w:t>
                  </w:r>
                </w:p>
              </w:tc>
              <w:tc>
                <w:tcPr>
                  <w:tcW w:w="1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是</w:t>
                  </w:r>
                  <w:r>
                    <w:rPr>
                      <w:rFonts w:hint="eastAsia" w:cs="Times New Roman"/>
                      <w:b w:val="0"/>
                      <w:bCs w:val="0"/>
                      <w:color w:val="auto"/>
                      <w:sz w:val="21"/>
                      <w:szCs w:val="21"/>
                      <w:highlight w:val="none"/>
                      <w:lang w:val="en-US" w:eastAsia="zh-CN"/>
                    </w:rPr>
                    <w:t xml:space="preserve"> </w:t>
                  </w:r>
                </w:p>
              </w:tc>
              <w:tc>
                <w:tcPr>
                  <w:tcW w:w="27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0.081</w:t>
                  </w:r>
                </w:p>
              </w:tc>
              <w:tc>
                <w:tcPr>
                  <w:tcW w:w="282"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0.038</w:t>
                  </w:r>
                </w:p>
              </w:tc>
              <w:tc>
                <w:tcPr>
                  <w:tcW w:w="288"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50</w:t>
                  </w:r>
                </w:p>
              </w:tc>
              <w:tc>
                <w:tcPr>
                  <w:tcW w:w="35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3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1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200</w:t>
                  </w:r>
                </w:p>
              </w:tc>
              <w:tc>
                <w:tcPr>
                  <w:tcW w:w="1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污水处理站废气</w:t>
                  </w:r>
                </w:p>
              </w:tc>
              <w:tc>
                <w:tcPr>
                  <w:tcW w:w="1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NH</w:t>
                  </w:r>
                  <w:r>
                    <w:rPr>
                      <w:rFonts w:hint="eastAsia" w:cs="Times New Roman"/>
                      <w:b w:val="0"/>
                      <w:bCs w:val="0"/>
                      <w:color w:val="auto"/>
                      <w:kern w:val="2"/>
                      <w:sz w:val="21"/>
                      <w:szCs w:val="21"/>
                      <w:highlight w:val="none"/>
                      <w:vertAlign w:val="subscript"/>
                      <w:lang w:val="en-US" w:eastAsia="zh-CN" w:bidi="ar-SA"/>
                    </w:rPr>
                    <w:t>3</w:t>
                  </w:r>
                </w:p>
              </w:tc>
              <w:tc>
                <w:tcPr>
                  <w:tcW w:w="3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2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0.014</w:t>
                  </w:r>
                </w:p>
              </w:tc>
              <w:tc>
                <w:tcPr>
                  <w:tcW w:w="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0.006</w:t>
                  </w:r>
                </w:p>
              </w:tc>
              <w:tc>
                <w:tcPr>
                  <w:tcW w:w="2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无组织</w:t>
                  </w:r>
                </w:p>
              </w:tc>
              <w:tc>
                <w:tcPr>
                  <w:tcW w:w="27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加盖密闭，定期投加除臭剂</w:t>
                  </w:r>
                </w:p>
              </w:tc>
              <w:tc>
                <w:tcPr>
                  <w:tcW w:w="2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w:t>
                  </w:r>
                </w:p>
              </w:tc>
              <w:tc>
                <w:tcPr>
                  <w:tcW w:w="1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是</w:t>
                  </w:r>
                </w:p>
              </w:tc>
              <w:tc>
                <w:tcPr>
                  <w:tcW w:w="27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0.014</w:t>
                  </w:r>
                </w:p>
              </w:tc>
              <w:tc>
                <w:tcPr>
                  <w:tcW w:w="282"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0.006</w:t>
                  </w:r>
                </w:p>
              </w:tc>
              <w:tc>
                <w:tcPr>
                  <w:tcW w:w="2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w:t>
                  </w:r>
                </w:p>
              </w:tc>
              <w:tc>
                <w:tcPr>
                  <w:tcW w:w="3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3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2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21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w:t>
                  </w:r>
                </w:p>
              </w:tc>
              <w:tc>
                <w:tcPr>
                  <w:tcW w:w="1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r>
                    <w:rPr>
                      <w:rFonts w:hint="eastAsia" w:cs="Times New Roman"/>
                      <w:b w:val="0"/>
                      <w:bCs w:val="0"/>
                      <w:color w:val="auto"/>
                      <w:kern w:val="2"/>
                      <w:sz w:val="21"/>
                      <w:szCs w:val="21"/>
                      <w:highlight w:val="none"/>
                      <w:vertAlign w:val="subscript"/>
                      <w:lang w:val="en-US" w:eastAsia="zh-CN" w:bidi="ar-SA"/>
                    </w:rPr>
                    <w:t>2</w:t>
                  </w:r>
                  <w:r>
                    <w:rPr>
                      <w:rFonts w:hint="eastAsia" w:cs="Times New Roman"/>
                      <w:b w:val="0"/>
                      <w:bCs w:val="0"/>
                      <w:color w:val="auto"/>
                      <w:kern w:val="2"/>
                      <w:sz w:val="21"/>
                      <w:szCs w:val="21"/>
                      <w:highlight w:val="none"/>
                      <w:lang w:val="en-US" w:eastAsia="zh-CN" w:bidi="ar-SA"/>
                    </w:rPr>
                    <w:t>S</w:t>
                  </w:r>
                </w:p>
              </w:tc>
              <w:tc>
                <w:tcPr>
                  <w:tcW w:w="3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2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0.00054</w:t>
                  </w:r>
                </w:p>
              </w:tc>
              <w:tc>
                <w:tcPr>
                  <w:tcW w:w="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0.00025</w:t>
                  </w:r>
                </w:p>
              </w:tc>
              <w:tc>
                <w:tcPr>
                  <w:tcW w:w="2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7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w:t>
                  </w:r>
                </w:p>
              </w:tc>
              <w:tc>
                <w:tcPr>
                  <w:tcW w:w="1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是</w:t>
                  </w:r>
                </w:p>
              </w:tc>
              <w:tc>
                <w:tcPr>
                  <w:tcW w:w="27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0.00054</w:t>
                  </w:r>
                </w:p>
              </w:tc>
              <w:tc>
                <w:tcPr>
                  <w:tcW w:w="282"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0.00025</w:t>
                  </w:r>
                </w:p>
              </w:tc>
              <w:tc>
                <w:tcPr>
                  <w:tcW w:w="2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w:t>
                  </w:r>
                </w:p>
              </w:tc>
              <w:tc>
                <w:tcPr>
                  <w:tcW w:w="3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3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2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1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21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0.06</w:t>
                  </w:r>
                </w:p>
              </w:tc>
              <w:tc>
                <w:tcPr>
                  <w:tcW w:w="1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备注：锅炉废气中NOx产生量根据《排污许可证申请与核发技术规范 锅炉》（HT 953-2018）中无低氮燃烧器系数进行计算，去除效率按照排放量进行反推计算</w:t>
                  </w:r>
                </w:p>
              </w:tc>
            </w:tr>
          </w:tbl>
          <w:p>
            <w:pPr>
              <w:pStyle w:val="15"/>
              <w:numPr>
                <w:ilvl w:val="0"/>
                <w:numId w:val="0"/>
              </w:numPr>
              <w:rPr>
                <w:rFonts w:hint="default"/>
                <w:vertAlign w:val="baseline"/>
              </w:rPr>
            </w:pPr>
          </w:p>
        </w:tc>
      </w:tr>
    </w:tbl>
    <w:p>
      <w:pPr>
        <w:pStyle w:val="15"/>
        <w:numPr>
          <w:ilvl w:val="0"/>
          <w:numId w:val="0"/>
        </w:numPr>
        <w:rPr>
          <w:rFonts w:hint="default"/>
        </w:rPr>
        <w:sectPr>
          <w:pgSz w:w="16840" w:h="11907"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3"/>
        <w:tblW w:w="4999"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autofit"/>
        <w:tblCellMar>
          <w:top w:w="0" w:type="dxa"/>
          <w:left w:w="108" w:type="dxa"/>
          <w:bottom w:w="0" w:type="dxa"/>
          <w:right w:w="108" w:type="dxa"/>
        </w:tblCellMar>
      </w:tblPr>
      <w:tblGrid>
        <w:gridCol w:w="240"/>
        <w:gridCol w:w="87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108" w:type="dxa"/>
            <w:bottom w:w="0" w:type="dxa"/>
            <w:right w:w="108" w:type="dxa"/>
          </w:tblCellMar>
        </w:tblPrEx>
        <w:trPr>
          <w:trHeight w:val="6055" w:hRule="atLeast"/>
          <w:jc w:val="center"/>
        </w:trPr>
        <w:tc>
          <w:tcPr>
            <w:tcW w:w="130" w:type="pct"/>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eastAsia="宋体" w:cs="Times New Roman"/>
                <w:bCs/>
                <w:color w:val="auto"/>
                <w:spacing w:val="0"/>
                <w:kern w:val="0"/>
                <w:position w:val="0"/>
                <w:szCs w:val="21"/>
                <w:highlight w:val="none"/>
              </w:rPr>
            </w:pPr>
            <w:r>
              <w:rPr>
                <w:rFonts w:hint="default" w:ascii="Times New Roman" w:hAnsi="Times New Roman" w:eastAsia="宋体" w:cs="Times New Roman"/>
                <w:bCs/>
                <w:color w:val="auto"/>
                <w:spacing w:val="0"/>
                <w:kern w:val="0"/>
                <w:position w:val="0"/>
                <w:sz w:val="24"/>
                <w:szCs w:val="24"/>
                <w:highlight w:val="none"/>
              </w:rPr>
              <w:t>运营期环境影响和保护措施</w:t>
            </w:r>
          </w:p>
        </w:tc>
        <w:tc>
          <w:tcPr>
            <w:tcW w:w="48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highlight w:val="none"/>
                <w:lang w:val="en-US" w:eastAsia="zh-CN"/>
              </w:rPr>
            </w:pPr>
            <w:r>
              <w:rPr>
                <w:rFonts w:hint="default" w:ascii="Times New Roman" w:hAnsi="Times New Roman" w:eastAsia="宋体" w:cs="Times New Roman"/>
                <w:b/>
                <w:bCs/>
                <w:spacing w:val="0"/>
                <w:kern w:val="0"/>
                <w:position w:val="0"/>
                <w:sz w:val="24"/>
                <w:highlight w:val="none"/>
                <w:lang w:val="en-US" w:eastAsia="zh-CN"/>
              </w:rPr>
              <w:t>一、大气环境影响分析及环境保护措施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pacing w:val="0"/>
                <w:kern w:val="0"/>
                <w:position w:val="0"/>
                <w:sz w:val="24"/>
                <w:highlight w:val="none"/>
                <w:lang w:val="en-US" w:eastAsia="zh-CN"/>
              </w:rPr>
            </w:pPr>
            <w:r>
              <w:rPr>
                <w:rFonts w:hint="default" w:ascii="Times New Roman" w:hAnsi="Times New Roman" w:eastAsia="宋体" w:cs="Times New Roman"/>
                <w:spacing w:val="0"/>
                <w:kern w:val="0"/>
                <w:position w:val="0"/>
                <w:sz w:val="24"/>
                <w:highlight w:val="none"/>
                <w:lang w:val="en-US" w:eastAsia="zh-CN"/>
              </w:rPr>
              <w:t>本项目废气污染物主要为</w:t>
            </w:r>
            <w:r>
              <w:rPr>
                <w:rFonts w:hint="eastAsia" w:cs="Times New Roman"/>
                <w:spacing w:val="0"/>
                <w:kern w:val="0"/>
                <w:position w:val="0"/>
                <w:sz w:val="24"/>
                <w:highlight w:val="none"/>
                <w:lang w:val="en-US" w:eastAsia="zh-CN"/>
              </w:rPr>
              <w:t>锅炉废气、</w:t>
            </w:r>
            <w:r>
              <w:rPr>
                <w:rFonts w:hint="default" w:ascii="Times New Roman" w:hAnsi="Times New Roman" w:eastAsia="宋体" w:cs="Times New Roman"/>
                <w:spacing w:val="0"/>
                <w:kern w:val="0"/>
                <w:position w:val="0"/>
                <w:sz w:val="24"/>
                <w:highlight w:val="none"/>
                <w:lang w:val="en-US" w:eastAsia="zh-CN"/>
              </w:rPr>
              <w:t>蒸粮水蒸气、发酵、过滤、勾兑、灌装、蒸馏、无菌罐罐顶呼吸过程中产生的异味、酒糟暂存异味以及污水处理站产生的氨、硫化氢和臭气浓度。</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pacing w:val="0"/>
                <w:kern w:val="0"/>
                <w:position w:val="0"/>
                <w:sz w:val="24"/>
                <w:highlight w:val="none"/>
                <w:lang w:val="en-US" w:eastAsia="zh-CN"/>
              </w:rPr>
            </w:pPr>
            <w:r>
              <w:rPr>
                <w:rFonts w:hint="default" w:ascii="Times New Roman" w:hAnsi="Times New Roman" w:eastAsia="宋体" w:cs="Times New Roman"/>
                <w:b/>
                <w:bCs/>
                <w:spacing w:val="0"/>
                <w:kern w:val="0"/>
                <w:position w:val="0"/>
                <w:sz w:val="24"/>
                <w:highlight w:val="none"/>
                <w:lang w:val="en-US" w:eastAsia="zh-CN"/>
              </w:rPr>
              <w:t>1、废气排放源强分析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cs="Times New Roman"/>
                <w:b/>
                <w:bCs/>
                <w:spacing w:val="0"/>
                <w:kern w:val="0"/>
                <w:position w:val="0"/>
                <w:sz w:val="24"/>
                <w:highlight w:val="none"/>
                <w:lang w:val="en-US" w:eastAsia="zh-CN"/>
              </w:rPr>
            </w:pPr>
            <w:r>
              <w:rPr>
                <w:rFonts w:hint="default" w:ascii="Times New Roman" w:hAnsi="Times New Roman" w:eastAsia="宋体" w:cs="Times New Roman"/>
                <w:b/>
                <w:bCs/>
                <w:spacing w:val="0"/>
                <w:kern w:val="0"/>
                <w:position w:val="0"/>
                <w:sz w:val="24"/>
                <w:highlight w:val="none"/>
                <w:lang w:val="en-US" w:eastAsia="zh-CN"/>
              </w:rPr>
              <w:t>1.1</w:t>
            </w:r>
            <w:r>
              <w:rPr>
                <w:rFonts w:hint="eastAsia" w:cs="Times New Roman"/>
                <w:b/>
                <w:bCs/>
                <w:spacing w:val="0"/>
                <w:kern w:val="0"/>
                <w:position w:val="0"/>
                <w:sz w:val="24"/>
                <w:highlight w:val="none"/>
                <w:lang w:val="en-US" w:eastAsia="zh-CN"/>
              </w:rPr>
              <w:t>锅炉废气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本次源强核算采用《污染源源强核算技术指南 锅炉》（HJ 991-2018）中推荐的物料衡算法进行核算。锅炉年耗气量为16.93万m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，年运行时间为2160h。</w:t>
            </w:r>
          </w:p>
          <w:p>
            <w:pPr>
              <w:keepNext w:val="0"/>
              <w:keepLines w:val="0"/>
              <w:widowControl w:val="0"/>
              <w:suppressLineNumbers w:val="0"/>
              <w:adjustRightInd w:val="0"/>
              <w:snapToGrid w:val="0"/>
              <w:spacing w:before="0" w:beforeAutospacing="0" w:after="0" w:afterAutospacing="0" w:line="360" w:lineRule="auto"/>
              <w:ind w:left="0" w:leftChars="0" w:right="0" w:firstLine="482" w:firstLineChars="200"/>
              <w:jc w:val="both"/>
              <w:rPr>
                <w:rFonts w:hint="default" w:ascii="Times New Roman" w:hAnsi="Times New Roman" w:eastAsia="宋体" w:cs="Times New Roman"/>
                <w:b/>
                <w:bCs/>
                <w:color w:val="auto"/>
                <w:spacing w:val="0"/>
                <w:kern w:val="0"/>
                <w:position w:val="0"/>
                <w:sz w:val="24"/>
                <w:szCs w:val="24"/>
                <w:highlight w:val="none"/>
                <w:lang w:val="en-US" w:eastAsia="zh-CN" w:bidi="ar-SA"/>
              </w:rPr>
            </w:pPr>
            <w:r>
              <w:rPr>
                <w:rFonts w:hint="eastAsia" w:ascii="Times New Roman" w:hAnsi="Times New Roman" w:eastAsia="宋体" w:cs="Times New Roman"/>
                <w:b/>
                <w:bCs/>
                <w:color w:val="auto"/>
                <w:spacing w:val="0"/>
                <w:kern w:val="0"/>
                <w:position w:val="0"/>
                <w:sz w:val="24"/>
                <w:szCs w:val="24"/>
                <w:highlight w:val="none"/>
                <w:lang w:val="en-US" w:eastAsia="zh-CN" w:bidi="ar-SA"/>
              </w:rPr>
              <w:t>标准干烟气量</w:t>
            </w:r>
            <w:r>
              <w:rPr>
                <w:rFonts w:hint="default" w:ascii="Times New Roman" w:hAnsi="Times New Roman" w:eastAsia="宋体" w:cs="Times New Roman"/>
                <w:b/>
                <w:bCs/>
                <w:color w:val="auto"/>
                <w:spacing w:val="0"/>
                <w:kern w:val="0"/>
                <w:position w:val="0"/>
                <w:sz w:val="24"/>
                <w:szCs w:val="24"/>
                <w:highlight w:val="none"/>
                <w:lang w:val="en-US" w:eastAsia="zh-CN" w:bidi="ar-SA"/>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b w:val="0"/>
                <w:bCs/>
                <w:color w:val="auto"/>
                <w:spacing w:val="0"/>
                <w:kern w:val="0"/>
                <w:position w:val="0"/>
                <w:sz w:val="24"/>
                <w:szCs w:val="24"/>
                <w:highlight w:val="none"/>
                <w:lang w:val="en-US" w:eastAsia="zh-CN" w:bidi="ar-SA"/>
              </w:rPr>
            </w:pPr>
            <w:r>
              <w:rPr>
                <w:rFonts w:hint="eastAsia" w:ascii="Times New Roman" w:hAnsi="Times New Roman" w:eastAsia="宋体" w:cs="Times New Roman"/>
                <w:b w:val="0"/>
                <w:bCs/>
                <w:color w:val="auto"/>
                <w:spacing w:val="0"/>
                <w:kern w:val="0"/>
                <w:position w:val="0"/>
                <w:sz w:val="24"/>
                <w:szCs w:val="24"/>
                <w:highlight w:val="none"/>
                <w:lang w:val="en-US" w:eastAsia="zh-CN" w:bidi="ar-SA"/>
              </w:rPr>
              <w:t>根据《排污许可证申请与核发技术规范</w:t>
            </w:r>
            <w:r>
              <w:rPr>
                <w:rFonts w:hint="eastAsia" w:ascii="Times New Roman" w:hAnsi="Times New Roman" w:eastAsia="宋体" w:cs="Times New Roman"/>
                <w:bCs/>
                <w:color w:val="auto"/>
                <w:spacing w:val="0"/>
                <w:kern w:val="0"/>
                <w:position w:val="0"/>
                <w:sz w:val="24"/>
                <w:szCs w:val="24"/>
                <w:highlight w:val="none"/>
                <w:lang w:val="en-US" w:eastAsia="zh-CN" w:bidi="ar-SA"/>
              </w:rPr>
              <w:t xml:space="preserve"> </w:t>
            </w:r>
            <w:r>
              <w:rPr>
                <w:rFonts w:hint="eastAsia" w:ascii="Times New Roman" w:hAnsi="Times New Roman" w:eastAsia="宋体" w:cs="Times New Roman"/>
                <w:b w:val="0"/>
                <w:bCs/>
                <w:color w:val="auto"/>
                <w:spacing w:val="0"/>
                <w:kern w:val="0"/>
                <w:position w:val="0"/>
                <w:sz w:val="24"/>
                <w:szCs w:val="24"/>
                <w:highlight w:val="none"/>
                <w:lang w:val="en-US" w:eastAsia="zh-CN" w:bidi="ar-SA"/>
              </w:rPr>
              <w:t>锅炉》（HJ953-2018）</w:t>
            </w:r>
            <w:r>
              <w:rPr>
                <w:rFonts w:hint="default" w:ascii="Times New Roman" w:hAnsi="Times New Roman" w:eastAsia="宋体" w:cs="Times New Roman"/>
                <w:b w:val="0"/>
                <w:bCs/>
                <w:color w:val="auto"/>
                <w:spacing w:val="0"/>
                <w:kern w:val="0"/>
                <w:position w:val="0"/>
                <w:sz w:val="24"/>
                <w:szCs w:val="24"/>
                <w:highlight w:val="none"/>
                <w:lang w:val="en-US" w:eastAsia="zh-CN" w:bidi="ar-SA"/>
              </w:rPr>
              <w:t>中</w:t>
            </w:r>
            <w:r>
              <w:rPr>
                <w:rFonts w:hint="eastAsia" w:ascii="Times New Roman" w:hAnsi="Times New Roman" w:eastAsia="宋体" w:cs="Times New Roman"/>
                <w:b w:val="0"/>
                <w:bCs/>
                <w:color w:val="auto"/>
                <w:spacing w:val="0"/>
                <w:kern w:val="0"/>
                <w:position w:val="0"/>
                <w:sz w:val="24"/>
                <w:szCs w:val="24"/>
                <w:highlight w:val="none"/>
                <w:lang w:val="en-US" w:eastAsia="zh-CN" w:bidi="ar-SA"/>
              </w:rPr>
              <w:t>基准烟气量-经验</w:t>
            </w:r>
            <w:r>
              <w:rPr>
                <w:rFonts w:hint="eastAsia" w:cs="Times New Roman"/>
                <w:b w:val="0"/>
                <w:bCs/>
                <w:color w:val="auto"/>
                <w:spacing w:val="0"/>
                <w:kern w:val="0"/>
                <w:position w:val="0"/>
                <w:sz w:val="24"/>
                <w:szCs w:val="24"/>
                <w:highlight w:val="none"/>
                <w:lang w:val="en-US" w:eastAsia="zh-CN" w:bidi="ar-SA"/>
              </w:rPr>
              <w:t>公式</w:t>
            </w:r>
            <w:r>
              <w:rPr>
                <w:rFonts w:hint="eastAsia" w:ascii="Times New Roman" w:hAnsi="Times New Roman" w:eastAsia="宋体" w:cs="Times New Roman"/>
                <w:b w:val="0"/>
                <w:bCs/>
                <w:color w:val="auto"/>
                <w:spacing w:val="0"/>
                <w:kern w:val="0"/>
                <w:position w:val="0"/>
                <w:sz w:val="24"/>
                <w:szCs w:val="24"/>
                <w:highlight w:val="none"/>
                <w:lang w:val="en-US" w:eastAsia="zh-CN" w:bidi="ar-SA"/>
              </w:rPr>
              <w:t>估算法：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pacing w:val="0"/>
                <w:kern w:val="0"/>
                <w:position w:val="0"/>
                <w:sz w:val="24"/>
                <w:szCs w:val="24"/>
                <w:highlight w:val="none"/>
                <w:lang w:val="en-US" w:eastAsia="zh-CN" w:bidi="ar-SA"/>
              </w:rPr>
            </w:pPr>
            <w:r>
              <w:rPr>
                <w:rFonts w:hint="default" w:ascii="Times New Roman" w:hAnsi="Times New Roman" w:eastAsia="宋体" w:cs="Times New Roman"/>
                <w:bCs/>
                <w:color w:val="auto"/>
                <w:spacing w:val="0"/>
                <w:kern w:val="0"/>
                <w:position w:val="0"/>
                <w:sz w:val="24"/>
                <w:szCs w:val="24"/>
                <w:highlight w:val="none"/>
                <w:lang w:val="en-US" w:eastAsia="zh-CN" w:bidi="ar-SA"/>
              </w:rPr>
              <w:t>V</w:t>
            </w:r>
            <w:r>
              <w:rPr>
                <w:rFonts w:hint="default" w:ascii="Times New Roman" w:hAnsi="Times New Roman" w:eastAsia="宋体" w:cs="Times New Roman"/>
                <w:bCs/>
                <w:color w:val="auto"/>
                <w:spacing w:val="0"/>
                <w:kern w:val="0"/>
                <w:position w:val="0"/>
                <w:sz w:val="24"/>
                <w:szCs w:val="24"/>
                <w:highlight w:val="none"/>
                <w:vertAlign w:val="subscript"/>
                <w:lang w:val="en-US" w:eastAsia="zh-CN" w:bidi="ar-SA"/>
              </w:rPr>
              <w:t>gy</w:t>
            </w:r>
            <w:r>
              <w:rPr>
                <w:rFonts w:hint="default" w:ascii="Times New Roman" w:hAnsi="Times New Roman" w:eastAsia="宋体" w:cs="Times New Roman"/>
                <w:bCs/>
                <w:color w:val="auto"/>
                <w:spacing w:val="0"/>
                <w:kern w:val="0"/>
                <w:position w:val="0"/>
                <w:sz w:val="24"/>
                <w:szCs w:val="24"/>
                <w:highlight w:val="none"/>
                <w:lang w:val="en-US" w:eastAsia="zh-CN" w:bidi="ar-SA"/>
              </w:rPr>
              <w:t>=0</w:t>
            </w:r>
            <w:r>
              <w:rPr>
                <w:rFonts w:hint="eastAsia" w:ascii="Times New Roman" w:hAnsi="Times New Roman" w:eastAsia="宋体" w:cs="Times New Roman"/>
                <w:bCs/>
                <w:color w:val="auto"/>
                <w:spacing w:val="0"/>
                <w:kern w:val="0"/>
                <w:position w:val="0"/>
                <w:sz w:val="24"/>
                <w:szCs w:val="24"/>
                <w:highlight w:val="none"/>
                <w:lang w:val="en-US" w:eastAsia="zh-CN" w:bidi="ar-SA"/>
              </w:rPr>
              <w:t>.285</w:t>
            </w:r>
            <w:r>
              <w:rPr>
                <w:rFonts w:hint="default" w:ascii="Times New Roman" w:hAnsi="Times New Roman" w:eastAsia="宋体" w:cs="Times New Roman"/>
                <w:bCs/>
                <w:color w:val="auto"/>
                <w:spacing w:val="0"/>
                <w:kern w:val="0"/>
                <w:position w:val="0"/>
                <w:sz w:val="24"/>
                <w:szCs w:val="24"/>
                <w:highlight w:val="none"/>
                <w:lang w:val="en-US" w:eastAsia="zh-CN" w:bidi="ar-SA"/>
              </w:rPr>
              <w:t>Q</w:t>
            </w:r>
            <w:r>
              <w:rPr>
                <w:rFonts w:hint="default" w:ascii="Times New Roman" w:hAnsi="Times New Roman" w:eastAsia="宋体" w:cs="Times New Roman"/>
                <w:bCs/>
                <w:color w:val="auto"/>
                <w:spacing w:val="0"/>
                <w:kern w:val="0"/>
                <w:position w:val="0"/>
                <w:sz w:val="24"/>
                <w:szCs w:val="24"/>
                <w:highlight w:val="none"/>
                <w:vertAlign w:val="subscript"/>
                <w:lang w:val="en-US" w:eastAsia="zh-CN" w:bidi="ar-SA"/>
              </w:rPr>
              <w:t>net</w:t>
            </w:r>
            <w:r>
              <w:rPr>
                <w:rFonts w:hint="default" w:ascii="Times New Roman" w:hAnsi="Times New Roman" w:eastAsia="宋体" w:cs="Times New Roman"/>
                <w:bCs/>
                <w:color w:val="auto"/>
                <w:spacing w:val="0"/>
                <w:kern w:val="0"/>
                <w:position w:val="0"/>
                <w:sz w:val="24"/>
                <w:szCs w:val="24"/>
                <w:highlight w:val="none"/>
                <w:lang w:val="en-US" w:eastAsia="zh-CN" w:bidi="ar-SA"/>
              </w:rPr>
              <w:t>+</w:t>
            </w:r>
            <w:r>
              <w:rPr>
                <w:rFonts w:hint="eastAsia" w:ascii="Times New Roman" w:hAnsi="Times New Roman" w:eastAsia="宋体" w:cs="Times New Roman"/>
                <w:bCs/>
                <w:color w:val="auto"/>
                <w:spacing w:val="0"/>
                <w:kern w:val="0"/>
                <w:position w:val="0"/>
                <w:sz w:val="24"/>
                <w:szCs w:val="24"/>
                <w:highlight w:val="none"/>
                <w:lang w:val="en-US" w:eastAsia="zh-CN" w:bidi="ar-SA"/>
              </w:rPr>
              <w:t>0.343</w:t>
            </w:r>
            <w:r>
              <w:rPr>
                <w:rFonts w:hint="default" w:ascii="Times New Roman" w:hAnsi="Times New Roman" w:eastAsia="宋体" w:cs="Times New Roman"/>
                <w:bCs/>
                <w:color w:val="auto"/>
                <w:spacing w:val="0"/>
                <w:kern w:val="0"/>
                <w:position w:val="0"/>
                <w:sz w:val="24"/>
                <w:szCs w:val="24"/>
                <w:highlight w:val="none"/>
                <w:lang w:val="en-US" w:eastAsia="zh-CN" w:bidi="ar-SA"/>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pacing w:val="0"/>
                <w:kern w:val="0"/>
                <w:position w:val="0"/>
                <w:sz w:val="24"/>
                <w:szCs w:val="24"/>
                <w:highlight w:val="none"/>
                <w:lang w:val="en-US" w:eastAsia="zh-CN" w:bidi="ar-SA"/>
              </w:rPr>
            </w:pPr>
            <w:r>
              <w:rPr>
                <w:rFonts w:hint="default" w:ascii="Times New Roman" w:hAnsi="Times New Roman" w:eastAsia="宋体" w:cs="Times New Roman"/>
                <w:bCs/>
                <w:color w:val="auto"/>
                <w:spacing w:val="0"/>
                <w:kern w:val="0"/>
                <w:position w:val="0"/>
                <w:sz w:val="24"/>
                <w:szCs w:val="24"/>
                <w:highlight w:val="none"/>
                <w:lang w:val="en-US" w:eastAsia="zh-CN" w:bidi="ar-SA"/>
              </w:rPr>
              <w:t>式中：Q</w:t>
            </w:r>
            <w:r>
              <w:rPr>
                <w:rFonts w:hint="default" w:ascii="Times New Roman" w:hAnsi="Times New Roman" w:eastAsia="宋体" w:cs="Times New Roman"/>
                <w:bCs/>
                <w:color w:val="auto"/>
                <w:spacing w:val="0"/>
                <w:kern w:val="0"/>
                <w:position w:val="0"/>
                <w:sz w:val="24"/>
                <w:szCs w:val="24"/>
                <w:highlight w:val="none"/>
                <w:vertAlign w:val="subscript"/>
                <w:lang w:val="en-US" w:eastAsia="zh-CN" w:bidi="ar-SA"/>
              </w:rPr>
              <w:t>net</w:t>
            </w:r>
            <w:r>
              <w:rPr>
                <w:rFonts w:hint="default" w:ascii="Times New Roman" w:hAnsi="Times New Roman" w:eastAsia="宋体" w:cs="Times New Roman"/>
                <w:bCs/>
                <w:color w:val="auto"/>
                <w:spacing w:val="0"/>
                <w:kern w:val="0"/>
                <w:position w:val="0"/>
                <w:sz w:val="24"/>
                <w:szCs w:val="24"/>
                <w:highlight w:val="none"/>
                <w:lang w:val="en-US" w:eastAsia="zh-CN" w:bidi="ar-SA"/>
              </w:rPr>
              <w:t>——低位发热量，根据</w:t>
            </w:r>
            <w:r>
              <w:rPr>
                <w:rFonts w:hint="eastAsia" w:ascii="Times New Roman" w:hAnsi="Times New Roman" w:eastAsia="宋体" w:cs="Times New Roman"/>
                <w:bCs/>
                <w:color w:val="auto"/>
                <w:spacing w:val="0"/>
                <w:kern w:val="0"/>
                <w:position w:val="0"/>
                <w:sz w:val="24"/>
                <w:szCs w:val="24"/>
                <w:highlight w:val="none"/>
                <w:lang w:val="en-US" w:eastAsia="zh-CN" w:bidi="ar-SA"/>
              </w:rPr>
              <w:t>天然气组分报告可知，本项目低位发热量为，本项目</w:t>
            </w:r>
            <w:r>
              <w:rPr>
                <w:rFonts w:hint="default" w:ascii="Times New Roman" w:hAnsi="Times New Roman" w:eastAsia="宋体" w:cs="Times New Roman"/>
                <w:bCs/>
                <w:color w:val="auto"/>
                <w:spacing w:val="0"/>
                <w:kern w:val="0"/>
                <w:position w:val="0"/>
                <w:sz w:val="24"/>
                <w:szCs w:val="24"/>
                <w:highlight w:val="none"/>
                <w:lang w:val="en-US" w:eastAsia="zh-CN" w:bidi="ar-SA"/>
              </w:rPr>
              <w:t>取</w:t>
            </w:r>
            <w:r>
              <w:rPr>
                <w:rFonts w:hint="eastAsia" w:ascii="Times New Roman" w:hAnsi="Times New Roman" w:eastAsia="宋体" w:cs="Times New Roman"/>
                <w:bCs/>
                <w:color w:val="auto"/>
                <w:spacing w:val="0"/>
                <w:kern w:val="0"/>
                <w:position w:val="0"/>
                <w:sz w:val="24"/>
                <w:szCs w:val="24"/>
                <w:highlight w:val="none"/>
                <w:lang w:val="en-US" w:eastAsia="zh-CN" w:bidi="ar-SA"/>
              </w:rPr>
              <w:t>32.53</w:t>
            </w:r>
            <w:r>
              <w:rPr>
                <w:rFonts w:hint="default" w:ascii="Times New Roman" w:hAnsi="Times New Roman" w:eastAsia="宋体" w:cs="Times New Roman"/>
                <w:bCs/>
                <w:color w:val="auto"/>
                <w:spacing w:val="0"/>
                <w:kern w:val="0"/>
                <w:position w:val="0"/>
                <w:sz w:val="24"/>
                <w:szCs w:val="24"/>
                <w:highlight w:val="none"/>
                <w:lang w:val="en-US" w:eastAsia="zh-CN" w:bidi="ar-SA"/>
              </w:rPr>
              <w:t>MJ/</w:t>
            </w:r>
            <w:r>
              <w:rPr>
                <w:rFonts w:hint="eastAsia" w:ascii="Times New Roman" w:hAnsi="Times New Roman" w:eastAsia="宋体" w:cs="Times New Roman"/>
                <w:bCs/>
                <w:color w:val="auto"/>
                <w:spacing w:val="0"/>
                <w:kern w:val="0"/>
                <w:position w:val="0"/>
                <w:sz w:val="24"/>
                <w:szCs w:val="24"/>
                <w:highlight w:val="none"/>
                <w:lang w:val="en-US" w:eastAsia="zh-CN" w:bidi="ar-SA"/>
              </w:rPr>
              <w:t>kg</w:t>
            </w:r>
            <w:r>
              <w:rPr>
                <w:rFonts w:hint="default" w:ascii="Times New Roman" w:hAnsi="Times New Roman" w:eastAsia="宋体" w:cs="Times New Roman"/>
                <w:bCs/>
                <w:color w:val="auto"/>
                <w:spacing w:val="0"/>
                <w:kern w:val="0"/>
                <w:position w:val="0"/>
                <w:sz w:val="24"/>
                <w:szCs w:val="24"/>
                <w:highlight w:val="none"/>
                <w:lang w:val="en-US" w:eastAsia="zh-CN" w:bidi="ar-SA"/>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pacing w:val="0"/>
                <w:kern w:val="0"/>
                <w:position w:val="0"/>
                <w:sz w:val="24"/>
                <w:szCs w:val="24"/>
                <w:highlight w:val="none"/>
                <w:lang w:val="en-US" w:eastAsia="zh-CN" w:bidi="ar-SA"/>
              </w:rPr>
            </w:pPr>
            <w:r>
              <w:rPr>
                <w:rFonts w:hint="default" w:ascii="Times New Roman" w:hAnsi="Times New Roman" w:eastAsia="宋体" w:cs="Times New Roman"/>
                <w:bCs/>
                <w:color w:val="auto"/>
                <w:spacing w:val="0"/>
                <w:kern w:val="0"/>
                <w:position w:val="0"/>
                <w:sz w:val="24"/>
                <w:szCs w:val="24"/>
                <w:highlight w:val="none"/>
                <w:lang w:val="en-US" w:eastAsia="zh-CN" w:bidi="ar-SA"/>
              </w:rPr>
              <w:t>V</w:t>
            </w:r>
            <w:r>
              <w:rPr>
                <w:rFonts w:hint="default" w:ascii="Times New Roman" w:hAnsi="Times New Roman" w:eastAsia="宋体" w:cs="Times New Roman"/>
                <w:bCs/>
                <w:color w:val="auto"/>
                <w:spacing w:val="0"/>
                <w:kern w:val="0"/>
                <w:position w:val="0"/>
                <w:sz w:val="24"/>
                <w:szCs w:val="24"/>
                <w:highlight w:val="none"/>
                <w:vertAlign w:val="subscript"/>
                <w:lang w:val="en-US" w:eastAsia="zh-CN" w:bidi="ar-SA"/>
              </w:rPr>
              <w:t>gy</w:t>
            </w:r>
            <w:r>
              <w:rPr>
                <w:rFonts w:hint="default" w:ascii="Times New Roman" w:hAnsi="Times New Roman" w:eastAsia="宋体" w:cs="Times New Roman"/>
                <w:bCs/>
                <w:color w:val="auto"/>
                <w:spacing w:val="0"/>
                <w:kern w:val="0"/>
                <w:position w:val="0"/>
                <w:sz w:val="24"/>
                <w:szCs w:val="24"/>
                <w:highlight w:val="none"/>
                <w:lang w:val="en-US" w:eastAsia="zh-CN" w:bidi="ar-SA"/>
              </w:rPr>
              <w:t>——基准烟气量，V</w:t>
            </w:r>
            <w:r>
              <w:rPr>
                <w:rFonts w:hint="default" w:ascii="Times New Roman" w:hAnsi="Times New Roman" w:eastAsia="宋体" w:cs="Times New Roman"/>
                <w:bCs/>
                <w:color w:val="auto"/>
                <w:spacing w:val="0"/>
                <w:kern w:val="0"/>
                <w:position w:val="0"/>
                <w:sz w:val="24"/>
                <w:szCs w:val="24"/>
                <w:highlight w:val="none"/>
                <w:vertAlign w:val="subscript"/>
                <w:lang w:val="en-US" w:eastAsia="zh-CN" w:bidi="ar-SA"/>
              </w:rPr>
              <w:t>gy</w:t>
            </w:r>
            <w:r>
              <w:rPr>
                <w:rFonts w:hint="default" w:ascii="Times New Roman" w:hAnsi="Times New Roman" w:eastAsia="宋体" w:cs="Times New Roman"/>
                <w:bCs/>
                <w:color w:val="auto"/>
                <w:spacing w:val="0"/>
                <w:kern w:val="0"/>
                <w:position w:val="0"/>
                <w:sz w:val="24"/>
                <w:szCs w:val="24"/>
                <w:highlight w:val="none"/>
                <w:lang w:val="en-US" w:eastAsia="zh-CN" w:bidi="ar-SA"/>
              </w:rPr>
              <w:t>=0.</w:t>
            </w:r>
            <w:r>
              <w:rPr>
                <w:rFonts w:hint="eastAsia" w:ascii="Times New Roman" w:hAnsi="Times New Roman" w:eastAsia="宋体" w:cs="Times New Roman"/>
                <w:bCs/>
                <w:color w:val="auto"/>
                <w:spacing w:val="0"/>
                <w:kern w:val="0"/>
                <w:position w:val="0"/>
                <w:sz w:val="24"/>
                <w:szCs w:val="24"/>
                <w:highlight w:val="none"/>
                <w:lang w:val="en-US" w:eastAsia="zh-CN" w:bidi="ar-SA"/>
              </w:rPr>
              <w:t>285</w:t>
            </w:r>
            <w:r>
              <w:rPr>
                <w:rFonts w:hint="default" w:ascii="Times New Roman" w:hAnsi="Times New Roman" w:eastAsia="宋体" w:cs="Times New Roman"/>
                <w:bCs/>
                <w:color w:val="auto"/>
                <w:spacing w:val="0"/>
                <w:kern w:val="0"/>
                <w:position w:val="0"/>
                <w:sz w:val="24"/>
                <w:szCs w:val="24"/>
                <w:highlight w:val="none"/>
                <w:lang w:val="en-US" w:eastAsia="zh-CN" w:bidi="ar-SA"/>
              </w:rPr>
              <w:t>×</w:t>
            </w:r>
            <w:r>
              <w:rPr>
                <w:rFonts w:hint="eastAsia" w:ascii="Times New Roman" w:hAnsi="Times New Roman" w:eastAsia="宋体" w:cs="Times New Roman"/>
                <w:bCs/>
                <w:color w:val="auto"/>
                <w:spacing w:val="0"/>
                <w:kern w:val="0"/>
                <w:position w:val="0"/>
                <w:sz w:val="24"/>
                <w:szCs w:val="24"/>
                <w:highlight w:val="none"/>
                <w:lang w:val="en-US" w:eastAsia="zh-CN" w:bidi="ar-SA"/>
              </w:rPr>
              <w:t>32.53</w:t>
            </w:r>
            <w:r>
              <w:rPr>
                <w:rFonts w:hint="default" w:ascii="Times New Roman" w:hAnsi="Times New Roman" w:eastAsia="宋体" w:cs="Times New Roman"/>
                <w:bCs/>
                <w:color w:val="auto"/>
                <w:spacing w:val="0"/>
                <w:kern w:val="0"/>
                <w:position w:val="0"/>
                <w:sz w:val="24"/>
                <w:szCs w:val="24"/>
                <w:highlight w:val="none"/>
                <w:lang w:val="en-US" w:eastAsia="zh-CN" w:bidi="ar-SA"/>
              </w:rPr>
              <w:t>+0.</w:t>
            </w:r>
            <w:r>
              <w:rPr>
                <w:rFonts w:hint="eastAsia" w:ascii="Times New Roman" w:hAnsi="Times New Roman" w:eastAsia="宋体" w:cs="Times New Roman"/>
                <w:bCs/>
                <w:color w:val="auto"/>
                <w:spacing w:val="0"/>
                <w:kern w:val="0"/>
                <w:position w:val="0"/>
                <w:sz w:val="24"/>
                <w:szCs w:val="24"/>
                <w:highlight w:val="none"/>
                <w:lang w:val="en-US" w:eastAsia="zh-CN" w:bidi="ar-SA"/>
              </w:rPr>
              <w:t>343</w:t>
            </w:r>
            <w:r>
              <w:rPr>
                <w:rFonts w:hint="default" w:ascii="Times New Roman" w:hAnsi="Times New Roman" w:eastAsia="宋体" w:cs="Times New Roman"/>
                <w:bCs/>
                <w:color w:val="auto"/>
                <w:spacing w:val="0"/>
                <w:kern w:val="0"/>
                <w:position w:val="0"/>
                <w:sz w:val="24"/>
                <w:szCs w:val="24"/>
                <w:highlight w:val="none"/>
                <w:lang w:val="en-US" w:eastAsia="zh-CN" w:bidi="ar-SA"/>
              </w:rPr>
              <w:t>=</w:t>
            </w:r>
            <w:r>
              <w:rPr>
                <w:rFonts w:hint="eastAsia" w:ascii="Times New Roman" w:hAnsi="Times New Roman" w:eastAsia="宋体" w:cs="Times New Roman"/>
                <w:bCs/>
                <w:color w:val="auto"/>
                <w:spacing w:val="0"/>
                <w:kern w:val="0"/>
                <w:position w:val="0"/>
                <w:sz w:val="24"/>
                <w:szCs w:val="24"/>
                <w:highlight w:val="none"/>
                <w:lang w:val="en-US" w:eastAsia="zh-CN" w:bidi="ar-SA"/>
              </w:rPr>
              <w:t>9.614</w:t>
            </w:r>
            <w:r>
              <w:rPr>
                <w:rFonts w:hint="default" w:ascii="Times New Roman" w:hAnsi="Times New Roman" w:eastAsia="宋体" w:cs="Times New Roman"/>
                <w:bCs/>
                <w:color w:val="auto"/>
                <w:spacing w:val="0"/>
                <w:kern w:val="0"/>
                <w:position w:val="0"/>
                <w:sz w:val="24"/>
                <w:szCs w:val="24"/>
                <w:highlight w:val="none"/>
                <w:lang w:val="en-US" w:eastAsia="zh-CN" w:bidi="ar-SA"/>
              </w:rPr>
              <w:t>Nm</w:t>
            </w:r>
            <w:r>
              <w:rPr>
                <w:rFonts w:hint="default" w:ascii="Times New Roman" w:hAnsi="Times New Roman" w:eastAsia="宋体" w:cs="Times New Roman"/>
                <w:bCs/>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bCs/>
                <w:color w:val="auto"/>
                <w:spacing w:val="0"/>
                <w:kern w:val="0"/>
                <w:position w:val="0"/>
                <w:sz w:val="24"/>
                <w:szCs w:val="24"/>
                <w:highlight w:val="none"/>
                <w:lang w:val="en-US" w:eastAsia="zh-CN" w:bidi="ar-SA"/>
              </w:rPr>
              <w:t>/m</w:t>
            </w:r>
            <w:r>
              <w:rPr>
                <w:rFonts w:hint="default" w:ascii="Times New Roman" w:hAnsi="Times New Roman" w:eastAsia="宋体" w:cs="Times New Roman"/>
                <w:bCs/>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bCs/>
                <w:color w:val="auto"/>
                <w:spacing w:val="0"/>
                <w:kern w:val="0"/>
                <w:position w:val="0"/>
                <w:sz w:val="24"/>
                <w:szCs w:val="24"/>
                <w:highlight w:val="none"/>
                <w:lang w:val="en-US" w:eastAsia="zh-CN" w:bidi="ar-SA"/>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color w:val="auto"/>
                <w:spacing w:val="0"/>
                <w:kern w:val="0"/>
                <w:position w:val="0"/>
                <w:sz w:val="24"/>
                <w:szCs w:val="24"/>
                <w:highlight w:val="none"/>
                <w:vertAlign w:val="baseline"/>
                <w:lang w:val="en-US" w:eastAsia="zh-CN"/>
              </w:rPr>
            </w:pPr>
            <w:r>
              <w:rPr>
                <w:rFonts w:hint="default" w:ascii="Times New Roman" w:hAnsi="Times New Roman" w:eastAsia="宋体" w:cs="Times New Roman"/>
                <w:b w:val="0"/>
                <w:bCs/>
                <w:color w:val="auto"/>
                <w:spacing w:val="0"/>
                <w:kern w:val="0"/>
                <w:position w:val="0"/>
                <w:sz w:val="24"/>
                <w:szCs w:val="24"/>
                <w:highlight w:val="none"/>
                <w:lang w:eastAsia="zh-CN"/>
              </w:rPr>
              <w:t>则</w:t>
            </w:r>
            <w:r>
              <w:rPr>
                <w:rFonts w:hint="eastAsia" w:ascii="Times New Roman" w:hAnsi="Times New Roman" w:eastAsia="宋体" w:cs="Times New Roman"/>
                <w:b w:val="0"/>
                <w:color w:val="auto"/>
                <w:spacing w:val="0"/>
                <w:kern w:val="0"/>
                <w:position w:val="0"/>
                <w:sz w:val="24"/>
                <w:highlight w:val="none"/>
                <w:lang w:val="en-US" w:eastAsia="zh-CN"/>
              </w:rPr>
              <w:t>DA001</w:t>
            </w:r>
            <w:r>
              <w:rPr>
                <w:rFonts w:hint="default" w:ascii="Times New Roman" w:hAnsi="Times New Roman" w:eastAsia="宋体" w:cs="Times New Roman"/>
                <w:b w:val="0"/>
                <w:bCs/>
                <w:color w:val="auto"/>
                <w:spacing w:val="0"/>
                <w:kern w:val="0"/>
                <w:position w:val="0"/>
                <w:sz w:val="24"/>
                <w:szCs w:val="24"/>
                <w:highlight w:val="none"/>
                <w:lang w:val="en-US" w:eastAsia="zh-CN"/>
              </w:rPr>
              <w:t>燃气锅炉烟气排放量为</w:t>
            </w:r>
            <w:r>
              <w:rPr>
                <w:rFonts w:hint="eastAsia" w:ascii="Times New Roman" w:hAnsi="Times New Roman" w:eastAsia="宋体" w:cs="Times New Roman"/>
                <w:b w:val="0"/>
                <w:bCs/>
                <w:color w:val="auto"/>
                <w:spacing w:val="0"/>
                <w:kern w:val="0"/>
                <w:position w:val="0"/>
                <w:sz w:val="24"/>
                <w:szCs w:val="24"/>
                <w:highlight w:val="none"/>
                <w:lang w:val="en-US" w:eastAsia="zh-CN"/>
              </w:rPr>
              <w:t>1627650.2</w:t>
            </w:r>
            <w:r>
              <w:rPr>
                <w:rFonts w:hint="default" w:ascii="Times New Roman" w:hAnsi="Times New Roman" w:eastAsia="宋体" w:cs="Times New Roman"/>
                <w:b w:val="0"/>
                <w:bCs/>
                <w:color w:val="auto"/>
                <w:spacing w:val="0"/>
                <w:kern w:val="0"/>
                <w:position w:val="0"/>
                <w:sz w:val="24"/>
                <w:szCs w:val="24"/>
                <w:highlight w:val="none"/>
              </w:rPr>
              <w:t>Nm</w:t>
            </w:r>
            <w:r>
              <w:rPr>
                <w:rFonts w:hint="default" w:ascii="Times New Roman" w:hAnsi="Times New Roman" w:eastAsia="宋体" w:cs="Times New Roman"/>
                <w:b w:val="0"/>
                <w:bCs/>
                <w:color w:val="auto"/>
                <w:spacing w:val="0"/>
                <w:kern w:val="0"/>
                <w:position w:val="0"/>
                <w:sz w:val="24"/>
                <w:szCs w:val="24"/>
                <w:highlight w:val="none"/>
                <w:vertAlign w:val="superscript"/>
              </w:rPr>
              <w:t>3</w:t>
            </w:r>
            <w:r>
              <w:rPr>
                <w:rFonts w:hint="default" w:ascii="Times New Roman" w:hAnsi="Times New Roman" w:eastAsia="宋体" w:cs="Times New Roman"/>
                <w:b w:val="0"/>
                <w:bCs/>
                <w:color w:val="auto"/>
                <w:spacing w:val="0"/>
                <w:kern w:val="0"/>
                <w:position w:val="0"/>
                <w:sz w:val="24"/>
                <w:szCs w:val="24"/>
                <w:highlight w:val="none"/>
                <w:vertAlign w:val="baseline"/>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auto"/>
                <w:spacing w:val="0"/>
                <w:kern w:val="0"/>
                <w:position w:val="0"/>
                <w:sz w:val="21"/>
                <w:highlight w:val="none"/>
              </w:rPr>
            </w:pPr>
            <w:r>
              <w:rPr>
                <w:rFonts w:hint="eastAsia" w:ascii="Times New Roman" w:hAnsi="Times New Roman" w:eastAsia="宋体" w:cs="Times New Roman"/>
                <w:b/>
                <w:color w:val="auto"/>
                <w:spacing w:val="0"/>
                <w:kern w:val="0"/>
                <w:position w:val="0"/>
                <w:sz w:val="24"/>
                <w:highlight w:val="none"/>
              </w:rPr>
              <w:t>颗粒物：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根据《污染源源强核算技术指南 锅炉》（HJ 991-2018）中 5.4式（10）核算本项目颗粒物的排放量，如下：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object>
                <v:shape id="_x0000_i1025" o:spt="75" type="#_x0000_t75" style="height:34pt;width:139.95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式中：E</w: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t>j</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--核算时间段内第j</w:t>
            </w:r>
            <w:r>
              <w:rPr>
                <w:rFonts w:hint="eastAsia" w:cs="Times New Roman"/>
                <w:color w:val="auto"/>
                <w:spacing w:val="0"/>
                <w:kern w:val="0"/>
                <w:position w:val="0"/>
                <w:sz w:val="24"/>
                <w:szCs w:val="24"/>
                <w:highlight w:val="none"/>
                <w:vertAlign w:val="baseline"/>
                <w:lang w:val="en-US" w:eastAsia="zh-CN" w:bidi="ar-SA"/>
              </w:rPr>
              <w:t>种</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污染物排放量；</w:t>
            </w:r>
          </w:p>
          <w:p>
            <w:pPr>
              <w:keepNext w:val="0"/>
              <w:keepLines w:val="0"/>
              <w:pageBreakBefore w:val="0"/>
              <w:widowControl w:val="0"/>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-核算时间段内燃料耗量，t或万m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1"/>
                <w:szCs w:val="24"/>
                <w:highlight w:val="none"/>
                <w:lang w:val="en-US" w:eastAsia="zh-CN" w:bidi="ar-SA"/>
              </w:rPr>
              <w:drawing>
                <wp:inline distT="0" distB="0" distL="114300" distR="114300">
                  <wp:extent cx="180975" cy="238125"/>
                  <wp:effectExtent l="0" t="0" r="0" b="825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3"/>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--产污系数，kg/t或kg/万m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，颗粒物产污系数参考《环境影响评价工程师职业资格登记培训教材-社会区域类环境影响评价》</w:t>
            </w:r>
            <w:r>
              <w:rPr>
                <w:rFonts w:hint="eastAsia" w:ascii="Times New Roman" w:hAnsi="Times New Roman" w:eastAsia="宋体" w:cs="Times New Roman"/>
                <w:color w:val="auto"/>
                <w:spacing w:val="0"/>
                <w:kern w:val="0"/>
                <w:position w:val="0"/>
                <w:sz w:val="24"/>
                <w:szCs w:val="24"/>
                <w:highlight w:val="none"/>
                <w:vertAlign w:val="baseline"/>
                <w:lang w:val="en-US" w:eastAsia="zh-CN" w:bidi="ar-SA"/>
              </w:rPr>
              <w:t>（</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中国环境科学出版社</w:t>
            </w:r>
            <w:r>
              <w:rPr>
                <w:rFonts w:hint="eastAsia" w:ascii="Times New Roman" w:hAnsi="Times New Roman" w:eastAsia="宋体" w:cs="Times New Roman"/>
                <w:color w:val="auto"/>
                <w:spacing w:val="0"/>
                <w:kern w:val="0"/>
                <w:position w:val="0"/>
                <w:sz w:val="24"/>
                <w:szCs w:val="24"/>
                <w:highlight w:val="none"/>
                <w:vertAlign w:val="baseline"/>
                <w:lang w:val="en-US" w:eastAsia="zh-CN" w:bidi="ar-SA"/>
              </w:rPr>
              <w:t>）</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，天然气颗粒物产污系数为1.4千克/万立方米-原料。</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η--</w:t>
            </w:r>
            <w:r>
              <w:rPr>
                <w:rFonts w:hint="eastAsia" w:ascii="Times New Roman" w:hAnsi="Times New Roman" w:eastAsia="宋体" w:cs="Times New Roman"/>
                <w:color w:val="auto"/>
                <w:spacing w:val="0"/>
                <w:kern w:val="0"/>
                <w:position w:val="0"/>
                <w:sz w:val="24"/>
                <w:szCs w:val="24"/>
                <w:highlight w:val="none"/>
                <w:vertAlign w:val="baseline"/>
                <w:lang w:val="en-US" w:eastAsia="zh-CN" w:bidi="ar-SA"/>
              </w:rPr>
              <w:t>污染物脱除效率，%，本项目取值0。</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经计算，</w:t>
            </w:r>
            <w:r>
              <w:rPr>
                <w:rFonts w:hint="eastAsia" w:ascii="Times New Roman" w:hAnsi="Times New Roman" w:eastAsia="宋体" w:cs="Times New Roman"/>
                <w:color w:val="auto"/>
                <w:spacing w:val="0"/>
                <w:kern w:val="0"/>
                <w:position w:val="0"/>
                <w:sz w:val="24"/>
                <w:szCs w:val="24"/>
                <w:highlight w:val="none"/>
                <w:lang w:val="en-US" w:eastAsia="zh-CN" w:bidi="ar-SA"/>
              </w:rPr>
              <w:t>DA001</w:t>
            </w:r>
            <w:r>
              <w:rPr>
                <w:rFonts w:hint="default" w:ascii="Times New Roman" w:hAnsi="Times New Roman" w:eastAsia="宋体" w:cs="Times New Roman"/>
                <w:color w:val="auto"/>
                <w:spacing w:val="0"/>
                <w:kern w:val="0"/>
                <w:position w:val="0"/>
                <w:sz w:val="24"/>
                <w:szCs w:val="24"/>
                <w:highlight w:val="none"/>
                <w:lang w:val="en-US" w:eastAsia="zh-CN" w:bidi="ar-SA"/>
              </w:rPr>
              <w:t>颗粒物的排放量为</w:t>
            </w:r>
            <w:r>
              <w:rPr>
                <w:rFonts w:hint="eastAsia" w:ascii="Times New Roman" w:hAnsi="Times New Roman" w:eastAsia="宋体" w:cs="Times New Roman"/>
                <w:color w:val="auto"/>
                <w:spacing w:val="0"/>
                <w:kern w:val="0"/>
                <w:position w:val="0"/>
                <w:sz w:val="24"/>
                <w:szCs w:val="24"/>
                <w:highlight w:val="none"/>
                <w:lang w:val="en-US" w:eastAsia="zh-CN" w:bidi="ar-SA"/>
              </w:rPr>
              <w:t>0.024t/a</w:t>
            </w:r>
            <w:r>
              <w:rPr>
                <w:rFonts w:hint="default" w:ascii="Times New Roman" w:hAnsi="Times New Roman" w:eastAsia="宋体" w:cs="Times New Roman"/>
                <w:color w:val="auto"/>
                <w:spacing w:val="0"/>
                <w:kern w:val="0"/>
                <w:position w:val="0"/>
                <w:sz w:val="24"/>
                <w:szCs w:val="24"/>
                <w:highlight w:val="none"/>
                <w:lang w:val="en-US" w:eastAsia="zh-CN" w:bidi="ar-SA"/>
              </w:rPr>
              <w:t>，排放速率为</w:t>
            </w:r>
            <w:r>
              <w:rPr>
                <w:rFonts w:hint="eastAsia" w:ascii="Times New Roman" w:hAnsi="Times New Roman" w:eastAsia="宋体" w:cs="Times New Roman"/>
                <w:color w:val="auto"/>
                <w:spacing w:val="0"/>
                <w:kern w:val="0"/>
                <w:position w:val="0"/>
                <w:sz w:val="24"/>
                <w:szCs w:val="24"/>
                <w:highlight w:val="none"/>
                <w:lang w:val="en-US" w:eastAsia="zh-CN" w:bidi="ar-SA"/>
              </w:rPr>
              <w:t>0.011</w:t>
            </w:r>
            <w:r>
              <w:rPr>
                <w:rFonts w:hint="default" w:ascii="Times New Roman" w:hAnsi="Times New Roman" w:eastAsia="宋体" w:cs="Times New Roman"/>
                <w:color w:val="auto"/>
                <w:spacing w:val="0"/>
                <w:kern w:val="0"/>
                <w:position w:val="0"/>
                <w:sz w:val="24"/>
                <w:szCs w:val="24"/>
                <w:highlight w:val="none"/>
                <w:lang w:val="en-US" w:eastAsia="zh-CN" w:bidi="ar-SA"/>
              </w:rPr>
              <w:t>kg/h，排放浓度为</w:t>
            </w:r>
            <w:r>
              <w:rPr>
                <w:rFonts w:hint="eastAsia" w:ascii="Times New Roman" w:hAnsi="Times New Roman" w:eastAsia="宋体" w:cs="Times New Roman"/>
                <w:color w:val="auto"/>
                <w:spacing w:val="0"/>
                <w:kern w:val="0"/>
                <w:position w:val="0"/>
                <w:sz w:val="24"/>
                <w:szCs w:val="24"/>
                <w:highlight w:val="none"/>
                <w:lang w:val="en-US" w:eastAsia="zh-CN" w:bidi="ar-SA"/>
              </w:rPr>
              <w:t>14.7</w:t>
            </w:r>
            <w:r>
              <w:rPr>
                <w:rFonts w:hint="default" w:ascii="Times New Roman" w:hAnsi="Times New Roman" w:eastAsia="宋体" w:cs="Times New Roman"/>
                <w:color w:val="auto"/>
                <w:spacing w:val="0"/>
                <w:kern w:val="0"/>
                <w:position w:val="0"/>
                <w:sz w:val="24"/>
                <w:szCs w:val="24"/>
                <w:highlight w:val="none"/>
                <w:lang w:val="en-US" w:eastAsia="zh-CN" w:bidi="ar-SA"/>
              </w:rPr>
              <w:t>mg/m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lang w:val="en-US" w:eastAsia="zh-CN" w:bidi="ar-SA"/>
              </w:rPr>
            </w:pPr>
            <w:r>
              <w:rPr>
                <w:rFonts w:hint="default" w:ascii="Times New Roman" w:hAnsi="Times New Roman" w:eastAsia="宋体" w:cs="Times New Roman"/>
                <w:b/>
                <w:bCs/>
                <w:color w:val="auto"/>
                <w:spacing w:val="0"/>
                <w:kern w:val="0"/>
                <w:position w:val="0"/>
                <w:sz w:val="24"/>
                <w:szCs w:val="24"/>
                <w:highlight w:val="none"/>
                <w:lang w:val="en-US" w:eastAsia="zh-CN" w:bidi="ar-SA"/>
              </w:rPr>
              <w:t>NO</w:t>
            </w:r>
            <w:r>
              <w:rPr>
                <w:rFonts w:hint="default" w:ascii="Times New Roman" w:hAnsi="Times New Roman" w:eastAsia="宋体" w:cs="Times New Roman"/>
                <w:b/>
                <w:bCs/>
                <w:color w:val="auto"/>
                <w:spacing w:val="0"/>
                <w:kern w:val="0"/>
                <w:position w:val="0"/>
                <w:sz w:val="24"/>
                <w:szCs w:val="24"/>
                <w:highlight w:val="none"/>
                <w:vertAlign w:val="subscript"/>
                <w:lang w:val="en-US" w:eastAsia="zh-CN" w:bidi="ar-SA"/>
              </w:rPr>
              <w:t>x</w:t>
            </w:r>
            <w:r>
              <w:rPr>
                <w:rFonts w:hint="eastAsia" w:cs="Times New Roman"/>
                <w:b/>
                <w:bCs/>
                <w:color w:val="auto"/>
                <w:spacing w:val="0"/>
                <w:kern w:val="0"/>
                <w:position w:val="0"/>
                <w:sz w:val="24"/>
                <w:szCs w:val="24"/>
                <w:highlight w:val="none"/>
                <w:vertAlign w:val="subscript"/>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根据《污染源源强核算技术指南 锅炉》（HJ 991-2018）中 5.1.1、c）式（5）核算本项目 NO</w: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t>X</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的排放量，如下：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object>
                <v:shape id="_x0000_i1026" o:spt="75" type="#_x0000_t75" style="height:38pt;width:171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4">
                  <o:LockedField>false</o:LockedField>
                </o:OLEObject>
              </w:objec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式中：</w:t>
            </w:r>
            <w:r>
              <w:rPr>
                <w:rFonts w:hint="default" w:ascii="Times New Roman" w:hAnsi="Times New Roman" w:eastAsia="宋体" w:cs="Times New Roman"/>
                <w:color w:val="auto"/>
                <w:spacing w:val="0"/>
                <w:kern w:val="0"/>
                <w:position w:val="0"/>
                <w:sz w:val="24"/>
                <w:szCs w:val="24"/>
                <w:highlight w:val="none"/>
                <w:lang w:val="en-US" w:eastAsia="zh-CN" w:bidi="ar-SA"/>
              </w:rPr>
              <w:drawing>
                <wp:inline distT="0" distB="0" distL="114300" distR="114300">
                  <wp:extent cx="333375" cy="238125"/>
                  <wp:effectExtent l="0" t="0" r="0" b="7620"/>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6"/>
                          <a:stretch>
                            <a:fillRect/>
                          </a:stretch>
                        </pic:blipFill>
                        <pic:spPr>
                          <a:xfrm>
                            <a:off x="0" y="0"/>
                            <a:ext cx="333375" cy="238125"/>
                          </a:xfrm>
                          <a:prstGeom prst="rect">
                            <a:avLst/>
                          </a:prstGeom>
                          <a:noFill/>
                          <a:ln>
                            <a:noFill/>
                          </a:ln>
                        </pic:spPr>
                      </pic:pic>
                    </a:graphicData>
                  </a:graphic>
                </wp:inline>
              </w:drawing>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—核算时段内氮氧化物排放量，t；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pacing w:val="0"/>
                <w:kern w:val="0"/>
                <w:position w:val="0"/>
                <w:sz w:val="24"/>
                <w:szCs w:val="24"/>
                <w:highlight w:val="none"/>
                <w:lang w:val="en-US" w:eastAsia="zh-CN" w:bidi="ar-SA"/>
              </w:rPr>
              <w:drawing>
                <wp:inline distT="0" distB="0" distL="114300" distR="114300">
                  <wp:extent cx="333375" cy="238125"/>
                  <wp:effectExtent l="0" t="0" r="9525"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7"/>
                          <a:stretch>
                            <a:fillRect/>
                          </a:stretch>
                        </pic:blipFill>
                        <pic:spPr>
                          <a:xfrm>
                            <a:off x="0" y="0"/>
                            <a:ext cx="333375" cy="238125"/>
                          </a:xfrm>
                          <a:prstGeom prst="rect">
                            <a:avLst/>
                          </a:prstGeom>
                          <a:noFill/>
                          <a:ln>
                            <a:noFill/>
                          </a:ln>
                        </pic:spPr>
                      </pic:pic>
                    </a:graphicData>
                  </a:graphic>
                </wp:inline>
              </w:drawing>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—锅炉炉膛出口氮氧化物质量浓度，mg/m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，本项目采用低氮燃烧</w:t>
            </w:r>
            <w:r>
              <w:rPr>
                <w:rFonts w:hint="eastAsia" w:ascii="Times New Roman" w:hAnsi="Times New Roman" w:eastAsia="宋体" w:cs="Times New Roman"/>
                <w:color w:val="auto"/>
                <w:spacing w:val="0"/>
                <w:kern w:val="0"/>
                <w:position w:val="0"/>
                <w:sz w:val="24"/>
                <w:szCs w:val="24"/>
                <w:highlight w:val="none"/>
                <w:vertAlign w:val="baseline"/>
                <w:lang w:val="en-US" w:eastAsia="zh-CN" w:bidi="ar-SA"/>
              </w:rPr>
              <w:t>器，</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参考</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《关于开展自治区2022年度夏秋季大气污染防治“冬病夏治”工作的通知》（新环大气发</w:t>
            </w:r>
            <w:r>
              <w:rPr>
                <w:rFonts w:hint="eastAsia" w:cs="Times New Roman"/>
                <w:b w:val="0"/>
                <w:bCs w:val="0"/>
                <w:color w:val="auto"/>
                <w:spacing w:val="0"/>
                <w:kern w:val="0"/>
                <w:position w:val="0"/>
                <w:sz w:val="24"/>
                <w:szCs w:val="24"/>
                <w:highlight w:val="none"/>
                <w:lang w:val="en-US" w:eastAsia="zh-CN" w:bidi="ar-SA"/>
              </w:rPr>
              <w:t>〔2022〕483号</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）文件中氮氧化物排放浓度不高于50mg/m</w:t>
            </w:r>
            <w:r>
              <w:rPr>
                <w:rFonts w:hint="eastAsia" w:ascii="Times New Roman" w:hAnsi="Times New Roman" w:eastAsia="宋体" w:cs="Times New Roman"/>
                <w:b w:val="0"/>
                <w:bCs w:val="0"/>
                <w:color w:val="auto"/>
                <w:spacing w:val="0"/>
                <w:kern w:val="0"/>
                <w:position w:val="0"/>
                <w:sz w:val="24"/>
                <w:szCs w:val="24"/>
                <w:highlight w:val="none"/>
                <w:vertAlign w:val="superscript"/>
                <w:lang w:val="en-US" w:eastAsia="zh-CN" w:bidi="ar-SA"/>
              </w:rPr>
              <w:t>3</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的要求，本次核算氮氧化物浓度取50mg/m</w:t>
            </w:r>
            <w:r>
              <w:rPr>
                <w:rFonts w:hint="eastAsia" w:ascii="Times New Roman" w:hAnsi="Times New Roman" w:eastAsia="宋体" w:cs="Times New Roman"/>
                <w:b w:val="0"/>
                <w:bCs w:val="0"/>
                <w:color w:val="auto"/>
                <w:spacing w:val="0"/>
                <w:kern w:val="0"/>
                <w:position w:val="0"/>
                <w:sz w:val="24"/>
                <w:szCs w:val="24"/>
                <w:highlight w:val="none"/>
                <w:vertAlign w:val="superscript"/>
                <w:lang w:val="en-US" w:eastAsia="zh-CN" w:bidi="ar-SA"/>
              </w:rPr>
              <w:t>3</w:t>
            </w:r>
            <w:r>
              <w:rPr>
                <w:rFonts w:hint="eastAsia" w:ascii="Times New Roman" w:hAnsi="Times New Roman" w:eastAsia="宋体" w:cs="Times New Roman"/>
                <w:b w:val="0"/>
                <w:bCs w:val="0"/>
                <w:color w:val="auto"/>
                <w:spacing w:val="0"/>
                <w:kern w:val="0"/>
                <w:position w:val="0"/>
                <w:sz w:val="24"/>
                <w:szCs w:val="24"/>
                <w:highlight w:val="none"/>
                <w:vertAlign w:val="baseline"/>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drawing>
                <wp:inline distT="0" distB="0" distL="114300" distR="114300">
                  <wp:extent cx="142875" cy="200025"/>
                  <wp:effectExtent l="0" t="0" r="9525" b="6985"/>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18"/>
                          <a:stretch>
                            <a:fillRect/>
                          </a:stretch>
                        </pic:blipFill>
                        <pic:spPr>
                          <a:xfrm>
                            <a:off x="0" y="0"/>
                            <a:ext cx="142875" cy="200025"/>
                          </a:xfrm>
                          <a:prstGeom prst="rect">
                            <a:avLst/>
                          </a:prstGeom>
                          <a:noFill/>
                          <a:ln>
                            <a:noFill/>
                          </a:ln>
                        </pic:spPr>
                      </pic:pic>
                    </a:graphicData>
                  </a:graphic>
                </wp:inline>
              </w:drawing>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—核算时段内标态干烟气排放量，m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drawing>
                <wp:inline distT="0" distB="0" distL="114300" distR="114300">
                  <wp:extent cx="314325" cy="238125"/>
                  <wp:effectExtent l="0" t="0" r="9525" b="6350"/>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19"/>
                          <a:stretch>
                            <a:fillRect/>
                          </a:stretch>
                        </pic:blipFill>
                        <pic:spPr>
                          <a:xfrm>
                            <a:off x="0" y="0"/>
                            <a:ext cx="314325" cy="238125"/>
                          </a:xfrm>
                          <a:prstGeom prst="rect">
                            <a:avLst/>
                          </a:prstGeom>
                          <a:noFill/>
                          <a:ln>
                            <a:noFill/>
                          </a:ln>
                        </pic:spPr>
                      </pic:pic>
                    </a:graphicData>
                  </a:graphic>
                </wp:inline>
              </w:drawing>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—脱硝效率，%，本项目未配置脱硝设备，</w:t>
            </w:r>
            <w:r>
              <w:rPr>
                <w:rFonts w:hint="default" w:ascii="Times New Roman" w:hAnsi="Times New Roman" w:eastAsia="宋体" w:cs="Times New Roman"/>
                <w:color w:val="auto"/>
                <w:spacing w:val="0"/>
                <w:kern w:val="0"/>
                <w:position w:val="0"/>
                <w:sz w:val="24"/>
                <w:szCs w:val="24"/>
                <w:highlight w:val="none"/>
                <w:lang w:val="en-US" w:eastAsia="zh-CN" w:bidi="ar-SA"/>
              </w:rPr>
              <w:drawing>
                <wp:inline distT="0" distB="0" distL="114300" distR="114300">
                  <wp:extent cx="314325" cy="238125"/>
                  <wp:effectExtent l="0" t="0" r="9525" b="6350"/>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pic:cNvPicPr>
                            <a:picLocks noChangeAspect="1"/>
                          </pic:cNvPicPr>
                        </pic:nvPicPr>
                        <pic:blipFill>
                          <a:blip r:embed="rId19"/>
                          <a:stretch>
                            <a:fillRect/>
                          </a:stretch>
                        </pic:blipFill>
                        <pic:spPr>
                          <a:xfrm>
                            <a:off x="0" y="0"/>
                            <a:ext cx="314325" cy="238125"/>
                          </a:xfrm>
                          <a:prstGeom prst="rect">
                            <a:avLst/>
                          </a:prstGeom>
                          <a:noFill/>
                          <a:ln>
                            <a:noFill/>
                          </a:ln>
                        </pic:spPr>
                      </pic:pic>
                    </a:graphicData>
                  </a:graphic>
                </wp:inline>
              </w:drawing>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contextualSpacing/>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经计算，</w:t>
            </w:r>
            <w:r>
              <w:rPr>
                <w:rFonts w:hint="eastAsia" w:ascii="Times New Roman" w:hAnsi="Times New Roman" w:eastAsia="宋体" w:cs="Times New Roman"/>
                <w:color w:val="auto"/>
                <w:spacing w:val="0"/>
                <w:kern w:val="0"/>
                <w:position w:val="0"/>
                <w:sz w:val="24"/>
                <w:szCs w:val="24"/>
                <w:highlight w:val="none"/>
                <w:lang w:val="en-US" w:eastAsia="zh-CN" w:bidi="ar-SA"/>
              </w:rPr>
              <w:t>DA001NO</w:t>
            </w:r>
            <w:r>
              <w:rPr>
                <w:rFonts w:hint="eastAsia" w:ascii="Times New Roman" w:hAnsi="Times New Roman" w:eastAsia="宋体" w:cs="Times New Roman"/>
                <w:color w:val="auto"/>
                <w:spacing w:val="0"/>
                <w:kern w:val="0"/>
                <w:position w:val="0"/>
                <w:sz w:val="24"/>
                <w:szCs w:val="24"/>
                <w:highlight w:val="none"/>
                <w:vertAlign w:val="subscript"/>
                <w:lang w:val="en-US" w:eastAsia="zh-CN" w:bidi="ar-SA"/>
              </w:rPr>
              <w:t>X</w:t>
            </w:r>
            <w:r>
              <w:rPr>
                <w:rFonts w:hint="default" w:ascii="Times New Roman" w:hAnsi="Times New Roman" w:eastAsia="宋体" w:cs="Times New Roman"/>
                <w:color w:val="auto"/>
                <w:spacing w:val="0"/>
                <w:kern w:val="0"/>
                <w:position w:val="0"/>
                <w:sz w:val="24"/>
                <w:szCs w:val="24"/>
                <w:highlight w:val="none"/>
                <w:lang w:val="en-US" w:eastAsia="zh-CN" w:bidi="ar-SA"/>
              </w:rPr>
              <w:t>的排放量为</w:t>
            </w:r>
            <w:r>
              <w:rPr>
                <w:rFonts w:hint="eastAsia" w:ascii="Times New Roman" w:hAnsi="Times New Roman" w:eastAsia="宋体" w:cs="Times New Roman"/>
                <w:color w:val="auto"/>
                <w:spacing w:val="0"/>
                <w:kern w:val="0"/>
                <w:position w:val="0"/>
                <w:sz w:val="24"/>
                <w:szCs w:val="24"/>
                <w:highlight w:val="none"/>
                <w:lang w:val="en-US" w:eastAsia="zh-CN" w:bidi="ar-SA"/>
              </w:rPr>
              <w:t>0.0</w:t>
            </w:r>
            <w:r>
              <w:rPr>
                <w:rFonts w:hint="eastAsia" w:cs="Times New Roman"/>
                <w:color w:val="auto"/>
                <w:spacing w:val="0"/>
                <w:kern w:val="0"/>
                <w:position w:val="0"/>
                <w:sz w:val="24"/>
                <w:szCs w:val="24"/>
                <w:highlight w:val="none"/>
                <w:lang w:val="en-US" w:eastAsia="zh-CN" w:bidi="ar-SA"/>
              </w:rPr>
              <w:t>81</w:t>
            </w:r>
            <w:r>
              <w:rPr>
                <w:rFonts w:hint="eastAsia" w:ascii="Times New Roman" w:hAnsi="Times New Roman" w:eastAsia="宋体" w:cs="Times New Roman"/>
                <w:color w:val="auto"/>
                <w:spacing w:val="0"/>
                <w:kern w:val="0"/>
                <w:position w:val="0"/>
                <w:sz w:val="24"/>
                <w:szCs w:val="24"/>
                <w:highlight w:val="none"/>
                <w:lang w:val="en-US" w:eastAsia="zh-CN" w:bidi="ar-SA"/>
              </w:rPr>
              <w:t>t/a</w:t>
            </w:r>
            <w:r>
              <w:rPr>
                <w:rFonts w:hint="default" w:ascii="Times New Roman" w:hAnsi="Times New Roman" w:eastAsia="宋体" w:cs="Times New Roman"/>
                <w:color w:val="auto"/>
                <w:spacing w:val="0"/>
                <w:kern w:val="0"/>
                <w:position w:val="0"/>
                <w:sz w:val="24"/>
                <w:szCs w:val="24"/>
                <w:highlight w:val="none"/>
                <w:lang w:val="en-US" w:eastAsia="zh-CN" w:bidi="ar-SA"/>
              </w:rPr>
              <w:t>，排放速率为</w:t>
            </w:r>
            <w:r>
              <w:rPr>
                <w:rFonts w:hint="eastAsia" w:ascii="Times New Roman" w:hAnsi="Times New Roman" w:eastAsia="宋体" w:cs="Times New Roman"/>
                <w:color w:val="auto"/>
                <w:spacing w:val="0"/>
                <w:kern w:val="0"/>
                <w:position w:val="0"/>
                <w:sz w:val="24"/>
                <w:szCs w:val="24"/>
                <w:highlight w:val="none"/>
                <w:lang w:val="en-US" w:eastAsia="zh-CN" w:bidi="ar-SA"/>
              </w:rPr>
              <w:t>0.0</w:t>
            </w:r>
            <w:r>
              <w:rPr>
                <w:rFonts w:hint="eastAsia" w:cs="Times New Roman"/>
                <w:color w:val="auto"/>
                <w:spacing w:val="0"/>
                <w:kern w:val="0"/>
                <w:position w:val="0"/>
                <w:sz w:val="24"/>
                <w:szCs w:val="24"/>
                <w:highlight w:val="none"/>
                <w:lang w:val="en-US" w:eastAsia="zh-CN" w:bidi="ar-SA"/>
              </w:rPr>
              <w:t>38</w:t>
            </w:r>
            <w:r>
              <w:rPr>
                <w:rFonts w:hint="default" w:ascii="Times New Roman" w:hAnsi="Times New Roman" w:eastAsia="宋体" w:cs="Times New Roman"/>
                <w:color w:val="auto"/>
                <w:spacing w:val="0"/>
                <w:kern w:val="0"/>
                <w:position w:val="0"/>
                <w:sz w:val="24"/>
                <w:szCs w:val="24"/>
                <w:highlight w:val="none"/>
                <w:lang w:val="en-US" w:eastAsia="zh-CN" w:bidi="ar-SA"/>
              </w:rPr>
              <w:t>kg/h，排放浓度为</w:t>
            </w:r>
            <w:r>
              <w:rPr>
                <w:rFonts w:hint="eastAsia" w:cs="Times New Roman"/>
                <w:color w:val="auto"/>
                <w:spacing w:val="0"/>
                <w:kern w:val="0"/>
                <w:position w:val="0"/>
                <w:sz w:val="24"/>
                <w:szCs w:val="24"/>
                <w:highlight w:val="none"/>
                <w:lang w:val="en-US" w:eastAsia="zh-CN" w:bidi="ar-SA"/>
              </w:rPr>
              <w:t>50</w:t>
            </w:r>
            <w:r>
              <w:rPr>
                <w:rFonts w:hint="default" w:ascii="Times New Roman" w:hAnsi="Times New Roman" w:eastAsia="宋体" w:cs="Times New Roman"/>
                <w:color w:val="auto"/>
                <w:spacing w:val="0"/>
                <w:kern w:val="0"/>
                <w:position w:val="0"/>
                <w:sz w:val="24"/>
                <w:szCs w:val="24"/>
                <w:highlight w:val="none"/>
                <w:lang w:val="en-US" w:eastAsia="zh-CN" w:bidi="ar-SA"/>
              </w:rPr>
              <w:t>mg/m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w:t>
            </w:r>
          </w:p>
          <w:p>
            <w:pPr>
              <w:keepNext w:val="0"/>
              <w:keepLines w:val="0"/>
              <w:widowControl w:val="0"/>
              <w:suppressLineNumbers w:val="0"/>
              <w:adjustRightInd w:val="0"/>
              <w:snapToGrid w:val="0"/>
              <w:spacing w:before="0" w:beforeLines="0" w:beforeAutospacing="0" w:after="0" w:afterAutospacing="0" w:line="360" w:lineRule="auto"/>
              <w:ind w:left="0" w:right="0" w:firstLine="482" w:firstLineChars="200"/>
              <w:jc w:val="left"/>
              <w:rPr>
                <w:rFonts w:hint="default" w:ascii="Times New Roman" w:hAnsi="Times New Roman" w:eastAsia="宋体" w:cs="Times New Roman"/>
                <w:b/>
                <w:bCs/>
                <w:color w:val="auto"/>
                <w:spacing w:val="0"/>
                <w:kern w:val="0"/>
                <w:position w:val="0"/>
                <w:sz w:val="24"/>
                <w:szCs w:val="24"/>
                <w:highlight w:val="none"/>
                <w:lang w:val="en-US" w:eastAsia="zh-CN" w:bidi="ar-SA"/>
              </w:rPr>
            </w:pPr>
            <w:r>
              <w:rPr>
                <w:rFonts w:hint="default" w:ascii="Times New Roman" w:hAnsi="Times New Roman" w:eastAsia="宋体" w:cs="Times New Roman"/>
                <w:b/>
                <w:bCs/>
                <w:color w:val="auto"/>
                <w:spacing w:val="0"/>
                <w:kern w:val="0"/>
                <w:position w:val="0"/>
                <w:sz w:val="24"/>
                <w:szCs w:val="24"/>
                <w:highlight w:val="none"/>
                <w:lang w:val="en-US" w:eastAsia="zh-CN" w:bidi="ar-SA"/>
              </w:rPr>
              <w:t>SO</w:t>
            </w:r>
            <w:r>
              <w:rPr>
                <w:rFonts w:hint="default" w:ascii="Times New Roman" w:hAnsi="Times New Roman" w:eastAsia="宋体" w:cs="Times New Roman"/>
                <w:b/>
                <w:bCs/>
                <w:color w:val="auto"/>
                <w:spacing w:val="0"/>
                <w:kern w:val="0"/>
                <w:position w:val="0"/>
                <w:sz w:val="24"/>
                <w:szCs w:val="24"/>
                <w:highlight w:val="none"/>
                <w:vertAlign w:val="subscript"/>
                <w:lang w:val="en-US" w:eastAsia="zh-CN" w:bidi="ar-SA"/>
              </w:rPr>
              <w:t>2</w:t>
            </w:r>
            <w:r>
              <w:rPr>
                <w:rFonts w:hint="eastAsia" w:cs="Times New Roman"/>
                <w:b/>
                <w:bCs/>
                <w:color w:val="auto"/>
                <w:spacing w:val="0"/>
                <w:kern w:val="0"/>
                <w:position w:val="0"/>
                <w:sz w:val="24"/>
                <w:szCs w:val="24"/>
                <w:highlight w:val="none"/>
                <w:vertAlign w:val="subscript"/>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根据《污染源源强核算技术指南锅炉》（HJ991-2018）中</w:t>
            </w:r>
            <w:r>
              <w:rPr>
                <w:rFonts w:hint="eastAsia" w:ascii="Times New Roman" w:hAnsi="Times New Roman" w:eastAsia="宋体" w:cs="Times New Roman"/>
                <w:color w:val="auto"/>
                <w:spacing w:val="0"/>
                <w:kern w:val="0"/>
                <w:position w:val="0"/>
                <w:sz w:val="24"/>
                <w:szCs w:val="24"/>
                <w:highlight w:val="none"/>
                <w:lang w:val="en-US" w:eastAsia="zh-CN" w:bidi="ar-SA"/>
              </w:rPr>
              <w:t>“</w:t>
            </w:r>
            <w:r>
              <w:rPr>
                <w:rFonts w:hint="default" w:ascii="Times New Roman" w:hAnsi="Times New Roman" w:eastAsia="宋体" w:cs="Times New Roman"/>
                <w:color w:val="auto"/>
                <w:spacing w:val="0"/>
                <w:kern w:val="0"/>
                <w:position w:val="0"/>
                <w:sz w:val="24"/>
                <w:szCs w:val="24"/>
                <w:highlight w:val="none"/>
                <w:lang w:val="en-US" w:eastAsia="zh-CN" w:bidi="ar-SA"/>
              </w:rPr>
              <w:t>5.1物料衡算法—5.1.2燃油、燃气</w:t>
            </w:r>
            <w:r>
              <w:rPr>
                <w:rFonts w:hint="eastAsia" w:ascii="Times New Roman" w:hAnsi="Times New Roman" w:eastAsia="宋体" w:cs="Times New Roman"/>
                <w:color w:val="auto"/>
                <w:spacing w:val="0"/>
                <w:kern w:val="0"/>
                <w:position w:val="0"/>
                <w:sz w:val="24"/>
                <w:szCs w:val="24"/>
                <w:highlight w:val="none"/>
                <w:lang w:val="en-US" w:eastAsia="zh-CN" w:bidi="ar-SA"/>
              </w:rPr>
              <w:t>”</w:t>
            </w:r>
            <w:r>
              <w:rPr>
                <w:rFonts w:hint="default" w:ascii="Times New Roman" w:hAnsi="Times New Roman" w:eastAsia="宋体" w:cs="Times New Roman"/>
                <w:color w:val="auto"/>
                <w:spacing w:val="0"/>
                <w:kern w:val="0"/>
                <w:position w:val="0"/>
                <w:sz w:val="24"/>
                <w:szCs w:val="24"/>
                <w:highlight w:val="none"/>
                <w:lang w:val="en-US" w:eastAsia="zh-CN" w:bidi="ar-SA"/>
              </w:rPr>
              <w:t>式（7）核算SO</w: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t>2</w:t>
            </w:r>
            <w:r>
              <w:rPr>
                <w:rFonts w:hint="default" w:ascii="Times New Roman" w:hAnsi="Times New Roman" w:eastAsia="宋体" w:cs="Times New Roman"/>
                <w:color w:val="auto"/>
                <w:spacing w:val="0"/>
                <w:kern w:val="0"/>
                <w:position w:val="0"/>
                <w:sz w:val="24"/>
                <w:szCs w:val="24"/>
                <w:highlight w:val="none"/>
                <w:lang w:val="en-US" w:eastAsia="zh-CN" w:bidi="ar-SA"/>
              </w:rPr>
              <w:t>的排放量，公式如下：</w:t>
            </w:r>
          </w:p>
          <w:p>
            <w:pPr>
              <w:keepNext w:val="0"/>
              <w:keepLines w:val="0"/>
              <w:pageBreakBefore w:val="0"/>
              <w:widowControl w:val="0"/>
              <w:suppressLineNumbers w:val="0"/>
              <w:tabs>
                <w:tab w:val="left" w:pos="3375"/>
              </w:tabs>
              <w:kinsoku/>
              <w:wordWrap/>
              <w:overflowPunct/>
              <w:topLinePunct w:val="0"/>
              <w:autoSpaceDE/>
              <w:autoSpaceDN/>
              <w:bidi w:val="0"/>
              <w:adjustRightInd w:val="0"/>
              <w:snapToGrid w:val="0"/>
              <w:spacing w:before="0" w:beforeAutospacing="0" w:after="0" w:afterAutospacing="0" w:line="360" w:lineRule="auto"/>
              <w:ind w:left="0" w:right="0" w:firstLine="2640" w:firstLineChars="1100"/>
              <w:jc w:val="both"/>
              <w:textAlignment w:val="auto"/>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object>
                <v:shape id="_x0000_i1027" o:spt="75" type="#_x0000_t75" style="height:19pt;width:22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t xml:space="preserve"> = </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2</w:t>
            </w:r>
            <w:r>
              <w:rPr>
                <w:rFonts w:hint="default" w:ascii="Times New Roman" w:hAnsi="Times New Roman" w:eastAsia="宋体" w:cs="Times New Roman"/>
                <w:color w:val="auto"/>
                <w:spacing w:val="0"/>
                <w:kern w:val="0"/>
                <w:position w:val="0"/>
                <w:sz w:val="24"/>
                <w:szCs w:val="24"/>
                <w:highlight w:val="none"/>
                <w:lang w:val="en-US" w:eastAsia="zh-CN" w:bidi="ar-SA"/>
              </w:rPr>
              <w:t>R×S</w: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t>t</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default" w:ascii="Times New Roman" w:hAnsi="Times New Roman" w:eastAsia="宋体" w:cs="Times New Roman"/>
                <w:color w:val="auto"/>
                <w:spacing w:val="0"/>
                <w:kern w:val="0"/>
                <w:position w:val="0"/>
                <w:sz w:val="24"/>
                <w:szCs w:val="24"/>
                <w:highlight w:val="none"/>
                <w:lang w:val="en-US" w:eastAsia="zh-CN" w:bidi="ar-SA"/>
              </w:rPr>
              <w:object>
                <v:shape id="_x0000_i1028" o:spt="75" type="#_x0000_t75" style="height:34pt;width:48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r>
              <w:rPr>
                <w:rFonts w:hint="default" w:ascii="Times New Roman" w:hAnsi="Times New Roman" w:eastAsia="宋体" w:cs="Times New Roman"/>
                <w:color w:val="auto"/>
                <w:spacing w:val="0"/>
                <w:kern w:val="0"/>
                <w:position w:val="0"/>
                <w:sz w:val="24"/>
                <w:szCs w:val="24"/>
                <w:highlight w:val="none"/>
                <w:lang w:val="en-US" w:eastAsia="zh-CN" w:bidi="ar-SA"/>
              </w:rPr>
              <w:t>×K×10</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式中：</w: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object>
                <v:shape id="_x0000_i1029" o:spt="75" type="#_x0000_t75" style="height:19pt;width:22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9" r:id="rId24">
                  <o:LockedField>false</o:LockedField>
                </o:OLEObject>
              </w:object>
            </w:r>
            <w:r>
              <w:rPr>
                <w:rFonts w:hint="default" w:ascii="Times New Roman" w:hAnsi="Times New Roman" w:eastAsia="宋体" w:cs="Times New Roman"/>
                <w:color w:val="auto"/>
                <w:spacing w:val="0"/>
                <w:kern w:val="0"/>
                <w:position w:val="0"/>
                <w:sz w:val="24"/>
                <w:szCs w:val="24"/>
                <w:highlight w:val="none"/>
                <w:lang w:val="en-US" w:eastAsia="zh-CN" w:bidi="ar-SA"/>
              </w:rPr>
              <w:t>—核算时段内二氧化硫排放量，t；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R—核算时段内锅炉燃料耗量，万m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S</w: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t>t</w:t>
            </w:r>
            <w:r>
              <w:rPr>
                <w:rFonts w:hint="default" w:ascii="Times New Roman" w:hAnsi="Times New Roman" w:eastAsia="宋体" w:cs="Times New Roman"/>
                <w:color w:val="auto"/>
                <w:spacing w:val="0"/>
                <w:kern w:val="0"/>
                <w:position w:val="0"/>
                <w:sz w:val="24"/>
                <w:szCs w:val="24"/>
                <w:highlight w:val="none"/>
                <w:lang w:val="en-US" w:eastAsia="zh-CN" w:bidi="ar-SA"/>
              </w:rPr>
              <w:t>—燃料总硫的质量浓度，mg/m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r>
              <w:rPr>
                <w:rFonts w:hint="eastAsia" w:ascii="Times New Roman" w:hAnsi="Times New Roman" w:eastAsia="宋体" w:cs="Times New Roman"/>
                <w:color w:val="auto"/>
                <w:spacing w:val="0"/>
                <w:kern w:val="0"/>
                <w:position w:val="0"/>
                <w:sz w:val="24"/>
                <w:szCs w:val="24"/>
                <w:highlight w:val="none"/>
                <w:lang w:val="en-US" w:eastAsia="zh-CN" w:bidi="ar-SA"/>
              </w:rPr>
              <w:t>0.13mg/m</w:t>
            </w:r>
            <w:r>
              <w:rPr>
                <w:rFonts w:hint="eastAsia"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drawing>
                <wp:inline distT="0" distB="0" distL="114300" distR="114300">
                  <wp:extent cx="161925" cy="228600"/>
                  <wp:effectExtent l="0" t="0" r="952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5"/>
                          <a:stretch>
                            <a:fillRect/>
                          </a:stretch>
                        </pic:blipFill>
                        <pic:spPr>
                          <a:xfrm>
                            <a:off x="0" y="0"/>
                            <a:ext cx="161925" cy="228600"/>
                          </a:xfrm>
                          <a:prstGeom prst="rect">
                            <a:avLst/>
                          </a:prstGeom>
                          <a:noFill/>
                          <a:ln>
                            <a:noFill/>
                          </a:ln>
                        </pic:spPr>
                      </pic:pic>
                    </a:graphicData>
                  </a:graphic>
                </wp:inline>
              </w:drawing>
            </w:r>
            <w:r>
              <w:rPr>
                <w:rFonts w:hint="default" w:ascii="Times New Roman" w:hAnsi="Times New Roman" w:eastAsia="宋体" w:cs="Times New Roman"/>
                <w:color w:val="auto"/>
                <w:spacing w:val="0"/>
                <w:kern w:val="0"/>
                <w:position w:val="0"/>
                <w:sz w:val="24"/>
                <w:szCs w:val="24"/>
                <w:highlight w:val="none"/>
                <w:lang w:val="en-US" w:eastAsia="zh-CN" w:bidi="ar-SA"/>
              </w:rPr>
              <w:t>—脱硫效率，%，取0；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K—燃料中的硫燃烧后氧化成二氧化硫的份额，量纲一的量，取1。</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pacing w:val="0"/>
                <w:kern w:val="0"/>
                <w:position w:val="0"/>
                <w:sz w:val="24"/>
                <w:szCs w:val="24"/>
                <w:highlight w:val="none"/>
                <w:vertAlign w:val="baseline"/>
                <w:lang w:val="en-US" w:eastAsia="zh-CN" w:bidi="ar-SA"/>
              </w:rPr>
            </w:pPr>
            <w:r>
              <w:rPr>
                <w:rFonts w:hint="default" w:ascii="Times New Roman" w:hAnsi="Times New Roman" w:eastAsia="宋体" w:cs="Times New Roman"/>
                <w:color w:val="auto"/>
                <w:spacing w:val="0"/>
                <w:kern w:val="0"/>
                <w:position w:val="0"/>
                <w:sz w:val="24"/>
                <w:szCs w:val="24"/>
                <w:highlight w:val="none"/>
                <w:lang w:val="en-US" w:eastAsia="zh-CN" w:bidi="ar-SA"/>
              </w:rPr>
              <w:t>经计算得，</w:t>
            </w:r>
            <w:r>
              <w:rPr>
                <w:rFonts w:hint="eastAsia" w:ascii="Times New Roman" w:hAnsi="Times New Roman" w:eastAsia="宋体" w:cs="Times New Roman"/>
                <w:color w:val="auto"/>
                <w:spacing w:val="0"/>
                <w:kern w:val="0"/>
                <w:position w:val="0"/>
                <w:sz w:val="24"/>
                <w:szCs w:val="24"/>
                <w:highlight w:val="none"/>
                <w:lang w:val="en-US" w:eastAsia="zh-CN" w:bidi="ar-SA"/>
              </w:rPr>
              <w:t>DA001</w:t>
            </w:r>
            <w:r>
              <w:rPr>
                <w:rFonts w:hint="default" w:ascii="Times New Roman" w:hAnsi="Times New Roman" w:eastAsia="宋体" w:cs="Times New Roman"/>
                <w:color w:val="auto"/>
                <w:spacing w:val="0"/>
                <w:kern w:val="0"/>
                <w:position w:val="0"/>
                <w:sz w:val="24"/>
                <w:szCs w:val="24"/>
                <w:highlight w:val="none"/>
                <w:lang w:val="en-US" w:eastAsia="zh-CN" w:bidi="ar-SA"/>
              </w:rPr>
              <w:t>SO</w:t>
            </w:r>
            <w:r>
              <w:rPr>
                <w:rFonts w:hint="default" w:ascii="Times New Roman" w:hAnsi="Times New Roman" w:eastAsia="宋体" w:cs="Times New Roman"/>
                <w:color w:val="auto"/>
                <w:spacing w:val="0"/>
                <w:kern w:val="0"/>
                <w:position w:val="0"/>
                <w:sz w:val="24"/>
                <w:szCs w:val="24"/>
                <w:highlight w:val="none"/>
                <w:vertAlign w:val="subscript"/>
                <w:lang w:val="en-US" w:eastAsia="zh-CN" w:bidi="ar-SA"/>
              </w:rPr>
              <w:t>2</w:t>
            </w:r>
            <w:r>
              <w:rPr>
                <w:rFonts w:hint="default" w:ascii="Times New Roman" w:hAnsi="Times New Roman" w:eastAsia="宋体" w:cs="Times New Roman"/>
                <w:color w:val="auto"/>
                <w:spacing w:val="0"/>
                <w:kern w:val="0"/>
                <w:position w:val="0"/>
                <w:sz w:val="24"/>
                <w:szCs w:val="24"/>
                <w:highlight w:val="none"/>
                <w:lang w:val="en-US" w:eastAsia="zh-CN" w:bidi="ar-SA"/>
              </w:rPr>
              <w:t>的排放量为</w:t>
            </w:r>
            <w:r>
              <w:rPr>
                <w:rFonts w:hint="eastAsia" w:ascii="Times New Roman" w:hAnsi="Times New Roman" w:eastAsia="宋体" w:cs="Times New Roman"/>
                <w:color w:val="auto"/>
                <w:spacing w:val="0"/>
                <w:kern w:val="0"/>
                <w:position w:val="0"/>
                <w:sz w:val="24"/>
                <w:szCs w:val="24"/>
                <w:highlight w:val="none"/>
                <w:lang w:val="en-US" w:eastAsia="zh-CN" w:bidi="ar-SA"/>
              </w:rPr>
              <w:t>4.4</w:t>
            </w:r>
            <w:r>
              <w:rPr>
                <w:rFonts w:hint="default" w:ascii="Times New Roman" w:hAnsi="Times New Roman" w:eastAsia="宋体" w:cs="Times New Roman"/>
                <w:color w:val="auto"/>
                <w:spacing w:val="0"/>
                <w:kern w:val="0"/>
                <w:position w:val="0"/>
                <w:sz w:val="24"/>
                <w:szCs w:val="24"/>
                <w:highlight w:val="none"/>
                <w:lang w:val="en-US" w:eastAsia="zh-CN" w:bidi="ar-SA"/>
              </w:rPr>
              <w:t>×10</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w:t>
            </w:r>
            <w:r>
              <w:rPr>
                <w:rFonts w:hint="eastAsia" w:ascii="Times New Roman" w:hAnsi="Times New Roman" w:eastAsia="宋体" w:cs="Times New Roman"/>
                <w:color w:val="auto"/>
                <w:spacing w:val="0"/>
                <w:kern w:val="0"/>
                <w:position w:val="0"/>
                <w:sz w:val="24"/>
                <w:szCs w:val="24"/>
                <w:highlight w:val="none"/>
                <w:vertAlign w:val="superscript"/>
                <w:lang w:val="en-US" w:eastAsia="zh-CN" w:bidi="ar-SA"/>
              </w:rPr>
              <w:t>5</w:t>
            </w:r>
            <w:r>
              <w:rPr>
                <w:rFonts w:hint="eastAsia" w:ascii="Times New Roman" w:hAnsi="Times New Roman" w:eastAsia="宋体" w:cs="Times New Roman"/>
                <w:color w:val="auto"/>
                <w:spacing w:val="0"/>
                <w:kern w:val="0"/>
                <w:position w:val="0"/>
                <w:sz w:val="24"/>
                <w:szCs w:val="24"/>
                <w:highlight w:val="none"/>
                <w:lang w:val="en-US" w:eastAsia="zh-CN" w:bidi="ar-SA"/>
              </w:rPr>
              <w:t>t/a</w:t>
            </w:r>
            <w:r>
              <w:rPr>
                <w:rFonts w:hint="default" w:ascii="Times New Roman" w:hAnsi="Times New Roman" w:eastAsia="宋体" w:cs="Times New Roman"/>
                <w:color w:val="auto"/>
                <w:spacing w:val="0"/>
                <w:kern w:val="0"/>
                <w:position w:val="0"/>
                <w:sz w:val="24"/>
                <w:szCs w:val="24"/>
                <w:highlight w:val="none"/>
                <w:lang w:val="en-US" w:eastAsia="zh-CN" w:bidi="ar-SA"/>
              </w:rPr>
              <w:t>，排放速率为</w:t>
            </w:r>
            <w:r>
              <w:rPr>
                <w:rFonts w:hint="eastAsia" w:ascii="Times New Roman" w:hAnsi="Times New Roman" w:eastAsia="宋体" w:cs="Times New Roman"/>
                <w:color w:val="auto"/>
                <w:spacing w:val="0"/>
                <w:kern w:val="0"/>
                <w:position w:val="0"/>
                <w:sz w:val="24"/>
                <w:szCs w:val="24"/>
                <w:highlight w:val="none"/>
                <w:lang w:val="en-US" w:eastAsia="zh-CN" w:bidi="ar-SA"/>
              </w:rPr>
              <w:t>2.03</w:t>
            </w:r>
            <w:r>
              <w:rPr>
                <w:rFonts w:hint="default" w:ascii="Times New Roman" w:hAnsi="Times New Roman" w:eastAsia="宋体" w:cs="Times New Roman"/>
                <w:color w:val="auto"/>
                <w:spacing w:val="0"/>
                <w:kern w:val="0"/>
                <w:position w:val="0"/>
                <w:sz w:val="24"/>
                <w:szCs w:val="24"/>
                <w:highlight w:val="none"/>
                <w:lang w:val="en-US" w:eastAsia="zh-CN" w:bidi="ar-SA"/>
              </w:rPr>
              <w:t>×10</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w:t>
            </w:r>
            <w:r>
              <w:rPr>
                <w:rFonts w:hint="eastAsia" w:ascii="Times New Roman" w:hAnsi="Times New Roman" w:eastAsia="宋体" w:cs="Times New Roman"/>
                <w:color w:val="auto"/>
                <w:spacing w:val="0"/>
                <w:kern w:val="0"/>
                <w:position w:val="0"/>
                <w:sz w:val="24"/>
                <w:szCs w:val="24"/>
                <w:highlight w:val="none"/>
                <w:vertAlign w:val="superscript"/>
                <w:lang w:val="en-US" w:eastAsia="zh-CN" w:bidi="ar-SA"/>
              </w:rPr>
              <w:t>5</w:t>
            </w:r>
            <w:r>
              <w:rPr>
                <w:rFonts w:hint="default" w:ascii="Times New Roman" w:hAnsi="Times New Roman" w:eastAsia="宋体" w:cs="Times New Roman"/>
                <w:color w:val="auto"/>
                <w:spacing w:val="0"/>
                <w:kern w:val="0"/>
                <w:position w:val="0"/>
                <w:sz w:val="24"/>
                <w:szCs w:val="24"/>
                <w:highlight w:val="none"/>
                <w:lang w:val="en-US" w:eastAsia="zh-CN" w:bidi="ar-SA"/>
              </w:rPr>
              <w:t>kg/h，排放浓度为</w:t>
            </w:r>
            <w:r>
              <w:rPr>
                <w:rFonts w:hint="eastAsia" w:ascii="Times New Roman" w:hAnsi="Times New Roman" w:eastAsia="宋体" w:cs="Times New Roman"/>
                <w:color w:val="auto"/>
                <w:spacing w:val="0"/>
                <w:kern w:val="0"/>
                <w:position w:val="0"/>
                <w:sz w:val="24"/>
                <w:szCs w:val="24"/>
                <w:highlight w:val="none"/>
                <w:lang w:val="en-US" w:eastAsia="zh-CN" w:bidi="ar-SA"/>
              </w:rPr>
              <w:t>0.01</w:t>
            </w:r>
            <w:r>
              <w:rPr>
                <w:rFonts w:hint="default" w:ascii="Times New Roman" w:hAnsi="Times New Roman" w:eastAsia="宋体" w:cs="Times New Roman"/>
                <w:color w:val="auto"/>
                <w:spacing w:val="0"/>
                <w:kern w:val="0"/>
                <w:position w:val="0"/>
                <w:sz w:val="24"/>
                <w:szCs w:val="24"/>
                <w:highlight w:val="none"/>
                <w:lang w:val="en-US" w:eastAsia="zh-CN" w:bidi="ar-SA"/>
              </w:rPr>
              <w:t>mg/m</w:t>
            </w:r>
            <w:r>
              <w:rPr>
                <w:rFonts w:hint="default" w:ascii="Times New Roman" w:hAnsi="Times New Roman" w:eastAsia="宋体" w:cs="Times New Roman"/>
                <w:color w:val="auto"/>
                <w:spacing w:val="0"/>
                <w:kern w:val="0"/>
                <w:position w:val="0"/>
                <w:sz w:val="24"/>
                <w:szCs w:val="24"/>
                <w:highlight w:val="none"/>
                <w:vertAlign w:val="superscript"/>
                <w:lang w:val="en-US" w:eastAsia="zh-CN" w:bidi="ar-SA"/>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spacing w:val="0"/>
                <w:kern w:val="0"/>
                <w:position w:val="0"/>
                <w:sz w:val="24"/>
                <w:szCs w:val="24"/>
                <w:vertAlign w:val="baseline"/>
                <w:lang w:val="en-US" w:eastAsia="zh-CN" w:bidi="ar-SA"/>
              </w:rPr>
            </w:pPr>
            <w:r>
              <w:rPr>
                <w:rFonts w:hint="eastAsia" w:ascii="Times New Roman" w:hAnsi="Times New Roman" w:eastAsia="宋体" w:cs="Times New Roman"/>
                <w:color w:val="000000"/>
                <w:spacing w:val="0"/>
                <w:kern w:val="0"/>
                <w:position w:val="0"/>
                <w:sz w:val="24"/>
                <w:szCs w:val="24"/>
                <w:vertAlign w:val="baseline"/>
                <w:lang w:val="en-US" w:eastAsia="zh-CN" w:bidi="ar-SA"/>
              </w:rPr>
              <w:t>计算浓度小于检出限，无意义，故本次SO</w:t>
            </w:r>
            <w:r>
              <w:rPr>
                <w:rFonts w:hint="eastAsia" w:ascii="Times New Roman" w:hAnsi="Times New Roman" w:eastAsia="宋体" w:cs="Times New Roman"/>
                <w:color w:val="000000"/>
                <w:spacing w:val="0"/>
                <w:kern w:val="0"/>
                <w:position w:val="0"/>
                <w:sz w:val="24"/>
                <w:szCs w:val="24"/>
                <w:vertAlign w:val="subscript"/>
                <w:lang w:val="en-US" w:eastAsia="zh-CN" w:bidi="ar-SA"/>
              </w:rPr>
              <w:t>2</w:t>
            </w:r>
            <w:r>
              <w:rPr>
                <w:rFonts w:hint="eastAsia" w:ascii="Times New Roman" w:hAnsi="Times New Roman" w:eastAsia="宋体" w:cs="Times New Roman"/>
                <w:color w:val="000000"/>
                <w:spacing w:val="0"/>
                <w:kern w:val="0"/>
                <w:position w:val="0"/>
                <w:sz w:val="24"/>
                <w:szCs w:val="24"/>
                <w:vertAlign w:val="baseline"/>
                <w:lang w:val="en-US" w:eastAsia="zh-CN" w:bidi="ar-SA"/>
              </w:rPr>
              <w:t>排放浓度取红外线吸收法与紫外线吸收法的检出限2.0mg/m</w:t>
            </w:r>
            <w:r>
              <w:rPr>
                <w:rFonts w:hint="eastAsia" w:ascii="Times New Roman" w:hAnsi="Times New Roman" w:eastAsia="宋体" w:cs="Times New Roman"/>
                <w:color w:val="000000"/>
                <w:spacing w:val="0"/>
                <w:kern w:val="0"/>
                <w:position w:val="0"/>
                <w:sz w:val="24"/>
                <w:szCs w:val="24"/>
                <w:vertAlign w:val="superscript"/>
                <w:lang w:val="en-US" w:eastAsia="zh-CN" w:bidi="ar-SA"/>
              </w:rPr>
              <w:t>3</w:t>
            </w:r>
            <w:r>
              <w:rPr>
                <w:rFonts w:hint="eastAsia" w:ascii="Times New Roman" w:hAnsi="Times New Roman" w:eastAsia="宋体" w:cs="Times New Roman"/>
                <w:color w:val="000000"/>
                <w:spacing w:val="0"/>
                <w:kern w:val="0"/>
                <w:position w:val="0"/>
                <w:sz w:val="24"/>
                <w:szCs w:val="24"/>
                <w:vertAlign w:val="baseline"/>
                <w:lang w:val="en-US" w:eastAsia="zh-CN" w:bidi="ar-SA"/>
              </w:rPr>
              <w:t>进行计算排放量。则</w:t>
            </w:r>
            <w:r>
              <w:rPr>
                <w:rFonts w:hint="eastAsia" w:ascii="Times New Roman" w:hAnsi="Times New Roman" w:eastAsia="宋体" w:cs="Times New Roman"/>
                <w:color w:val="000000"/>
                <w:spacing w:val="0"/>
                <w:kern w:val="0"/>
                <w:position w:val="0"/>
                <w:sz w:val="24"/>
                <w:szCs w:val="24"/>
                <w:lang w:val="en-US" w:eastAsia="zh-CN" w:bidi="ar-SA"/>
              </w:rPr>
              <w:t>DA001</w:t>
            </w:r>
            <w:r>
              <w:rPr>
                <w:rFonts w:hint="default" w:ascii="Times New Roman" w:hAnsi="Times New Roman" w:eastAsia="宋体" w:cs="Times New Roman"/>
                <w:color w:val="000000"/>
                <w:spacing w:val="0"/>
                <w:kern w:val="0"/>
                <w:position w:val="0"/>
                <w:sz w:val="24"/>
                <w:szCs w:val="24"/>
                <w:lang w:val="en-US" w:eastAsia="zh-CN" w:bidi="ar-SA"/>
              </w:rPr>
              <w:t>SO</w:t>
            </w:r>
            <w:r>
              <w:rPr>
                <w:rFonts w:hint="default" w:ascii="Times New Roman" w:hAnsi="Times New Roman" w:eastAsia="宋体" w:cs="Times New Roman"/>
                <w:color w:val="000000"/>
                <w:spacing w:val="0"/>
                <w:kern w:val="0"/>
                <w:position w:val="0"/>
                <w:sz w:val="24"/>
                <w:szCs w:val="24"/>
                <w:vertAlign w:val="subscript"/>
                <w:lang w:val="en-US" w:eastAsia="zh-CN" w:bidi="ar-SA"/>
              </w:rPr>
              <w:t>2</w:t>
            </w:r>
            <w:r>
              <w:rPr>
                <w:rFonts w:hint="default" w:ascii="Times New Roman" w:hAnsi="Times New Roman" w:eastAsia="宋体" w:cs="Times New Roman"/>
                <w:color w:val="000000"/>
                <w:spacing w:val="0"/>
                <w:kern w:val="0"/>
                <w:position w:val="0"/>
                <w:sz w:val="24"/>
                <w:szCs w:val="24"/>
                <w:lang w:val="en-US" w:eastAsia="zh-CN" w:bidi="ar-SA"/>
              </w:rPr>
              <w:t>的排放量为</w:t>
            </w:r>
            <w:r>
              <w:rPr>
                <w:rFonts w:hint="eastAsia" w:ascii="Times New Roman" w:hAnsi="Times New Roman" w:eastAsia="宋体" w:cs="Times New Roman"/>
                <w:color w:val="000000"/>
                <w:spacing w:val="0"/>
                <w:kern w:val="0"/>
                <w:position w:val="0"/>
                <w:sz w:val="24"/>
                <w:szCs w:val="24"/>
                <w:lang w:val="en-US" w:eastAsia="zh-CN" w:bidi="ar-SA"/>
              </w:rPr>
              <w:t>0.003t/a</w:t>
            </w:r>
            <w:r>
              <w:rPr>
                <w:rFonts w:hint="default" w:ascii="Times New Roman" w:hAnsi="Times New Roman" w:eastAsia="宋体" w:cs="Times New Roman"/>
                <w:color w:val="000000"/>
                <w:spacing w:val="0"/>
                <w:kern w:val="0"/>
                <w:position w:val="0"/>
                <w:sz w:val="24"/>
                <w:szCs w:val="24"/>
                <w:lang w:val="en-US" w:eastAsia="zh-CN" w:bidi="ar-SA"/>
              </w:rPr>
              <w:t>，排放速率为</w:t>
            </w:r>
            <w:r>
              <w:rPr>
                <w:rFonts w:hint="eastAsia" w:ascii="Times New Roman" w:hAnsi="Times New Roman" w:eastAsia="宋体" w:cs="Times New Roman"/>
                <w:color w:val="000000"/>
                <w:spacing w:val="0"/>
                <w:kern w:val="0"/>
                <w:position w:val="0"/>
                <w:sz w:val="24"/>
                <w:szCs w:val="24"/>
                <w:lang w:val="en-US" w:eastAsia="zh-CN" w:bidi="ar-SA"/>
              </w:rPr>
              <w:t>0.002</w:t>
            </w:r>
            <w:r>
              <w:rPr>
                <w:rFonts w:hint="default" w:ascii="Times New Roman" w:hAnsi="Times New Roman" w:eastAsia="宋体" w:cs="Times New Roman"/>
                <w:color w:val="000000"/>
                <w:spacing w:val="0"/>
                <w:kern w:val="0"/>
                <w:position w:val="0"/>
                <w:sz w:val="24"/>
                <w:szCs w:val="24"/>
                <w:lang w:val="en-US" w:eastAsia="zh-CN" w:bidi="ar-SA"/>
              </w:rPr>
              <w:t>kg/h，排放浓度为</w:t>
            </w:r>
            <w:r>
              <w:rPr>
                <w:rFonts w:hint="eastAsia" w:ascii="Times New Roman" w:hAnsi="Times New Roman" w:eastAsia="宋体" w:cs="Times New Roman"/>
                <w:color w:val="000000"/>
                <w:spacing w:val="0"/>
                <w:kern w:val="0"/>
                <w:position w:val="0"/>
                <w:sz w:val="24"/>
                <w:szCs w:val="24"/>
                <w:lang w:val="en-US" w:eastAsia="zh-CN" w:bidi="ar-SA"/>
              </w:rPr>
              <w:t>2.0</w:t>
            </w:r>
            <w:r>
              <w:rPr>
                <w:rFonts w:hint="default" w:ascii="Times New Roman" w:hAnsi="Times New Roman" w:eastAsia="宋体" w:cs="Times New Roman"/>
                <w:color w:val="000000"/>
                <w:spacing w:val="0"/>
                <w:kern w:val="0"/>
                <w:position w:val="0"/>
                <w:sz w:val="24"/>
                <w:szCs w:val="24"/>
                <w:lang w:val="en-US" w:eastAsia="zh-CN" w:bidi="ar-SA"/>
              </w:rPr>
              <w:t>mg/m</w:t>
            </w:r>
            <w:r>
              <w:rPr>
                <w:rFonts w:hint="default" w:ascii="Times New Roman" w:hAnsi="Times New Roman" w:eastAsia="宋体" w:cs="Times New Roman"/>
                <w:color w:val="000000"/>
                <w:spacing w:val="0"/>
                <w:kern w:val="0"/>
                <w:position w:val="0"/>
                <w:sz w:val="24"/>
                <w:szCs w:val="24"/>
                <w:vertAlign w:val="superscript"/>
                <w:lang w:val="en-US" w:eastAsia="zh-CN" w:bidi="ar-SA"/>
              </w:rPr>
              <w:t>3</w:t>
            </w:r>
            <w:r>
              <w:rPr>
                <w:rFonts w:hint="default" w:ascii="Times New Roman" w:hAnsi="Times New Roman" w:eastAsia="宋体" w:cs="Times New Roman"/>
                <w:color w:val="000000"/>
                <w:spacing w:val="0"/>
                <w:kern w:val="0"/>
                <w:position w:val="0"/>
                <w:sz w:val="24"/>
                <w:szCs w:val="24"/>
                <w:vertAlign w:val="baseli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b/>
                <w:bCs/>
                <w:spacing w:val="0"/>
                <w:kern w:val="0"/>
                <w:position w:val="0"/>
                <w:sz w:val="24"/>
                <w:highlight w:val="none"/>
                <w:lang w:val="en-US" w:eastAsia="zh-CN"/>
              </w:rPr>
            </w:pPr>
            <w:r>
              <w:rPr>
                <w:rFonts w:hint="eastAsia" w:cs="Times New Roman"/>
                <w:b/>
                <w:bCs/>
                <w:spacing w:val="0"/>
                <w:kern w:val="0"/>
                <w:position w:val="0"/>
                <w:sz w:val="24"/>
                <w:highlight w:val="none"/>
                <w:lang w:val="en-US" w:eastAsia="zh-CN"/>
              </w:rPr>
              <w:t>1.2污水处理站废气</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污水处理站恶臭气体污染源源强核算参考美国EPA对城市污水处理站恶臭污染物产生情况的研究中的相关系数，每处理1g的BOD</w:t>
            </w:r>
            <w:r>
              <w:rPr>
                <w:rFonts w:hint="eastAsia" w:ascii="Times New Roman" w:hAnsi="Times New Roman" w:eastAsia="宋体" w:cs="Times New Roman"/>
                <w:color w:val="000000" w:themeColor="text1"/>
                <w:kern w:val="0"/>
                <w:sz w:val="24"/>
                <w:szCs w:val="24"/>
                <w:highlight w:val="none"/>
                <w:vertAlign w:val="subscript"/>
                <w:lang w:val="en-US" w:eastAsia="zh-CN" w:bidi="ar"/>
                <w14:textFill>
                  <w14:solidFill>
                    <w14:schemeClr w14:val="tx1"/>
                  </w14:solidFill>
                </w14:textFill>
              </w:rPr>
              <w:t>5</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，可产生NH</w:t>
            </w:r>
            <w:r>
              <w:rPr>
                <w:rFonts w:hint="eastAsia" w:ascii="Times New Roman" w:hAnsi="Times New Roman" w:eastAsia="宋体" w:cs="Times New Roman"/>
                <w:color w:val="000000" w:themeColor="text1"/>
                <w:kern w:val="0"/>
                <w:sz w:val="24"/>
                <w:szCs w:val="24"/>
                <w:highlight w:val="none"/>
                <w:vertAlign w:val="subscript"/>
                <w:lang w:val="en-US" w:eastAsia="zh-CN" w:bidi="ar"/>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-N0.0031g和H</w:t>
            </w:r>
            <w:r>
              <w:rPr>
                <w:rFonts w:hint="eastAsia" w:ascii="Times New Roman" w:hAnsi="Times New Roman" w:eastAsia="宋体" w:cs="Times New Roman"/>
                <w:color w:val="000000" w:themeColor="text1"/>
                <w:kern w:val="0"/>
                <w:sz w:val="24"/>
                <w:szCs w:val="24"/>
                <w:highlight w:val="none"/>
                <w:vertAlign w:val="subscript"/>
                <w:lang w:val="en-US" w:eastAsia="zh-CN" w:bidi="ar"/>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S-0.00012g，本项目污水处理站年处理BOD</w:t>
            </w:r>
            <w:r>
              <w:rPr>
                <w:rFonts w:hint="eastAsia" w:ascii="Times New Roman" w:hAnsi="Times New Roman" w:eastAsia="宋体" w:cs="Times New Roman"/>
                <w:color w:val="000000" w:themeColor="text1"/>
                <w:kern w:val="0"/>
                <w:sz w:val="24"/>
                <w:szCs w:val="24"/>
                <w:highlight w:val="none"/>
                <w:vertAlign w:val="subscript"/>
                <w:lang w:val="en-US" w:eastAsia="zh-CN" w:bidi="ar"/>
                <w14:textFill>
                  <w14:solidFill>
                    <w14:schemeClr w14:val="tx1"/>
                  </w14:solidFill>
                </w14:textFill>
              </w:rPr>
              <w:t>5</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处理量约为4.507t/a，NH</w:t>
            </w:r>
            <w:r>
              <w:rPr>
                <w:rFonts w:hint="eastAsia" w:ascii="Times New Roman" w:hAnsi="Times New Roman" w:eastAsia="宋体" w:cs="Times New Roman"/>
                <w:color w:val="000000" w:themeColor="text1"/>
                <w:kern w:val="0"/>
                <w:sz w:val="24"/>
                <w:szCs w:val="24"/>
                <w:highlight w:val="none"/>
                <w:vertAlign w:val="subscript"/>
                <w:lang w:val="en-US" w:eastAsia="zh-CN" w:bidi="ar"/>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产生量为0.014t/a、H</w:t>
            </w:r>
            <w:r>
              <w:rPr>
                <w:rFonts w:hint="eastAsia" w:ascii="Times New Roman" w:hAnsi="Times New Roman" w:eastAsia="宋体" w:cs="Times New Roman"/>
                <w:color w:val="000000" w:themeColor="text1"/>
                <w:kern w:val="0"/>
                <w:sz w:val="24"/>
                <w:szCs w:val="24"/>
                <w:highlight w:val="none"/>
                <w:vertAlign w:val="subscript"/>
                <w:lang w:val="en-US" w:eastAsia="zh-CN" w:bidi="ar"/>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S产生量为0.00054t/a，项目污水处理站恶臭区域采取喷洒除臭剂、池体加盖、周边进行绿化可有效减少恶臭产生。</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b/>
                <w:bCs/>
                <w:spacing w:val="0"/>
                <w:kern w:val="0"/>
                <w:position w:val="0"/>
                <w:sz w:val="24"/>
                <w:highlight w:val="none"/>
                <w:lang w:val="en-US" w:eastAsia="zh-CN"/>
              </w:rPr>
            </w:pPr>
            <w:r>
              <w:rPr>
                <w:rFonts w:hint="eastAsia" w:cs="Times New Roman"/>
                <w:b/>
                <w:bCs/>
                <w:spacing w:val="0"/>
                <w:kern w:val="0"/>
                <w:position w:val="0"/>
                <w:sz w:val="24"/>
                <w:highlight w:val="none"/>
                <w:lang w:val="en-US" w:eastAsia="zh-CN"/>
              </w:rPr>
              <w:t xml:space="preserve">1.3生产过程废气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spacing w:val="0"/>
                <w:kern w:val="0"/>
                <w:position w:val="0"/>
                <w:sz w:val="24"/>
                <w:szCs w:val="24"/>
                <w:lang w:val="en-US" w:eastAsia="zh-CN" w:bidi="ar-SA"/>
              </w:rPr>
            </w:pPr>
            <w:r>
              <w:rPr>
                <w:rFonts w:hint="eastAsia" w:ascii="Times New Roman" w:hAnsi="Times New Roman" w:eastAsia="宋体" w:cs="Times New Roman"/>
                <w:color w:val="000000"/>
                <w:spacing w:val="0"/>
                <w:kern w:val="0"/>
                <w:position w:val="0"/>
                <w:sz w:val="24"/>
                <w:szCs w:val="24"/>
                <w:lang w:val="en-US" w:eastAsia="zh-CN" w:bidi="ar-SA"/>
              </w:rPr>
              <w:t>蒸粮过程中产生的蒸粮废气主要为水蒸气，米香型白酒发酵、过滤、蒸馏、储存过程中产生少量异味废气，属于多组分混合气体，其成分可达几十种。根据《白酒分析与检测技术》，白酒生产过程内除酒精异味外，还有一些臭气成分，如硫化氢、硫醇、乙硫醚、丙烯醛、游离氨、丁酸、戊酸等物质，本项目生产车间各区域内均安装排风扇，因此本项目蒸粮、发酵、过滤、蒸馏、无菌罐罐顶呼吸废气、经车间内换气扇，无组织排放。</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b/>
                <w:bCs/>
                <w:spacing w:val="0"/>
                <w:kern w:val="0"/>
                <w:position w:val="0"/>
                <w:sz w:val="24"/>
                <w:highlight w:val="none"/>
                <w:lang w:val="en-US" w:eastAsia="zh-CN"/>
              </w:rPr>
            </w:pPr>
            <w:r>
              <w:rPr>
                <w:rFonts w:hint="eastAsia" w:cs="Times New Roman"/>
                <w:b/>
                <w:bCs/>
                <w:spacing w:val="0"/>
                <w:kern w:val="0"/>
                <w:position w:val="0"/>
                <w:sz w:val="24"/>
                <w:highlight w:val="none"/>
                <w:lang w:val="en-US" w:eastAsia="zh-CN"/>
              </w:rPr>
              <w:t xml:space="preserve">1.4酒糟暂存异味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spacing w:val="0"/>
                <w:kern w:val="0"/>
                <w:position w:val="0"/>
                <w:sz w:val="24"/>
                <w:szCs w:val="24"/>
                <w:lang w:val="en-US" w:eastAsia="zh-CN" w:bidi="ar-SA"/>
              </w:rPr>
            </w:pPr>
            <w:r>
              <w:rPr>
                <w:rFonts w:hint="eastAsia" w:ascii="Times New Roman" w:hAnsi="Times New Roman" w:eastAsia="宋体" w:cs="Times New Roman"/>
                <w:color w:val="000000"/>
                <w:spacing w:val="0"/>
                <w:kern w:val="0"/>
                <w:position w:val="0"/>
                <w:sz w:val="24"/>
                <w:szCs w:val="24"/>
                <w:lang w:val="en-US" w:eastAsia="zh-CN" w:bidi="ar-SA"/>
              </w:rPr>
              <w:t>本项目酒糟经固液分离后暂存于晾晒区。为减轻酒糟临时暂存时恶臭气体的产生强度及影响，运营期内厂区内存放日期不得超过1天。产生的异味较小对周边影响较小。</w:t>
            </w:r>
          </w:p>
          <w:p>
            <w:pPr>
              <w:pStyle w:val="3"/>
              <w:suppressLineNumbers w:val="0"/>
              <w:bidi w:val="0"/>
              <w:adjustRightInd w:val="0"/>
              <w:snapToGrid w:val="0"/>
              <w:spacing w:before="0" w:beforeAutospacing="0" w:after="0" w:afterAutospacing="0"/>
              <w:ind w:left="0" w:right="0" w:firstLine="0" w:firstLineChars="0"/>
              <w:jc w:val="both"/>
              <w:rPr>
                <w:rFonts w:hint="default" w:ascii="Times New Roman" w:hAnsi="Times New Roman" w:eastAsia="宋体" w:cs="Times New Roman"/>
                <w:color w:val="auto"/>
                <w:highlight w:val="none"/>
                <w:lang w:val="en-US" w:eastAsia="zh-CN"/>
              </w:rPr>
            </w:pPr>
            <w:r>
              <w:rPr>
                <w:rFonts w:hint="eastAsia" w:cs="Times New Roman"/>
                <w:b/>
                <w:bCs/>
                <w:spacing w:val="0"/>
                <w:kern w:val="0"/>
                <w:position w:val="0"/>
                <w:sz w:val="24"/>
                <w:highlight w:val="none"/>
                <w:lang w:val="en-US" w:eastAsia="zh-CN"/>
              </w:rPr>
              <w:t>2、</w:t>
            </w:r>
            <w:r>
              <w:rPr>
                <w:rFonts w:hint="default" w:ascii="Times New Roman" w:hAnsi="Times New Roman" w:eastAsia="宋体" w:cs="Times New Roman"/>
                <w:color w:val="auto"/>
                <w:highlight w:val="none"/>
                <w:lang w:val="en-US" w:eastAsia="zh-CN"/>
              </w:rPr>
              <w:t>废气治理措施及影响分析</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default" w:ascii="Times New Roman" w:hAnsi="Times New Roman" w:eastAsia="宋体" w:cs="Times New Roman"/>
                <w:b/>
                <w:bCs/>
                <w:color w:val="auto"/>
                <w:spacing w:val="0"/>
                <w:kern w:val="0"/>
                <w:position w:val="0"/>
                <w:sz w:val="24"/>
                <w:szCs w:val="24"/>
                <w:highlight w:val="none"/>
                <w:lang w:val="en-US" w:eastAsia="zh-CN" w:bidi="ar-SA"/>
              </w:rPr>
            </w:pPr>
            <w:r>
              <w:rPr>
                <w:rFonts w:hint="default" w:ascii="Times New Roman" w:hAnsi="Times New Roman" w:eastAsia="宋体" w:cs="Times New Roman"/>
                <w:b w:val="0"/>
                <w:bCs w:val="0"/>
                <w:color w:val="auto"/>
                <w:spacing w:val="0"/>
                <w:kern w:val="0"/>
                <w:position w:val="0"/>
                <w:sz w:val="24"/>
                <w:szCs w:val="24"/>
                <w:highlight w:val="none"/>
                <w:lang w:val="en-US" w:eastAsia="zh-CN" w:bidi="ar-SA"/>
              </w:rPr>
              <w:t>项目区运营期</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燃气锅炉</w:t>
            </w:r>
            <w:r>
              <w:rPr>
                <w:rFonts w:hint="default" w:ascii="Times New Roman" w:hAnsi="Times New Roman" w:eastAsia="宋体" w:cs="Times New Roman"/>
                <w:b w:val="0"/>
                <w:bCs w:val="0"/>
                <w:color w:val="auto"/>
                <w:spacing w:val="0"/>
                <w:kern w:val="0"/>
                <w:position w:val="0"/>
                <w:sz w:val="24"/>
                <w:szCs w:val="24"/>
                <w:highlight w:val="none"/>
                <w:lang w:val="en-US" w:eastAsia="zh-CN" w:bidi="ar-SA"/>
              </w:rPr>
              <w:t>主要为</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生产供气</w:t>
            </w:r>
            <w:r>
              <w:rPr>
                <w:rFonts w:hint="default" w:ascii="Times New Roman" w:hAnsi="Times New Roman" w:eastAsia="宋体" w:cs="Times New Roman"/>
                <w:b w:val="0"/>
                <w:bCs w:val="0"/>
                <w:color w:val="auto"/>
                <w:spacing w:val="0"/>
                <w:kern w:val="0"/>
                <w:position w:val="0"/>
                <w:sz w:val="24"/>
                <w:szCs w:val="24"/>
                <w:highlight w:val="none"/>
                <w:lang w:val="en-US" w:eastAsia="zh-CN" w:bidi="ar-SA"/>
              </w:rPr>
              <w:t>，</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燃气锅炉天然气经低氮燃烧器</w:t>
            </w:r>
            <w:r>
              <w:rPr>
                <w:rFonts w:hint="default" w:ascii="Times New Roman" w:hAnsi="Times New Roman" w:eastAsia="宋体" w:cs="Times New Roman"/>
                <w:b w:val="0"/>
                <w:bCs w:val="0"/>
                <w:color w:val="auto"/>
                <w:spacing w:val="0"/>
                <w:kern w:val="0"/>
                <w:position w:val="0"/>
                <w:sz w:val="24"/>
                <w:szCs w:val="24"/>
                <w:highlight w:val="none"/>
                <w:lang w:val="en-US" w:eastAsia="zh-CN" w:bidi="ar-SA"/>
              </w:rPr>
              <w:t>燃烧</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后通过8m</w:t>
            </w:r>
            <w:r>
              <w:rPr>
                <w:rFonts w:hint="default" w:ascii="Times New Roman" w:hAnsi="Times New Roman" w:eastAsia="宋体" w:cs="Times New Roman"/>
                <w:b w:val="0"/>
                <w:bCs w:val="0"/>
                <w:color w:val="auto"/>
                <w:spacing w:val="0"/>
                <w:kern w:val="0"/>
                <w:position w:val="0"/>
                <w:sz w:val="24"/>
                <w:szCs w:val="24"/>
                <w:highlight w:val="none"/>
                <w:lang w:val="en-US" w:eastAsia="zh-CN" w:bidi="ar-SA"/>
              </w:rPr>
              <w:t>高烟囱排放</w:t>
            </w:r>
            <w:r>
              <w:rPr>
                <w:rFonts w:hint="eastAsia" w:cs="Times New Roman"/>
                <w:b w:val="0"/>
                <w:bCs w:val="0"/>
                <w:color w:val="auto"/>
                <w:spacing w:val="0"/>
                <w:kern w:val="0"/>
                <w:position w:val="0"/>
                <w:sz w:val="24"/>
                <w:szCs w:val="24"/>
                <w:highlight w:val="none"/>
                <w:lang w:val="en-US" w:eastAsia="zh-CN" w:bidi="ar-SA"/>
              </w:rPr>
              <w:t>，各污染物</w:t>
            </w:r>
            <w:r>
              <w:rPr>
                <w:rFonts w:hint="default" w:ascii="Times New Roman" w:hAnsi="Times New Roman" w:eastAsia="宋体" w:cs="Times New Roman"/>
                <w:b w:val="0"/>
                <w:bCs w:val="0"/>
                <w:color w:val="auto"/>
                <w:spacing w:val="0"/>
                <w:kern w:val="0"/>
                <w:position w:val="0"/>
                <w:sz w:val="24"/>
                <w:szCs w:val="24"/>
                <w:highlight w:val="none"/>
                <w:lang w:val="en-US" w:eastAsia="zh-CN" w:bidi="ar-SA"/>
              </w:rPr>
              <w:t>浓度均满足《锅炉大气污染物排放标准》（GB13271-2014）中表</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2排放限值</w:t>
            </w:r>
            <w:r>
              <w:rPr>
                <w:rFonts w:hint="default" w:ascii="Times New Roman" w:hAnsi="Times New Roman" w:eastAsia="宋体" w:cs="Times New Roman"/>
                <w:b w:val="0"/>
                <w:bCs w:val="0"/>
                <w:color w:val="auto"/>
                <w:spacing w:val="0"/>
                <w:kern w:val="0"/>
                <w:position w:val="0"/>
                <w:sz w:val="24"/>
                <w:szCs w:val="24"/>
                <w:highlight w:val="none"/>
                <w:lang w:val="en-US" w:eastAsia="zh-CN" w:bidi="ar-SA"/>
              </w:rPr>
              <w:t>要求。</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本项目天然气锅炉采用低氮燃烧技术，属于《排污许可证的申请与核发技术规范 锅炉》（HJ953-2019）中的可行技术。</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eastAsia" w:ascii="Times New Roman" w:hAnsi="Times New Roman" w:eastAsia="宋体" w:cs="Times New Roman"/>
                <w:b w:val="0"/>
                <w:bCs w:val="0"/>
                <w:color w:val="auto"/>
                <w:spacing w:val="0"/>
                <w:kern w:val="0"/>
                <w:position w:val="0"/>
                <w:sz w:val="24"/>
                <w:szCs w:val="24"/>
                <w:highlight w:val="none"/>
                <w:lang w:val="en-US" w:eastAsia="zh-CN" w:bidi="ar-SA"/>
              </w:rPr>
            </w:pP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参考《排污许可证申请与核发技术规范酒、饮料制造工业（发布稿）》（HJ1028-2019）中：</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eastAsia" w:ascii="Times New Roman" w:hAnsi="Times New Roman" w:eastAsia="宋体" w:cs="Times New Roman"/>
                <w:b w:val="0"/>
                <w:bCs w:val="0"/>
                <w:color w:val="auto"/>
                <w:spacing w:val="0"/>
                <w:kern w:val="0"/>
                <w:position w:val="0"/>
                <w:sz w:val="24"/>
                <w:szCs w:val="24"/>
                <w:highlight w:val="none"/>
                <w:lang w:val="en-US" w:eastAsia="zh-CN" w:bidi="ar-SA"/>
              </w:rPr>
            </w:pP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6.2.2无组织废气</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default" w:ascii="Times New Roman" w:hAnsi="Times New Roman" w:eastAsia="宋体" w:cs="Times New Roman"/>
                <w:b w:val="0"/>
                <w:bCs w:val="0"/>
                <w:color w:val="auto"/>
                <w:spacing w:val="0"/>
                <w:kern w:val="0"/>
                <w:position w:val="0"/>
                <w:sz w:val="24"/>
                <w:szCs w:val="24"/>
                <w:highlight w:val="none"/>
                <w:lang w:val="en-US" w:eastAsia="zh-CN" w:bidi="ar-SA"/>
              </w:rPr>
            </w:pPr>
            <w:r>
              <w:rPr>
                <w:rFonts w:hint="default" w:ascii="Times New Roman" w:hAnsi="Times New Roman" w:eastAsia="宋体" w:cs="Times New Roman"/>
                <w:b w:val="0"/>
                <w:bCs w:val="0"/>
                <w:color w:val="auto"/>
                <w:spacing w:val="0"/>
                <w:kern w:val="0"/>
                <w:position w:val="0"/>
                <w:sz w:val="24"/>
                <w:szCs w:val="24"/>
                <w:highlight w:val="none"/>
                <w:lang w:val="en-US" w:eastAsia="zh-CN" w:bidi="ar-SA"/>
              </w:rPr>
              <w:t>酒、饮料制造工业排污单位综合污水处理站、酒糟堆场、果蔬渣堆场、沼渣堆场等无组织废气排放</w:t>
            </w:r>
            <w:r>
              <w:rPr>
                <w:rFonts w:hint="eastAsia" w:cs="Times New Roman"/>
                <w:b w:val="0"/>
                <w:bCs w:val="0"/>
                <w:color w:val="auto"/>
                <w:spacing w:val="0"/>
                <w:kern w:val="0"/>
                <w:position w:val="0"/>
                <w:sz w:val="24"/>
                <w:szCs w:val="24"/>
                <w:highlight w:val="none"/>
                <w:lang w:val="en-US" w:eastAsia="zh-CN" w:bidi="ar-SA"/>
              </w:rPr>
              <w:t>。</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default" w:ascii="Times New Roman" w:hAnsi="Times New Roman" w:eastAsia="宋体" w:cs="Times New Roman"/>
                <w:b w:val="0"/>
                <w:bCs w:val="0"/>
                <w:color w:val="auto"/>
                <w:spacing w:val="0"/>
                <w:kern w:val="0"/>
                <w:position w:val="0"/>
                <w:sz w:val="24"/>
                <w:szCs w:val="24"/>
                <w:highlight w:val="none"/>
                <w:lang w:val="en-US" w:eastAsia="zh-CN" w:bidi="ar-SA"/>
              </w:rPr>
            </w:pPr>
            <w:r>
              <w:rPr>
                <w:rFonts w:hint="default" w:ascii="Times New Roman" w:hAnsi="Times New Roman" w:eastAsia="宋体" w:cs="Times New Roman"/>
                <w:b w:val="0"/>
                <w:bCs w:val="0"/>
                <w:color w:val="auto"/>
                <w:spacing w:val="0"/>
                <w:kern w:val="0"/>
                <w:position w:val="0"/>
                <w:sz w:val="24"/>
                <w:szCs w:val="24"/>
                <w:highlight w:val="none"/>
                <w:lang w:val="en-US" w:eastAsia="zh-CN" w:bidi="ar-SA"/>
              </w:rPr>
              <w:t>污染防治控制要求如下：</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default" w:ascii="Times New Roman" w:hAnsi="Times New Roman" w:eastAsia="宋体" w:cs="Times New Roman"/>
                <w:b w:val="0"/>
                <w:bCs w:val="0"/>
                <w:color w:val="auto"/>
                <w:spacing w:val="0"/>
                <w:kern w:val="0"/>
                <w:position w:val="0"/>
                <w:sz w:val="24"/>
                <w:szCs w:val="24"/>
                <w:highlight w:val="none"/>
                <w:lang w:val="en-US" w:eastAsia="zh-CN" w:bidi="ar-SA"/>
              </w:rPr>
            </w:pPr>
            <w:r>
              <w:rPr>
                <w:rFonts w:hint="default" w:ascii="Times New Roman" w:hAnsi="Times New Roman" w:eastAsia="宋体" w:cs="Times New Roman"/>
                <w:b w:val="0"/>
                <w:bCs w:val="0"/>
                <w:color w:val="auto"/>
                <w:spacing w:val="0"/>
                <w:kern w:val="0"/>
                <w:position w:val="0"/>
                <w:sz w:val="24"/>
                <w:szCs w:val="24"/>
                <w:highlight w:val="none"/>
                <w:lang w:val="en-US" w:eastAsia="zh-CN" w:bidi="ar-SA"/>
              </w:rPr>
              <w:t>a）应对厂内综合污水处理站产生恶臭的区域加罩或加盖，或者投放除臭剂，或者集中收集恶臭气体到除臭装置处理后经排气筒排放。</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default" w:ascii="Times New Roman" w:hAnsi="Times New Roman" w:eastAsia="宋体" w:cs="Times New Roman"/>
                <w:b w:val="0"/>
                <w:bCs w:val="0"/>
                <w:color w:val="auto"/>
                <w:spacing w:val="0"/>
                <w:kern w:val="0"/>
                <w:position w:val="0"/>
                <w:sz w:val="24"/>
                <w:szCs w:val="24"/>
                <w:highlight w:val="none"/>
                <w:lang w:val="en-US" w:eastAsia="zh-CN" w:bidi="ar-SA"/>
              </w:rPr>
            </w:pPr>
            <w:r>
              <w:rPr>
                <w:rFonts w:hint="default" w:ascii="Times New Roman" w:hAnsi="Times New Roman" w:eastAsia="宋体" w:cs="Times New Roman"/>
                <w:b w:val="0"/>
                <w:bCs w:val="0"/>
                <w:color w:val="auto"/>
                <w:spacing w:val="0"/>
                <w:kern w:val="0"/>
                <w:position w:val="0"/>
                <w:sz w:val="24"/>
                <w:szCs w:val="24"/>
                <w:highlight w:val="none"/>
                <w:lang w:val="en-US" w:eastAsia="zh-CN" w:bidi="ar-SA"/>
              </w:rPr>
              <w:t>b）对于有酒糟堆场、果蔬渣堆场、沼渣堆场等的排污单位，堆放的酒糟、果蔬渣、沼渣等应进行覆盖，及时清理堆场、道路上抛洒的酒糟、果蔬渣、沼渣等。</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default" w:ascii="Times New Roman" w:hAnsi="Times New Roman" w:eastAsia="宋体" w:cs="Times New Roman"/>
                <w:b w:val="0"/>
                <w:bCs w:val="0"/>
                <w:color w:val="auto"/>
                <w:spacing w:val="0"/>
                <w:kern w:val="0"/>
                <w:position w:val="0"/>
                <w:sz w:val="24"/>
                <w:szCs w:val="24"/>
                <w:highlight w:val="none"/>
                <w:lang w:val="en-US" w:eastAsia="zh-CN" w:bidi="ar-SA"/>
              </w:rPr>
            </w:pP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本项目污水处理站进行加盖密闭，并定期投加除臭剂；酒糟晾晒场采用抑尘网苫盖，酒糟</w:t>
            </w:r>
            <w:r>
              <w:rPr>
                <w:rFonts w:hint="eastAsia" w:cs="Times New Roman"/>
                <w:b w:val="0"/>
                <w:bCs w:val="0"/>
                <w:color w:val="auto"/>
                <w:spacing w:val="0"/>
                <w:kern w:val="0"/>
                <w:position w:val="0"/>
                <w:sz w:val="24"/>
                <w:szCs w:val="24"/>
                <w:highlight w:val="none"/>
                <w:lang w:val="en-US" w:eastAsia="zh-CN" w:bidi="ar-SA"/>
              </w:rPr>
              <w:t>日产</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日清，外售至周边养殖场内。符合《排污许可证申请与核发技术规范酒、饮料制造工业（发布稿）》（HJ1028-2019）中的要求。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cs="Times New Roman"/>
                <w:b/>
                <w:bCs/>
                <w:spacing w:val="0"/>
                <w:kern w:val="0"/>
                <w:position w:val="0"/>
                <w:sz w:val="24"/>
                <w:highlight w:val="none"/>
                <w:lang w:val="en-US" w:eastAsia="zh-CN"/>
              </w:rPr>
            </w:pPr>
            <w:r>
              <w:rPr>
                <w:rFonts w:hint="eastAsia" w:cs="Times New Roman"/>
                <w:b/>
                <w:bCs/>
                <w:spacing w:val="0"/>
                <w:kern w:val="0"/>
                <w:position w:val="0"/>
                <w:sz w:val="24"/>
                <w:highlight w:val="none"/>
                <w:lang w:val="en-US" w:eastAsia="zh-CN"/>
              </w:rPr>
              <w:t>3、非正常工况</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eastAsia" w:ascii="Times New Roman" w:hAnsi="Times New Roman" w:eastAsia="宋体" w:cs="Times New Roman"/>
                <w:b w:val="0"/>
                <w:bCs w:val="0"/>
                <w:color w:val="auto"/>
                <w:spacing w:val="0"/>
                <w:kern w:val="0"/>
                <w:position w:val="0"/>
                <w:sz w:val="24"/>
                <w:szCs w:val="24"/>
                <w:highlight w:val="none"/>
                <w:lang w:val="en-US" w:eastAsia="zh-CN" w:bidi="ar-SA"/>
              </w:rPr>
            </w:pP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非正常排放指非正常工况下的排放，一般指生产过程中开停（工、炉）、设备检修、工艺设备运转异常等非正常工况下的污染物排放，以及污染物排放控制措施达不到应有效率等情况下的排放。在锅炉开机过程各污染物排放异常，但时间较短可忽略不计。本项目燃气锅炉故障时自动停止运行。</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pacing w:val="0"/>
                <w:kern w:val="0"/>
                <w:position w:val="0"/>
                <w:sz w:val="24"/>
                <w:highlight w:val="none"/>
                <w:lang w:val="en-US" w:eastAsia="zh-CN"/>
              </w:rPr>
            </w:pPr>
            <w:r>
              <w:rPr>
                <w:rFonts w:hint="eastAsia" w:ascii="Times New Roman" w:hAnsi="Times New Roman" w:eastAsia="宋体" w:cs="Times New Roman"/>
                <w:b/>
                <w:bCs/>
                <w:spacing w:val="0"/>
                <w:kern w:val="0"/>
                <w:position w:val="0"/>
                <w:sz w:val="24"/>
                <w:highlight w:val="none"/>
                <w:lang w:val="en-US" w:eastAsia="zh-CN"/>
              </w:rPr>
              <w:t>4、废气监测要求</w:t>
            </w:r>
          </w:p>
          <w:p>
            <w:pPr>
              <w:keepNext/>
              <w:keepLines/>
              <w:widowControl w:val="0"/>
              <w:suppressLineNumbers w:val="0"/>
              <w:adjustRightInd w:val="0"/>
              <w:snapToGrid w:val="0"/>
              <w:spacing w:before="0" w:beforeAutospacing="0" w:after="0" w:afterAutospacing="0" w:line="360" w:lineRule="auto"/>
              <w:ind w:left="0" w:right="0" w:firstLine="480" w:firstLineChars="200"/>
              <w:jc w:val="both"/>
              <w:outlineLvl w:val="1"/>
              <w:rPr>
                <w:rFonts w:hint="eastAsia" w:ascii="Times New Roman" w:hAnsi="Times New Roman" w:eastAsia="宋体" w:cs="Times New Roman"/>
                <w:b w:val="0"/>
                <w:bCs w:val="0"/>
                <w:color w:val="auto"/>
                <w:spacing w:val="0"/>
                <w:kern w:val="0"/>
                <w:position w:val="0"/>
                <w:sz w:val="24"/>
                <w:szCs w:val="24"/>
                <w:highlight w:val="none"/>
                <w:lang w:val="en-US" w:eastAsia="zh-CN" w:bidi="ar-SA"/>
              </w:rPr>
            </w:pP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依据《排污许可证申请与核发技术规范 总则》（HJ 942-2018）、《排污许可证申请与核发技术规范 酒、饮料制造工业》</w:t>
            </w:r>
            <w:r>
              <w:rPr>
                <w:rFonts w:hint="eastAsia" w:cs="Times New Roman"/>
                <w:b w:val="0"/>
                <w:bCs w:val="0"/>
                <w:color w:val="auto"/>
                <w:spacing w:val="0"/>
                <w:kern w:val="0"/>
                <w:position w:val="0"/>
                <w:sz w:val="24"/>
                <w:szCs w:val="24"/>
                <w:highlight w:val="none"/>
                <w:lang w:val="en-US" w:eastAsia="zh-CN" w:bidi="ar-SA"/>
              </w:rPr>
              <w:t>（</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HJ 1028—2019</w:t>
            </w:r>
            <w:r>
              <w:rPr>
                <w:rFonts w:hint="eastAsia" w:cs="Times New Roman"/>
                <w:b w:val="0"/>
                <w:bCs w:val="0"/>
                <w:color w:val="auto"/>
                <w:spacing w:val="0"/>
                <w:kern w:val="0"/>
                <w:position w:val="0"/>
                <w:sz w:val="24"/>
                <w:szCs w:val="24"/>
                <w:highlight w:val="none"/>
                <w:lang w:val="en-US" w:eastAsia="zh-CN" w:bidi="ar-SA"/>
              </w:rPr>
              <w:t>）</w:t>
            </w:r>
            <w:r>
              <w:rPr>
                <w:rFonts w:hint="eastAsia" w:ascii="Times New Roman" w:hAnsi="Times New Roman" w:eastAsia="宋体" w:cs="Times New Roman"/>
                <w:b w:val="0"/>
                <w:bCs w:val="0"/>
                <w:color w:val="auto"/>
                <w:spacing w:val="0"/>
                <w:kern w:val="0"/>
                <w:position w:val="0"/>
                <w:sz w:val="24"/>
                <w:szCs w:val="24"/>
                <w:highlight w:val="none"/>
                <w:lang w:val="en-US" w:eastAsia="zh-CN" w:bidi="ar-SA"/>
              </w:rPr>
              <w:t>、《排污单位自行监测技术指南 酒、饮料制造》（HJ 1085-2020），建议本项目废气监测方案如下。</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both"/>
              <w:textAlignment w:val="auto"/>
              <w:rPr>
                <w:rFonts w:hint="eastAsia" w:cs="Times New Roman"/>
                <w:b/>
                <w:bCs/>
                <w:spacing w:val="0"/>
                <w:kern w:val="0"/>
                <w:position w:val="0"/>
                <w:sz w:val="21"/>
                <w:szCs w:val="21"/>
                <w:highlight w:val="none"/>
                <w:lang w:val="en-US" w:eastAsia="zh-CN"/>
              </w:rPr>
            </w:pPr>
            <w:r>
              <w:rPr>
                <w:rFonts w:hint="eastAsia" w:cs="Times New Roman"/>
                <w:b/>
                <w:bCs/>
                <w:spacing w:val="0"/>
                <w:kern w:val="0"/>
                <w:position w:val="0"/>
                <w:sz w:val="21"/>
                <w:szCs w:val="21"/>
                <w:highlight w:val="none"/>
                <w:lang w:val="en-US" w:eastAsia="zh-CN"/>
              </w:rPr>
              <w:t>表4-4                        环境监测计划</w:t>
            </w:r>
          </w:p>
          <w:tbl>
            <w:tblPr>
              <w:tblStyle w:val="3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19"/>
              <w:gridCol w:w="1382"/>
              <w:gridCol w:w="1145"/>
              <w:gridCol w:w="497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监测点位</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监测因子</w:t>
                  </w:r>
                </w:p>
              </w:tc>
              <w:tc>
                <w:tcPr>
                  <w:tcW w:w="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监测频率</w:t>
                  </w:r>
                </w:p>
              </w:tc>
              <w:tc>
                <w:tcPr>
                  <w:tcW w:w="29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DA001</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颗粒物、SO</w:t>
                  </w:r>
                  <w:r>
                    <w:rPr>
                      <w:rFonts w:hint="eastAsia" w:cs="Times New Roman"/>
                      <w:b w:val="0"/>
                      <w:bCs w:val="0"/>
                      <w:spacing w:val="0"/>
                      <w:kern w:val="0"/>
                      <w:position w:val="0"/>
                      <w:sz w:val="21"/>
                      <w:szCs w:val="21"/>
                      <w:highlight w:val="none"/>
                      <w:vertAlign w:val="subscript"/>
                      <w:lang w:val="en-US" w:eastAsia="zh-CN"/>
                    </w:rPr>
                    <w:t>2</w:t>
                  </w:r>
                  <w:r>
                    <w:rPr>
                      <w:rFonts w:hint="eastAsia" w:cs="Times New Roman"/>
                      <w:b w:val="0"/>
                      <w:bCs w:val="0"/>
                      <w:spacing w:val="0"/>
                      <w:kern w:val="0"/>
                      <w:position w:val="0"/>
                      <w:sz w:val="21"/>
                      <w:szCs w:val="21"/>
                      <w:highlight w:val="none"/>
                      <w:lang w:val="en-US" w:eastAsia="zh-CN"/>
                    </w:rPr>
                    <w:t>、林格曼黑度</w:t>
                  </w:r>
                </w:p>
              </w:tc>
              <w:tc>
                <w:tcPr>
                  <w:tcW w:w="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每年1次</w:t>
                  </w:r>
                </w:p>
              </w:tc>
              <w:tc>
                <w:tcPr>
                  <w:tcW w:w="29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《锅炉大气污染物排放标准》（GB13271-2014）中表2排放限值要求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NO</w:t>
                  </w:r>
                  <w:r>
                    <w:rPr>
                      <w:rFonts w:hint="eastAsia" w:cs="Times New Roman"/>
                      <w:b w:val="0"/>
                      <w:bCs w:val="0"/>
                      <w:spacing w:val="0"/>
                      <w:kern w:val="0"/>
                      <w:position w:val="0"/>
                      <w:sz w:val="21"/>
                      <w:szCs w:val="21"/>
                      <w:highlight w:val="none"/>
                      <w:vertAlign w:val="subscript"/>
                      <w:lang w:val="en-US" w:eastAsia="zh-CN"/>
                    </w:rPr>
                    <w:t>X</w:t>
                  </w:r>
                </w:p>
              </w:tc>
              <w:tc>
                <w:tcPr>
                  <w:tcW w:w="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每月1次</w:t>
                  </w:r>
                </w:p>
              </w:tc>
              <w:tc>
                <w:tcPr>
                  <w:tcW w:w="29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厂界外</w:t>
                  </w:r>
                </w:p>
              </w:tc>
              <w:tc>
                <w:tcPr>
                  <w:tcW w:w="8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臭气浓度</w:t>
                  </w:r>
                </w:p>
              </w:tc>
              <w:tc>
                <w:tcPr>
                  <w:tcW w:w="6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每半年1次</w:t>
                  </w:r>
                </w:p>
              </w:tc>
              <w:tc>
                <w:tcPr>
                  <w:tcW w:w="29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pacing w:val="0"/>
                      <w:kern w:val="0"/>
                      <w:position w:val="0"/>
                      <w:sz w:val="21"/>
                      <w:szCs w:val="21"/>
                      <w:highlight w:val="none"/>
                      <w:lang w:val="en-US" w:eastAsia="zh-CN"/>
                    </w:rPr>
                  </w:pPr>
                  <w:r>
                    <w:rPr>
                      <w:rFonts w:hint="eastAsia" w:cs="Times New Roman"/>
                      <w:b w:val="0"/>
                      <w:bCs w:val="0"/>
                      <w:spacing w:val="0"/>
                      <w:kern w:val="0"/>
                      <w:position w:val="0"/>
                      <w:sz w:val="21"/>
                      <w:szCs w:val="21"/>
                      <w:highlight w:val="none"/>
                      <w:lang w:val="en-US" w:eastAsia="zh-CN"/>
                    </w:rPr>
                    <w:t>《恶臭污染物排放标准》（GB14554-93）</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kern w:val="0"/>
                <w:sz w:val="24"/>
                <w:highlight w:val="none"/>
                <w:lang w:val="en-US" w:eastAsia="zh-CN"/>
              </w:rPr>
            </w:pPr>
            <w:r>
              <w:rPr>
                <w:rFonts w:hint="eastAsia" w:eastAsia="宋体" w:cs="Times New Roman"/>
                <w:b/>
                <w:bCs/>
                <w:kern w:val="0"/>
                <w:sz w:val="24"/>
                <w:highlight w:val="none"/>
                <w:lang w:val="en-US" w:eastAsia="zh-CN"/>
              </w:rPr>
              <w:t>二</w:t>
            </w:r>
            <w:r>
              <w:rPr>
                <w:rFonts w:hint="eastAsia" w:ascii="Times New Roman" w:hAnsi="Times New Roman" w:eastAsia="宋体" w:cs="Times New Roman"/>
                <w:b/>
                <w:bCs/>
                <w:kern w:val="0"/>
                <w:sz w:val="24"/>
                <w:highlight w:val="none"/>
                <w:lang w:val="en-US" w:eastAsia="zh-CN"/>
              </w:rPr>
              <w:t>、</w:t>
            </w:r>
            <w:r>
              <w:rPr>
                <w:rFonts w:hint="default" w:ascii="Times New Roman" w:hAnsi="Times New Roman" w:eastAsia="宋体" w:cs="Times New Roman"/>
                <w:b/>
                <w:bCs/>
                <w:kern w:val="0"/>
                <w:sz w:val="24"/>
                <w:highlight w:val="none"/>
                <w:lang w:val="en-US" w:eastAsia="zh-CN"/>
              </w:rPr>
              <w:t>水环境影响分析及保护措施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kern w:val="0"/>
                <w:sz w:val="24"/>
                <w:highlight w:val="none"/>
                <w:lang w:val="en-US" w:eastAsia="zh-CN"/>
              </w:rPr>
            </w:pPr>
            <w:r>
              <w:rPr>
                <w:rFonts w:hint="eastAsia" w:eastAsia="宋体" w:cs="Times New Roman"/>
                <w:b/>
                <w:bCs/>
                <w:kern w:val="0"/>
                <w:sz w:val="24"/>
                <w:highlight w:val="none"/>
                <w:lang w:val="en-US" w:eastAsia="zh-CN"/>
              </w:rPr>
              <w:t>1、</w:t>
            </w:r>
            <w:r>
              <w:rPr>
                <w:rFonts w:hint="eastAsia" w:ascii="Times New Roman" w:hAnsi="Times New Roman" w:eastAsia="宋体" w:cs="Times New Roman"/>
                <w:b/>
                <w:bCs/>
                <w:kern w:val="0"/>
                <w:sz w:val="24"/>
                <w:highlight w:val="none"/>
                <w:lang w:val="en-US" w:eastAsia="zh-CN"/>
              </w:rPr>
              <w:t>污染源源强分析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cs="Times New Roman"/>
                <w:kern w:val="0"/>
                <w:sz w:val="24"/>
                <w:highlight w:val="none"/>
                <w:lang w:val="en-US" w:eastAsia="zh-CN"/>
              </w:rPr>
            </w:pPr>
            <w:r>
              <w:rPr>
                <w:rFonts w:hint="eastAsia" w:eastAsia="宋体" w:cs="Times New Roman"/>
                <w:kern w:val="0"/>
                <w:sz w:val="24"/>
                <w:highlight w:val="none"/>
                <w:lang w:val="en-US" w:eastAsia="zh-CN"/>
              </w:rPr>
              <w:t>（1）生活污水</w:t>
            </w:r>
          </w:p>
          <w:p>
            <w:pPr>
              <w:widowControl w:val="0"/>
              <w:spacing w:line="360" w:lineRule="auto"/>
              <w:ind w:firstLine="480" w:firstLineChars="200"/>
              <w:jc w:val="both"/>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生活污水的排放量按用水量的80%计，污水产生量为</w:t>
            </w:r>
            <w:r>
              <w:rPr>
                <w:rFonts w:hint="eastAsia" w:cs="Times New Roman"/>
                <w:kern w:val="2"/>
                <w:sz w:val="24"/>
                <w:szCs w:val="24"/>
                <w:highlight w:val="none"/>
                <w:lang w:val="en-US" w:eastAsia="zh-CN" w:bidi="ar-SA"/>
              </w:rPr>
              <w:t>259.2</w:t>
            </w:r>
            <w:r>
              <w:rPr>
                <w:rFonts w:hint="eastAsia" w:ascii="Times New Roman" w:hAnsi="Times New Roman" w:eastAsia="宋体" w:cs="Times New Roman"/>
                <w:kern w:val="2"/>
                <w:sz w:val="24"/>
                <w:szCs w:val="24"/>
                <w:highlight w:val="none"/>
                <w:lang w:val="en-US" w:eastAsia="zh-CN" w:bidi="ar-SA"/>
              </w:rPr>
              <w:t>m</w:t>
            </w:r>
            <w:r>
              <w:rPr>
                <w:rFonts w:hint="eastAsia" w:ascii="Times New Roman" w:hAnsi="Times New Roman" w:eastAsia="宋体" w:cs="Times New Roman"/>
                <w:kern w:val="2"/>
                <w:sz w:val="24"/>
                <w:szCs w:val="24"/>
                <w:highlight w:val="none"/>
                <w:vertAlign w:val="superscript"/>
                <w:lang w:val="en-US" w:eastAsia="zh-CN" w:bidi="ar-SA"/>
              </w:rPr>
              <w:t>3</w:t>
            </w:r>
            <w:r>
              <w:rPr>
                <w:rFonts w:hint="eastAsia" w:ascii="Times New Roman" w:hAnsi="Times New Roman" w:eastAsia="宋体" w:cs="Times New Roman"/>
                <w:kern w:val="2"/>
                <w:sz w:val="24"/>
                <w:szCs w:val="24"/>
                <w:highlight w:val="none"/>
                <w:lang w:val="en-US" w:eastAsia="zh-CN" w:bidi="ar-SA"/>
              </w:rPr>
              <w:t>/a（0.96m</w:t>
            </w:r>
            <w:r>
              <w:rPr>
                <w:rFonts w:hint="eastAsia" w:ascii="Times New Roman" w:hAnsi="Times New Roman" w:eastAsia="宋体" w:cs="Times New Roman"/>
                <w:kern w:val="2"/>
                <w:sz w:val="24"/>
                <w:szCs w:val="24"/>
                <w:highlight w:val="none"/>
                <w:vertAlign w:val="superscript"/>
                <w:lang w:val="en-US" w:eastAsia="zh-CN" w:bidi="ar-SA"/>
              </w:rPr>
              <w:t>3</w:t>
            </w:r>
            <w:r>
              <w:rPr>
                <w:rFonts w:hint="eastAsia" w:ascii="Times New Roman" w:hAnsi="Times New Roman" w:eastAsia="宋体" w:cs="Times New Roman"/>
                <w:kern w:val="2"/>
                <w:sz w:val="24"/>
                <w:szCs w:val="24"/>
                <w:highlight w:val="none"/>
                <w:lang w:val="en-US" w:eastAsia="zh-CN" w:bidi="ar-SA"/>
              </w:rPr>
              <w:t>/d）。项目产生的生活污水排入园区下水管网，最终进入</w:t>
            </w:r>
            <w:r>
              <w:rPr>
                <w:rFonts w:hint="eastAsia" w:cs="Times New Roman"/>
                <w:kern w:val="2"/>
                <w:sz w:val="24"/>
                <w:szCs w:val="24"/>
                <w:highlight w:val="none"/>
                <w:lang w:val="en-US" w:eastAsia="zh-CN" w:bidi="ar-SA"/>
              </w:rPr>
              <w:t>焉耆县污水处理厂</w:t>
            </w:r>
            <w:r>
              <w:rPr>
                <w:rFonts w:hint="eastAsia" w:ascii="Times New Roman" w:hAnsi="Times New Roman" w:eastAsia="宋体" w:cs="Times New Roman"/>
                <w:kern w:val="2"/>
                <w:sz w:val="24"/>
                <w:szCs w:val="24"/>
                <w:highlight w:val="none"/>
                <w:lang w:val="en-US" w:eastAsia="zh-CN" w:bidi="ar-SA"/>
              </w:rPr>
              <w:t>处理。SS产生浓度参考《社会区域类影响评价/环境影响评价工程师职业资格登记培训教材》中房地产项目取值；CODcr、BOD</w:t>
            </w:r>
            <w:r>
              <w:rPr>
                <w:rFonts w:hint="eastAsia" w:ascii="Times New Roman" w:hAnsi="Times New Roman" w:eastAsia="宋体" w:cs="Times New Roman"/>
                <w:kern w:val="2"/>
                <w:sz w:val="24"/>
                <w:szCs w:val="24"/>
                <w:highlight w:val="none"/>
                <w:vertAlign w:val="subscript"/>
                <w:lang w:val="en-US" w:eastAsia="zh-CN" w:bidi="ar-SA"/>
              </w:rPr>
              <w:t>5</w:t>
            </w:r>
            <w:r>
              <w:rPr>
                <w:rFonts w:hint="eastAsia" w:ascii="Times New Roman" w:hAnsi="Times New Roman" w:eastAsia="宋体" w:cs="Times New Roman"/>
                <w:kern w:val="2"/>
                <w:sz w:val="24"/>
                <w:szCs w:val="24"/>
                <w:highlight w:val="none"/>
                <w:lang w:val="en-US" w:eastAsia="zh-CN" w:bidi="ar-SA"/>
              </w:rPr>
              <w:t>、氨氮、TP、TN参考《排放源统计调查产排污核算方法和系数手册》中“集中式污染治理设施产排污系数手册”巴音郭楞蒙古自治州污水处理厂进水水质浓度，则本项目生活污水产生浓度为COD313.4mg/L、氨氮47.7mg/L、BOD</w:t>
            </w:r>
            <w:r>
              <w:rPr>
                <w:rFonts w:hint="eastAsia" w:ascii="Times New Roman" w:hAnsi="Times New Roman" w:eastAsia="宋体" w:cs="Times New Roman"/>
                <w:kern w:val="2"/>
                <w:sz w:val="24"/>
                <w:szCs w:val="24"/>
                <w:highlight w:val="none"/>
                <w:vertAlign w:val="subscript"/>
                <w:lang w:val="en-US" w:eastAsia="zh-CN" w:bidi="ar-SA"/>
              </w:rPr>
              <w:t>5</w:t>
            </w:r>
            <w:r>
              <w:rPr>
                <w:rFonts w:hint="eastAsia" w:ascii="Times New Roman" w:hAnsi="Times New Roman" w:eastAsia="宋体" w:cs="Times New Roman"/>
                <w:kern w:val="2"/>
                <w:sz w:val="24"/>
                <w:szCs w:val="24"/>
                <w:highlight w:val="none"/>
                <w:lang w:val="en-US" w:eastAsia="zh-CN" w:bidi="ar-SA"/>
              </w:rPr>
              <w:t>114.2mg/L、SS194.7mg/L。</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w:t>
            </w:r>
            <w:r>
              <w:rPr>
                <w:rFonts w:hint="eastAsia" w:eastAsia="宋体" w:cs="Times New Roman"/>
                <w:kern w:val="0"/>
                <w:sz w:val="24"/>
                <w:highlight w:val="none"/>
                <w:lang w:val="en-US" w:eastAsia="zh-CN"/>
              </w:rPr>
              <w:t>2</w:t>
            </w:r>
            <w:r>
              <w:rPr>
                <w:rFonts w:hint="eastAsia" w:ascii="Times New Roman" w:hAnsi="Times New Roman" w:eastAsia="宋体" w:cs="Times New Roman"/>
                <w:kern w:val="0"/>
                <w:sz w:val="24"/>
                <w:highlight w:val="none"/>
                <w:lang w:val="en-US" w:eastAsia="zh-CN"/>
              </w:rPr>
              <w:t>）生产废水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sz w:val="24"/>
                <w:highlight w:val="none"/>
                <w:lang w:val="en-US" w:eastAsia="zh-CN"/>
              </w:rPr>
            </w:pPr>
            <w:r>
              <w:rPr>
                <w:rFonts w:hint="eastAsia" w:cs="Times New Roman"/>
                <w:sz w:val="24"/>
                <w:highlight w:val="none"/>
                <w:lang w:val="en-US" w:eastAsia="zh-CN"/>
              </w:rPr>
              <w:t>本项目生产废水浓度参考山东省环境保护产业协会发布的《固态发酵白酒制造业废水碳源利用技术规程》（T/SDEPI 037-2023）团体标准。</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both"/>
              <w:textAlignment w:val="auto"/>
              <w:rPr>
                <w:rFonts w:hint="eastAsia" w:cs="Times New Roman"/>
                <w:sz w:val="24"/>
                <w:highlight w:val="none"/>
                <w:lang w:val="en-US" w:eastAsia="zh-CN"/>
              </w:rPr>
            </w:pPr>
            <w:r>
              <w:rPr>
                <w:rFonts w:hint="eastAsia" w:cs="Times New Roman"/>
                <w:b/>
                <w:bCs/>
                <w:sz w:val="24"/>
                <w:highlight w:val="none"/>
                <w:lang w:val="en-US" w:eastAsia="zh-CN"/>
              </w:rPr>
              <w:t>表4-5         各生产环节产生废水水质范围</w:t>
            </w:r>
          </w:p>
          <w:tbl>
            <w:tblPr>
              <w:tblStyle w:val="117"/>
              <w:tblW w:w="8500" w:type="dxa"/>
              <w:tblInd w:w="7"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20"/>
              <w:gridCol w:w="651"/>
              <w:gridCol w:w="1508"/>
              <w:gridCol w:w="1316"/>
              <w:gridCol w:w="1102"/>
              <w:gridCol w:w="1051"/>
              <w:gridCol w:w="862"/>
              <w:gridCol w:w="109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54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废水种类</w:t>
                  </w:r>
                </w:p>
              </w:tc>
              <w:tc>
                <w:tcPr>
                  <w:tcW w:w="4458"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水质分析指标（mg/L ，pH无量纲）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54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pH</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COD</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BOD</w:t>
                  </w:r>
                  <w:r>
                    <w:rPr>
                      <w:rFonts w:hint="eastAsia" w:cs="Times New Roman"/>
                      <w:sz w:val="21"/>
                      <w:szCs w:val="21"/>
                      <w:highlight w:val="none"/>
                      <w:vertAlign w:val="subscript"/>
                      <w:lang w:val="en-US" w:eastAsia="zh-CN"/>
                    </w:rPr>
                    <w:t>5</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SS</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NH</w:t>
                  </w:r>
                  <w:r>
                    <w:rPr>
                      <w:rFonts w:hint="eastAsia" w:cs="Times New Roman"/>
                      <w:sz w:val="21"/>
                      <w:szCs w:val="21"/>
                      <w:highlight w:val="none"/>
                      <w:vertAlign w:val="subscript"/>
                      <w:lang w:val="en-US" w:eastAsia="zh-CN"/>
                    </w:rPr>
                    <w:t>3</w:t>
                  </w:r>
                  <w:r>
                    <w:rPr>
                      <w:rFonts w:hint="eastAsia" w:cs="Times New Roman"/>
                      <w:sz w:val="21"/>
                      <w:szCs w:val="21"/>
                      <w:highlight w:val="none"/>
                      <w:lang w:val="en-US" w:eastAsia="zh-CN"/>
                    </w:rPr>
                    <w:t>-N</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TN</w:t>
                  </w:r>
                </w:p>
              </w:tc>
              <w:tc>
                <w:tcPr>
                  <w:tcW w:w="6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锅底水</w:t>
                  </w: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4.5~5.5</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10000~ 100000</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8000~ 15000</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100~800</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50~ 150</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80~200</w:t>
                  </w:r>
                </w:p>
              </w:tc>
              <w:tc>
                <w:tcPr>
                  <w:tcW w:w="6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可作为碳源利用的高浓度废水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黄水</w:t>
                  </w: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3.5~5.5</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100000~300000</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50000~180000</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200~ 1000</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400~2000</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600~3500</w:t>
                  </w:r>
                </w:p>
              </w:tc>
              <w:tc>
                <w:tcPr>
                  <w:tcW w:w="6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纯水制备浓水</w:t>
                  </w: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6~9</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&lt;50</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&lt;10</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&lt;10</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w:t>
                  </w:r>
                </w:p>
              </w:tc>
              <w:tc>
                <w:tcPr>
                  <w:tcW w:w="6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其他废水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洗瓶废水</w:t>
                  </w: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6~9</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200~350</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w:t>
                  </w:r>
                </w:p>
              </w:tc>
              <w:tc>
                <w:tcPr>
                  <w:tcW w:w="6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车间地面及设备冲洗废水</w:t>
                  </w: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5.5~6.5</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&lt;5000</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&lt;1000</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&lt;800</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&lt;35</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&lt;50</w:t>
                  </w:r>
                </w:p>
              </w:tc>
              <w:tc>
                <w:tcPr>
                  <w:tcW w:w="6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生活废水</w:t>
                  </w: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6~9</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200~600</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150~400</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50~3200</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20~45</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30~70</w:t>
                  </w:r>
                </w:p>
              </w:tc>
              <w:tc>
                <w:tcPr>
                  <w:tcW w:w="6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喷淋废水</w:t>
                  </w:r>
                </w:p>
              </w:tc>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6~9</w:t>
                  </w:r>
                </w:p>
              </w:tc>
              <w:tc>
                <w:tcPr>
                  <w:tcW w:w="8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&lt;1000</w:t>
                  </w:r>
                </w:p>
              </w:tc>
              <w:tc>
                <w:tcPr>
                  <w:tcW w:w="7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&lt;500</w:t>
                  </w:r>
                </w:p>
              </w:tc>
              <w:tc>
                <w:tcPr>
                  <w:tcW w:w="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&lt;200</w:t>
                  </w:r>
                </w:p>
              </w:tc>
              <w:tc>
                <w:tcPr>
                  <w:tcW w:w="6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&lt;35</w:t>
                  </w:r>
                </w:p>
              </w:tc>
              <w:tc>
                <w:tcPr>
                  <w:tcW w:w="5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&lt;50</w:t>
                  </w:r>
                </w:p>
              </w:tc>
              <w:tc>
                <w:tcPr>
                  <w:tcW w:w="6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both"/>
              <w:textAlignment w:val="auto"/>
              <w:rPr>
                <w:rFonts w:hint="eastAsia" w:cs="Times New Roman"/>
                <w:b/>
                <w:bCs/>
                <w:sz w:val="24"/>
                <w:highlight w:val="none"/>
                <w:lang w:val="en-US" w:eastAsia="zh-CN"/>
              </w:rPr>
            </w:pPr>
            <w:r>
              <w:rPr>
                <w:rFonts w:hint="eastAsia" w:cs="Times New Roman"/>
                <w:b/>
                <w:bCs/>
                <w:sz w:val="24"/>
                <w:highlight w:val="none"/>
                <w:lang w:val="en-US" w:eastAsia="zh-CN"/>
              </w:rPr>
              <w:t>表4-6           本项目废水产生浓度及水质取值</w:t>
            </w:r>
          </w:p>
          <w:tbl>
            <w:tblPr>
              <w:tblStyle w:val="34"/>
              <w:tblW w:w="4997"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2"/>
              <w:gridCol w:w="764"/>
              <w:gridCol w:w="824"/>
              <w:gridCol w:w="654"/>
              <w:gridCol w:w="824"/>
              <w:gridCol w:w="654"/>
              <w:gridCol w:w="824"/>
              <w:gridCol w:w="654"/>
              <w:gridCol w:w="824"/>
              <w:gridCol w:w="655"/>
              <w:gridCol w:w="825"/>
              <w:gridCol w:w="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废水种类</w:t>
                  </w:r>
                </w:p>
              </w:tc>
              <w:tc>
                <w:tcPr>
                  <w:tcW w:w="3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废水量</w:t>
                  </w:r>
                </w:p>
              </w:tc>
              <w:tc>
                <w:tcPr>
                  <w:tcW w:w="748" w:type="pct"/>
                  <w:gridSpan w:val="2"/>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COD</w:t>
                  </w:r>
                </w:p>
              </w:tc>
              <w:tc>
                <w:tcPr>
                  <w:tcW w:w="844" w:type="pct"/>
                  <w:gridSpan w:val="2"/>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BOD</w:t>
                  </w:r>
                  <w:r>
                    <w:rPr>
                      <w:rFonts w:hint="default" w:ascii="Times New Roman" w:hAnsi="Times New Roman" w:cs="Times New Roman" w:eastAsiaTheme="minorEastAsia"/>
                      <w:i w:val="0"/>
                      <w:iCs w:val="0"/>
                      <w:color w:val="000000"/>
                      <w:kern w:val="0"/>
                      <w:sz w:val="21"/>
                      <w:szCs w:val="21"/>
                      <w:u w:val="none"/>
                      <w:vertAlign w:val="subscript"/>
                      <w:lang w:val="en-US" w:eastAsia="zh-CN" w:bidi="ar"/>
                    </w:rPr>
                    <w:t>5</w:t>
                  </w:r>
                </w:p>
              </w:tc>
              <w:tc>
                <w:tcPr>
                  <w:tcW w:w="844" w:type="pct"/>
                  <w:gridSpan w:val="2"/>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SS</w:t>
                  </w:r>
                </w:p>
              </w:tc>
              <w:tc>
                <w:tcPr>
                  <w:tcW w:w="844" w:type="pct"/>
                  <w:gridSpan w:val="2"/>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NH</w:t>
                  </w:r>
                  <w:r>
                    <w:rPr>
                      <w:rFonts w:hint="default" w:ascii="Times New Roman" w:hAnsi="Times New Roman" w:cs="Times New Roman" w:eastAsiaTheme="minorEastAsia"/>
                      <w:i w:val="0"/>
                      <w:iCs w:val="0"/>
                      <w:color w:val="000000"/>
                      <w:kern w:val="0"/>
                      <w:sz w:val="21"/>
                      <w:szCs w:val="21"/>
                      <w:u w:val="none"/>
                      <w:vertAlign w:val="subscript"/>
                      <w:lang w:val="en-US" w:eastAsia="zh-CN" w:bidi="ar"/>
                    </w:rPr>
                    <w:t>3</w:t>
                  </w:r>
                  <w:r>
                    <w:rPr>
                      <w:rFonts w:hint="default" w:ascii="Times New Roman" w:hAnsi="Times New Roman" w:cs="Times New Roman" w:eastAsiaTheme="minorEastAsia"/>
                      <w:i w:val="0"/>
                      <w:iCs w:val="0"/>
                      <w:color w:val="000000"/>
                      <w:kern w:val="0"/>
                      <w:sz w:val="21"/>
                      <w:szCs w:val="21"/>
                      <w:u w:val="none"/>
                      <w:lang w:val="en-US" w:eastAsia="zh-CN" w:bidi="ar"/>
                    </w:rPr>
                    <w:t>-N</w:t>
                  </w:r>
                </w:p>
              </w:tc>
              <w:tc>
                <w:tcPr>
                  <w:tcW w:w="845" w:type="pct"/>
                  <w:gridSpan w:val="2"/>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3"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p>
              </w:tc>
              <w:tc>
                <w:tcPr>
                  <w:tcW w:w="329"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p>
              </w:tc>
              <w:tc>
                <w:tcPr>
                  <w:tcW w:w="38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浓度（mg/L</w:t>
                  </w:r>
                  <w:r>
                    <w:rPr>
                      <w:rFonts w:hint="eastAsia" w:cs="Times New Roman" w:eastAsiaTheme="minorEastAsia"/>
                      <w:i w:val="0"/>
                      <w:iCs w:val="0"/>
                      <w:color w:val="000000"/>
                      <w:kern w:val="0"/>
                      <w:sz w:val="21"/>
                      <w:szCs w:val="21"/>
                      <w:u w:val="none"/>
                      <w:lang w:val="en-US" w:eastAsia="zh-CN" w:bidi="ar"/>
                    </w:rPr>
                    <w:t>）</w:t>
                  </w:r>
                </w:p>
              </w:tc>
              <w:tc>
                <w:tcPr>
                  <w:tcW w:w="36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产生量</w:t>
                  </w:r>
                  <w:r>
                    <w:rPr>
                      <w:rFonts w:hint="eastAsia" w:cs="Times New Roman" w:eastAsiaTheme="minorEastAsia"/>
                      <w:i w:val="0"/>
                      <w:iCs w:val="0"/>
                      <w:color w:val="000000"/>
                      <w:kern w:val="0"/>
                      <w:sz w:val="21"/>
                      <w:szCs w:val="21"/>
                      <w:u w:val="none"/>
                      <w:lang w:val="en-US" w:eastAsia="zh-CN" w:bidi="ar"/>
                    </w:rPr>
                    <w:t>（</w:t>
                  </w:r>
                  <w:r>
                    <w:rPr>
                      <w:rFonts w:hint="default" w:ascii="Times New Roman" w:hAnsi="Times New Roman" w:cs="Times New Roman" w:eastAsiaTheme="minorEastAsia"/>
                      <w:i w:val="0"/>
                      <w:iCs w:val="0"/>
                      <w:color w:val="000000"/>
                      <w:kern w:val="0"/>
                      <w:sz w:val="21"/>
                      <w:szCs w:val="21"/>
                      <w:u w:val="none"/>
                      <w:lang w:val="en-US" w:eastAsia="zh-CN" w:bidi="ar"/>
                    </w:rPr>
                    <w:t>t/a）</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浓度（mg/L</w:t>
                  </w:r>
                  <w:r>
                    <w:rPr>
                      <w:rFonts w:hint="eastAsia"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产生量</w:t>
                  </w:r>
                  <w:r>
                    <w:rPr>
                      <w:rFonts w:hint="eastAsia" w:cs="Times New Roman" w:eastAsiaTheme="minorEastAsia"/>
                      <w:i w:val="0"/>
                      <w:iCs w:val="0"/>
                      <w:color w:val="000000"/>
                      <w:kern w:val="0"/>
                      <w:sz w:val="21"/>
                      <w:szCs w:val="21"/>
                      <w:u w:val="none"/>
                      <w:lang w:val="en-US" w:eastAsia="zh-CN" w:bidi="ar"/>
                    </w:rPr>
                    <w:t>（</w:t>
                  </w:r>
                  <w:r>
                    <w:rPr>
                      <w:rFonts w:hint="default" w:ascii="Times New Roman" w:hAnsi="Times New Roman" w:cs="Times New Roman" w:eastAsiaTheme="minorEastAsia"/>
                      <w:i w:val="0"/>
                      <w:iCs w:val="0"/>
                      <w:color w:val="000000"/>
                      <w:kern w:val="0"/>
                      <w:sz w:val="21"/>
                      <w:szCs w:val="21"/>
                      <w:u w:val="none"/>
                      <w:lang w:val="en-US" w:eastAsia="zh-CN" w:bidi="ar"/>
                    </w:rPr>
                    <w:t>t/a）</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浓度（mg/L</w:t>
                  </w:r>
                  <w:r>
                    <w:rPr>
                      <w:rFonts w:hint="eastAsia"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产生量</w:t>
                  </w:r>
                  <w:r>
                    <w:rPr>
                      <w:rFonts w:hint="eastAsia" w:cs="Times New Roman" w:eastAsiaTheme="minorEastAsia"/>
                      <w:i w:val="0"/>
                      <w:iCs w:val="0"/>
                      <w:color w:val="000000"/>
                      <w:kern w:val="0"/>
                      <w:sz w:val="21"/>
                      <w:szCs w:val="21"/>
                      <w:u w:val="none"/>
                      <w:lang w:val="en-US" w:eastAsia="zh-CN" w:bidi="ar"/>
                    </w:rPr>
                    <w:t>（</w:t>
                  </w:r>
                  <w:r>
                    <w:rPr>
                      <w:rFonts w:hint="default" w:ascii="Times New Roman" w:hAnsi="Times New Roman" w:cs="Times New Roman" w:eastAsiaTheme="minorEastAsia"/>
                      <w:i w:val="0"/>
                      <w:iCs w:val="0"/>
                      <w:color w:val="000000"/>
                      <w:kern w:val="0"/>
                      <w:sz w:val="21"/>
                      <w:szCs w:val="21"/>
                      <w:u w:val="none"/>
                      <w:lang w:val="en-US" w:eastAsia="zh-CN" w:bidi="ar"/>
                    </w:rPr>
                    <w:t>t/a）</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浓度（mg/L</w:t>
                  </w:r>
                  <w:r>
                    <w:rPr>
                      <w:rFonts w:hint="eastAsia"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产生量</w:t>
                  </w:r>
                  <w:r>
                    <w:rPr>
                      <w:rFonts w:hint="eastAsia" w:cs="Times New Roman" w:eastAsiaTheme="minorEastAsia"/>
                      <w:i w:val="0"/>
                      <w:iCs w:val="0"/>
                      <w:color w:val="000000"/>
                      <w:kern w:val="0"/>
                      <w:sz w:val="21"/>
                      <w:szCs w:val="21"/>
                      <w:u w:val="none"/>
                      <w:lang w:val="en-US" w:eastAsia="zh-CN" w:bidi="ar"/>
                    </w:rPr>
                    <w:t>（</w:t>
                  </w:r>
                  <w:r>
                    <w:rPr>
                      <w:rFonts w:hint="default" w:ascii="Times New Roman" w:hAnsi="Times New Roman" w:cs="Times New Roman" w:eastAsiaTheme="minorEastAsia"/>
                      <w:i w:val="0"/>
                      <w:iCs w:val="0"/>
                      <w:color w:val="000000"/>
                      <w:kern w:val="0"/>
                      <w:sz w:val="21"/>
                      <w:szCs w:val="21"/>
                      <w:u w:val="none"/>
                      <w:lang w:val="en-US" w:eastAsia="zh-CN" w:bidi="ar"/>
                    </w:rPr>
                    <w:t>t/a）</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浓度（mg/L</w:t>
                  </w:r>
                  <w:r>
                    <w:rPr>
                      <w:rFonts w:hint="eastAsia"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产生量</w:t>
                  </w:r>
                  <w:r>
                    <w:rPr>
                      <w:rFonts w:hint="eastAsia" w:cs="Times New Roman" w:eastAsiaTheme="minorEastAsia"/>
                      <w:i w:val="0"/>
                      <w:iCs w:val="0"/>
                      <w:color w:val="000000"/>
                      <w:kern w:val="0"/>
                      <w:sz w:val="21"/>
                      <w:szCs w:val="21"/>
                      <w:u w:val="none"/>
                      <w:lang w:val="en-US" w:eastAsia="zh-CN" w:bidi="ar"/>
                    </w:rPr>
                    <w:t>（</w:t>
                  </w:r>
                  <w:r>
                    <w:rPr>
                      <w:rFonts w:hint="default" w:ascii="Times New Roman" w:hAnsi="Times New Roman" w:cs="Times New Roman" w:eastAsiaTheme="minorEastAsia"/>
                      <w:i w:val="0"/>
                      <w:iCs w:val="0"/>
                      <w:color w:val="000000"/>
                      <w:kern w:val="0"/>
                      <w:sz w:val="21"/>
                      <w:szCs w:val="21"/>
                      <w:u w:val="none"/>
                      <w:lang w:val="en-US" w:eastAsia="zh-CN" w:bidi="ar"/>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锅底水</w:t>
                  </w:r>
                </w:p>
              </w:tc>
              <w:tc>
                <w:tcPr>
                  <w:tcW w:w="3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432</w:t>
                  </w:r>
                </w:p>
              </w:tc>
              <w:tc>
                <w:tcPr>
                  <w:tcW w:w="38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20000</w:t>
                  </w:r>
                </w:p>
              </w:tc>
              <w:tc>
                <w:tcPr>
                  <w:tcW w:w="36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8.640</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10000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4.320</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400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0.173</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100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0.043</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140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纯水制备浓水</w:t>
                  </w:r>
                </w:p>
              </w:tc>
              <w:tc>
                <w:tcPr>
                  <w:tcW w:w="3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1075.05</w:t>
                  </w:r>
                </w:p>
              </w:tc>
              <w:tc>
                <w:tcPr>
                  <w:tcW w:w="38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36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0.054</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0.011</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0.011</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洗瓶废水</w:t>
                  </w:r>
                </w:p>
              </w:tc>
              <w:tc>
                <w:tcPr>
                  <w:tcW w:w="3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24</w:t>
                  </w:r>
                </w:p>
              </w:tc>
              <w:tc>
                <w:tcPr>
                  <w:tcW w:w="38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36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0.000</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300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0.007</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车间地面及设备冲洗废水</w:t>
                  </w:r>
                </w:p>
              </w:tc>
              <w:tc>
                <w:tcPr>
                  <w:tcW w:w="3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301.388</w:t>
                  </w:r>
                </w:p>
              </w:tc>
              <w:tc>
                <w:tcPr>
                  <w:tcW w:w="38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5000</w:t>
                  </w:r>
                </w:p>
              </w:tc>
              <w:tc>
                <w:tcPr>
                  <w:tcW w:w="36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1.507</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1000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0.301</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800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0.241</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35</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0.011</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50</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3" w:type="pct"/>
                  <w:tcBorders>
                    <w:tl2br w:val="nil"/>
                    <w:tr2bl w:val="nil"/>
                  </w:tcBorders>
                  <w:shd w:val="clear" w:color="auto" w:fill="auto"/>
                  <w:vAlign w:val="center"/>
                </w:tcPr>
                <w:p>
                  <w:pPr>
                    <w:jc w:val="center"/>
                    <w:rPr>
                      <w:rFonts w:hint="default" w:ascii="Times New Roman" w:hAnsi="Times New Roman" w:cs="Times New Roman" w:eastAsiaTheme="minorEastAsia"/>
                      <w:i w:val="0"/>
                      <w:iCs w:val="0"/>
                      <w:color w:val="000000"/>
                      <w:sz w:val="21"/>
                      <w:szCs w:val="21"/>
                      <w:u w:val="none"/>
                      <w:lang w:val="en-US" w:eastAsia="zh-CN"/>
                    </w:rPr>
                  </w:pPr>
                  <w:r>
                    <w:rPr>
                      <w:rFonts w:hint="default" w:ascii="Times New Roman" w:hAnsi="Times New Roman" w:cs="Times New Roman" w:eastAsiaTheme="minorEastAsia"/>
                      <w:i w:val="0"/>
                      <w:iCs w:val="0"/>
                      <w:color w:val="000000"/>
                      <w:sz w:val="21"/>
                      <w:szCs w:val="21"/>
                      <w:u w:val="none"/>
                      <w:lang w:val="en-US" w:eastAsia="zh-CN"/>
                    </w:rPr>
                    <w:t>合计</w:t>
                  </w:r>
                </w:p>
              </w:tc>
              <w:tc>
                <w:tcPr>
                  <w:tcW w:w="3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1832.438</w:t>
                  </w:r>
                </w:p>
              </w:tc>
              <w:tc>
                <w:tcPr>
                  <w:tcW w:w="38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5567</w:t>
                  </w:r>
                </w:p>
              </w:tc>
              <w:tc>
                <w:tcPr>
                  <w:tcW w:w="36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10.201</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2528</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4.632</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236</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0.432</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29</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0.054</w:t>
                  </w:r>
                </w:p>
              </w:tc>
              <w:tc>
                <w:tcPr>
                  <w:tcW w:w="48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41</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0.076</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sz w:val="24"/>
                <w:highlight w:val="none"/>
                <w:lang w:val="en-US" w:eastAsia="zh-CN"/>
              </w:rPr>
            </w:pPr>
            <w:r>
              <w:rPr>
                <w:rFonts w:hint="eastAsia" w:cs="Times New Roman"/>
                <w:sz w:val="24"/>
                <w:highlight w:val="none"/>
                <w:lang w:val="en-US" w:eastAsia="zh-CN"/>
              </w:rPr>
              <w:t>本项目生产过程中产生的废水经收集后进入格栅+调节池+气浮+UASB+AO工艺的污水处理站进行处理，设计处理规模为8m</w:t>
            </w:r>
            <w:r>
              <w:rPr>
                <w:rFonts w:hint="eastAsia" w:cs="Times New Roman"/>
                <w:sz w:val="24"/>
                <w:highlight w:val="none"/>
                <w:vertAlign w:val="superscript"/>
                <w:lang w:val="en-US" w:eastAsia="zh-CN"/>
              </w:rPr>
              <w:t>3</w:t>
            </w:r>
            <w:r>
              <w:rPr>
                <w:rFonts w:hint="eastAsia" w:cs="Times New Roman"/>
                <w:sz w:val="24"/>
                <w:highlight w:val="none"/>
                <w:lang w:val="en-US" w:eastAsia="zh-CN"/>
              </w:rPr>
              <w:t>/d，生产废水产生量为6.9m</w:t>
            </w:r>
            <w:r>
              <w:rPr>
                <w:rFonts w:hint="eastAsia" w:cs="Times New Roman"/>
                <w:sz w:val="24"/>
                <w:highlight w:val="none"/>
                <w:vertAlign w:val="superscript"/>
                <w:lang w:val="en-US" w:eastAsia="zh-CN"/>
              </w:rPr>
              <w:t>3</w:t>
            </w:r>
            <w:r>
              <w:rPr>
                <w:rFonts w:hint="eastAsia" w:cs="Times New Roman"/>
                <w:sz w:val="24"/>
                <w:highlight w:val="none"/>
                <w:lang w:val="en-US" w:eastAsia="zh-CN"/>
              </w:rPr>
              <w:t>/d。</w:t>
            </w:r>
          </w:p>
          <w:p>
            <w:pPr>
              <w:keepLines w:val="0"/>
              <w:pageBreakBefore w:val="0"/>
              <w:widowControl/>
              <w:kinsoku/>
              <w:wordWrap/>
              <w:overflowPunct/>
              <w:bidi w:val="0"/>
              <w:adjustRightInd w:val="0"/>
              <w:snapToGrid w:val="0"/>
              <w:spacing w:line="240" w:lineRule="auto"/>
              <w:ind w:firstLine="422" w:firstLineChars="200"/>
              <w:jc w:val="left"/>
              <w:rPr>
                <w:rFonts w:hint="eastAsia" w:ascii="Times New Roman" w:hAnsi="Times New Roman" w:eastAsia="宋体" w:cs="Times New Roman"/>
                <w:b/>
                <w:bCs w:val="0"/>
                <w:color w:val="000000" w:themeColor="text1"/>
                <w:kern w:val="24"/>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kern w:val="24"/>
                <w:sz w:val="21"/>
                <w:szCs w:val="21"/>
                <w:highlight w:val="none"/>
                <w:lang w:val="en-US" w:eastAsia="zh-CN" w:bidi="ar-SA"/>
                <w14:textFill>
                  <w14:solidFill>
                    <w14:schemeClr w14:val="tx1"/>
                  </w14:solidFill>
                </w14:textFill>
              </w:rPr>
              <w:t>表4-</w:t>
            </w:r>
            <w:r>
              <w:rPr>
                <w:rFonts w:hint="eastAsia" w:cs="Times New Roman"/>
                <w:b/>
                <w:bCs w:val="0"/>
                <w:color w:val="000000" w:themeColor="text1"/>
                <w:kern w:val="24"/>
                <w:sz w:val="21"/>
                <w:szCs w:val="21"/>
                <w:highlight w:val="none"/>
                <w:lang w:val="en-US" w:eastAsia="zh-CN" w:bidi="ar-SA"/>
                <w14:textFill>
                  <w14:solidFill>
                    <w14:schemeClr w14:val="tx1"/>
                  </w14:solidFill>
                </w14:textFill>
              </w:rPr>
              <w:t>7</w:t>
            </w:r>
            <w:r>
              <w:rPr>
                <w:rFonts w:hint="eastAsia" w:ascii="Times New Roman" w:hAnsi="Times New Roman" w:eastAsia="宋体" w:cs="Times New Roman"/>
                <w:b/>
                <w:bCs w:val="0"/>
                <w:color w:val="000000" w:themeColor="text1"/>
                <w:kern w:val="24"/>
                <w:sz w:val="21"/>
                <w:szCs w:val="21"/>
                <w:highlight w:val="none"/>
                <w:lang w:val="en-US" w:eastAsia="zh-CN" w:bidi="ar-SA"/>
                <w14:textFill>
                  <w14:solidFill>
                    <w14:schemeClr w14:val="tx1"/>
                  </w14:solidFill>
                </w14:textFill>
              </w:rPr>
              <w:t xml:space="preserve">            本项目各污水处理工序的去除效率</w:t>
            </w:r>
          </w:p>
          <w:tbl>
            <w:tblPr>
              <w:tblStyle w:val="3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870"/>
              <w:gridCol w:w="2007"/>
              <w:gridCol w:w="647"/>
              <w:gridCol w:w="42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工</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艺单元</w:t>
                  </w: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污染物类型</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单元去除率范围（相对于本单元进水）</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取值</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核心作用机制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调节池</w:t>
                  </w: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COD</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5%-10%（主要为物理截留，非生化）</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10%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1.均化水质水量，无显著生化作用；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2.若设格栅/简易沉淀，可去除大颗粒有机物。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BOD₅</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5%-10%（同COD，物理截留易降解颗粒）</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10%</w:t>
                  </w:r>
                </w:p>
              </w:tc>
              <w:tc>
                <w:tcPr>
                  <w:tcW w:w="24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SS</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15%-30%</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20%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格栅去除粒径&gt;5mm的</w:t>
                  </w:r>
                  <w:r>
                    <w:rPr>
                      <w:rFonts w:hint="eastAsia" w:cs="Times New Roman" w:eastAsiaTheme="minorEastAsia"/>
                      <w:i w:val="0"/>
                      <w:iCs w:val="0"/>
                      <w:color w:val="000000" w:themeColor="text1"/>
                      <w:kern w:val="0"/>
                      <w:sz w:val="21"/>
                      <w:szCs w:val="21"/>
                      <w:u w:val="none"/>
                      <w:lang w:val="en-US" w:eastAsia="zh-CN" w:bidi="ar"/>
                      <w14:textFill>
                        <w14:solidFill>
                          <w14:schemeClr w14:val="tx1"/>
                        </w14:solidFill>
                      </w14:textFill>
                    </w:rPr>
                    <w:t>杂质</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，静置沉淀去除部分悬浮碎屑（非活性污泥吸附）。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氨氮</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0%-5%（无生化转化，仅物理截留）</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氨氮为溶解性污染物，调节池无法去除，仅因SS截留略有降低。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UASB（厌氧）</w:t>
                  </w: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COD</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70%-90%（核心降碳单元）</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厌氧微生物（产甲烷菌、产酸菌）分解大分子有机物（如蛋白质、碳水化合物）为甲烷和CO₂。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BOD₅</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70%-90%（BOD更易被厌氧降解）</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BOD₅为易生化有机物，厌氧菌群优先降解，残留BOD多为难降解组分。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SS</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20%-40%</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30%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UASB三相分离器截留厌氧污泥絮体，同时吸附部分悬浮有机物，减少后续AO负荷。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氨氮</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-10%-+5%（无去除，可能略有升高）</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厌氧环境下，蛋白质等含氮有机物会发生</w:t>
                  </w:r>
                  <w:r>
                    <w:rPr>
                      <w:rFonts w:hint="default" w:ascii="Times New Roman" w:hAnsi="Times New Roman" w:cs="Times New Roman" w:eastAsiaTheme="minorEastAsia"/>
                      <w:color w:val="000000" w:themeColor="text1"/>
                      <w:kern w:val="0"/>
                      <w:sz w:val="21"/>
                      <w:szCs w:val="21"/>
                      <w:u w:val="none"/>
                      <w:lang w:val="en-US" w:eastAsia="zh-CN" w:bidi="ar"/>
                      <w14:textFill>
                        <w14:solidFill>
                          <w14:schemeClr w14:val="tx1"/>
                        </w14:solidFill>
                      </w14:textFill>
                    </w:rPr>
                    <w:t>氨化作用（分解为氨氮），导致氨氮浓度略有上升或基本不变。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AO（好氧+缺氧）</w:t>
                  </w: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COD</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5</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0%-</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7</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0%（深度降碳，针对UASB残留）</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60%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1.缺氧池（A池）：反硝化菌利用残留COD作为碳源；</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2.好氧池（O池）：好氧菌降解剩余有机物。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BOD₅</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50%-70%（残留BOD进一步降解）</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7</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BOD₅剩余量低，好氧菌可高效降解，出水BOD₅通常≤20mg/L。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SS</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80%-95%（核心除SS单元）</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好氧池活性污泥吸附悬浮颗粒，后续</w:t>
                  </w:r>
                  <w:r>
                    <w:rPr>
                      <w:rFonts w:hint="default" w:ascii="Times New Roman" w:hAnsi="Times New Roman" w:cs="Times New Roman" w:eastAsiaTheme="minorEastAsia"/>
                      <w:color w:val="000000" w:themeColor="text1"/>
                      <w:kern w:val="0"/>
                      <w:sz w:val="21"/>
                      <w:szCs w:val="21"/>
                      <w:u w:val="none"/>
                      <w:lang w:val="en-US" w:eastAsia="zh-CN" w:bidi="ar"/>
                      <w14:textFill>
                        <w14:solidFill>
                          <w14:schemeClr w14:val="tx1"/>
                        </w14:solidFill>
                      </w14:textFill>
                    </w:rPr>
                    <w:t>二沉池（AO工艺必备）实现固液分离，截留污泥絮体。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氨氮</w:t>
                  </w:r>
                </w:p>
              </w:tc>
              <w:tc>
                <w:tcPr>
                  <w:tcW w:w="121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80%-95%（核心脱氮单元）</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90%</w:t>
                  </w:r>
                </w:p>
              </w:tc>
              <w:tc>
                <w:tcPr>
                  <w:tcW w:w="24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1.好氧池（O池）：硝化菌将氨氮转化为硝态氮（NO₃⁻-N）；</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2.缺氧池（A池）：反硝化菌将硝态氮转化为氮气（N₂），实现脱氮。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综合去除效率</w:t>
                  </w: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COD</w:t>
                  </w:r>
                </w:p>
              </w:tc>
              <w:tc>
                <w:tcPr>
                  <w:tcW w:w="4105"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96</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4</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BOD₅</w:t>
                  </w:r>
                </w:p>
              </w:tc>
              <w:tc>
                <w:tcPr>
                  <w:tcW w:w="4105"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SS</w:t>
                  </w:r>
                </w:p>
              </w:tc>
              <w:tc>
                <w:tcPr>
                  <w:tcW w:w="4105"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94</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4</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p>
              </w:tc>
              <w:tc>
                <w:tcPr>
                  <w:tcW w:w="4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氨氮</w:t>
                  </w:r>
                </w:p>
              </w:tc>
              <w:tc>
                <w:tcPr>
                  <w:tcW w:w="4105"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90%</w:t>
                  </w:r>
                </w:p>
              </w:tc>
            </w:tr>
          </w:tbl>
          <w:p>
            <w:pPr>
              <w:keepNext w:val="0"/>
              <w:keepLines w:val="0"/>
              <w:pageBreakBefore w:val="0"/>
              <w:widowControl/>
              <w:kinsoku/>
              <w:wordWrap/>
              <w:overflowPunct/>
              <w:topLinePunct w:val="0"/>
              <w:autoSpaceDE/>
              <w:autoSpaceDN/>
              <w:bidi w:val="0"/>
              <w:adjustRightInd w:val="0"/>
              <w:snapToGrid w:val="0"/>
              <w:spacing w:before="157" w:beforeLines="50" w:line="240" w:lineRule="auto"/>
              <w:ind w:firstLine="422" w:firstLineChars="200"/>
              <w:jc w:val="left"/>
              <w:textAlignment w:val="auto"/>
              <w:rPr>
                <w:rFonts w:hint="default" w:ascii="Times New Roman" w:hAnsi="Times New Roman" w:eastAsia="宋体" w:cs="Times New Roman"/>
                <w:b/>
                <w:bCs w:val="0"/>
                <w:color w:val="000000" w:themeColor="text1"/>
                <w:kern w:val="24"/>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4"/>
                <w:sz w:val="21"/>
                <w:szCs w:val="21"/>
                <w:highlight w:val="none"/>
                <w:lang w:val="en-US" w:eastAsia="zh-CN" w:bidi="ar-SA"/>
                <w14:textFill>
                  <w14:solidFill>
                    <w14:schemeClr w14:val="tx1"/>
                  </w14:solidFill>
                </w14:textFill>
              </w:rPr>
              <w:t>表4-</w:t>
            </w:r>
            <w:r>
              <w:rPr>
                <w:rFonts w:hint="eastAsia" w:cs="Times New Roman"/>
                <w:b/>
                <w:bCs w:val="0"/>
                <w:color w:val="000000" w:themeColor="text1"/>
                <w:kern w:val="24"/>
                <w:sz w:val="21"/>
                <w:szCs w:val="21"/>
                <w:highlight w:val="none"/>
                <w:lang w:val="en-US" w:eastAsia="zh-CN" w:bidi="ar-SA"/>
                <w14:textFill>
                  <w14:solidFill>
                    <w14:schemeClr w14:val="tx1"/>
                  </w14:solidFill>
                </w14:textFill>
              </w:rPr>
              <w:t>8</w:t>
            </w:r>
            <w:r>
              <w:rPr>
                <w:rFonts w:hint="default" w:ascii="Times New Roman" w:hAnsi="Times New Roman" w:eastAsia="宋体" w:cs="Times New Roman"/>
                <w:b/>
                <w:bCs w:val="0"/>
                <w:color w:val="000000" w:themeColor="text1"/>
                <w:kern w:val="24"/>
                <w:sz w:val="21"/>
                <w:szCs w:val="21"/>
                <w:highlight w:val="none"/>
                <w:lang w:val="en-US" w:eastAsia="zh-CN" w:bidi="ar-SA"/>
                <w14:textFill>
                  <w14:solidFill>
                    <w14:schemeClr w14:val="tx1"/>
                  </w14:solidFill>
                </w14:textFill>
              </w:rPr>
              <w:t xml:space="preserve">              本项目废水污染产生排放情况一览表</w:t>
            </w:r>
          </w:p>
          <w:tbl>
            <w:tblPr>
              <w:tblStyle w:val="3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967"/>
              <w:gridCol w:w="704"/>
              <w:gridCol w:w="667"/>
              <w:gridCol w:w="767"/>
              <w:gridCol w:w="1265"/>
              <w:gridCol w:w="733"/>
              <w:gridCol w:w="967"/>
              <w:gridCol w:w="704"/>
              <w:gridCol w:w="667"/>
              <w:gridCol w:w="6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污染源</w:t>
                  </w:r>
                </w:p>
              </w:tc>
              <w:tc>
                <w:tcPr>
                  <w:tcW w:w="566"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废水量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/a</w:t>
                  </w:r>
                </w:p>
              </w:tc>
              <w:tc>
                <w:tcPr>
                  <w:tcW w:w="413"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污染物</w:t>
                  </w:r>
                </w:p>
              </w:tc>
              <w:tc>
                <w:tcPr>
                  <w:tcW w:w="840" w:type="pct"/>
                  <w:gridSpan w:val="2"/>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产生情况</w:t>
                  </w:r>
                </w:p>
              </w:tc>
              <w:tc>
                <w:tcPr>
                  <w:tcW w:w="741"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治理措施</w:t>
                  </w:r>
                </w:p>
              </w:tc>
              <w:tc>
                <w:tcPr>
                  <w:tcW w:w="430"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污染物去除效率</w:t>
                  </w:r>
                </w:p>
              </w:tc>
              <w:tc>
                <w:tcPr>
                  <w:tcW w:w="566"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废水量m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/a</w:t>
                  </w:r>
                </w:p>
              </w:tc>
              <w:tc>
                <w:tcPr>
                  <w:tcW w:w="413"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污染物</w:t>
                  </w:r>
                </w:p>
              </w:tc>
              <w:tc>
                <w:tcPr>
                  <w:tcW w:w="782" w:type="pct"/>
                  <w:gridSpan w:val="2"/>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进水水质mg/L</w:t>
                  </w:r>
                </w:p>
              </w:tc>
              <w:tc>
                <w:tcPr>
                  <w:tcW w:w="449"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产生量t/a</w:t>
                  </w:r>
                </w:p>
              </w:tc>
              <w:tc>
                <w:tcPr>
                  <w:tcW w:w="741"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30"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出水水质mg/L</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生产废水</w:t>
                  </w:r>
                </w:p>
              </w:tc>
              <w:tc>
                <w:tcPr>
                  <w:tcW w:w="566"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1832.438</w:t>
                  </w: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COD</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5567</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10.201</w:t>
                  </w:r>
                </w:p>
              </w:tc>
              <w:tc>
                <w:tcPr>
                  <w:tcW w:w="741"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格栅+调节池+气浮+UASB+AO</w:t>
                  </w:r>
                </w:p>
              </w:tc>
              <w:tc>
                <w:tcPr>
                  <w:tcW w:w="43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96</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4</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p>
              </w:tc>
              <w:tc>
                <w:tcPr>
                  <w:tcW w:w="566"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1832.438</w:t>
                  </w:r>
                </w:p>
              </w:tc>
              <w:tc>
                <w:tcPr>
                  <w:tcW w:w="413"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COD</w:t>
                  </w:r>
                </w:p>
              </w:tc>
              <w:tc>
                <w:tcPr>
                  <w:tcW w:w="39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200</w:t>
                  </w:r>
                </w:p>
              </w:tc>
              <w:tc>
                <w:tcPr>
                  <w:tcW w:w="39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0.367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BOD</w:t>
                  </w:r>
                  <w:r>
                    <w:rPr>
                      <w:rFonts w:hint="default"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5</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2528</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4.632</w:t>
                  </w:r>
                </w:p>
              </w:tc>
              <w:tc>
                <w:tcPr>
                  <w:tcW w:w="741"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3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7.3%</w:t>
                  </w: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BOD</w:t>
                  </w:r>
                  <w:r>
                    <w:rPr>
                      <w:rFonts w:hint="default"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5</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68</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44"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SS</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236</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0.432</w:t>
                  </w:r>
                </w:p>
              </w:tc>
              <w:tc>
                <w:tcPr>
                  <w:tcW w:w="741"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3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94</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4</w:t>
                  </w: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w:t>
                  </w: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SS</w:t>
                  </w:r>
                </w:p>
              </w:tc>
              <w:tc>
                <w:tcPr>
                  <w:tcW w:w="39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13</w:t>
                  </w:r>
                </w:p>
              </w:tc>
              <w:tc>
                <w:tcPr>
                  <w:tcW w:w="39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氨氮</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29</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2"/>
                      <w:sz w:val="21"/>
                      <w:szCs w:val="21"/>
                      <w:u w:val="none"/>
                      <w:lang w:val="en-US" w:eastAsia="zh-CN" w:bidi="ar-SA"/>
                    </w:rPr>
                    <w:t>0.054</w:t>
                  </w:r>
                </w:p>
              </w:tc>
              <w:tc>
                <w:tcPr>
                  <w:tcW w:w="741"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3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i w:val="0"/>
                      <w:iCs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t>90%</w:t>
                  </w: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氨氮</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2.9</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生活污水</w:t>
                  </w:r>
                </w:p>
              </w:tc>
              <w:tc>
                <w:tcPr>
                  <w:tcW w:w="566"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259.2</w:t>
                  </w: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COD</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313.4</w:t>
                  </w:r>
                </w:p>
              </w:tc>
              <w:tc>
                <w:tcPr>
                  <w:tcW w:w="449"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w:t>
                  </w:r>
                  <w:r>
                    <w:rPr>
                      <w:rFonts w:hint="eastAsia" w:cs="Times New Roman"/>
                      <w:b w:val="0"/>
                      <w:bCs w:val="0"/>
                      <w:color w:val="000000" w:themeColor="text1"/>
                      <w:sz w:val="21"/>
                      <w:szCs w:val="21"/>
                      <w:vertAlign w:val="baseline"/>
                      <w:lang w:val="en-US" w:eastAsia="zh-CN"/>
                      <w14:textFill>
                        <w14:solidFill>
                          <w14:schemeClr w14:val="tx1"/>
                        </w14:solidFill>
                      </w14:textFill>
                    </w:rPr>
                    <w:t>81</w:t>
                  </w:r>
                </w:p>
              </w:tc>
              <w:tc>
                <w:tcPr>
                  <w:tcW w:w="741"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w:t>
                  </w:r>
                </w:p>
              </w:tc>
              <w:tc>
                <w:tcPr>
                  <w:tcW w:w="43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w:t>
                  </w:r>
                </w:p>
              </w:tc>
              <w:tc>
                <w:tcPr>
                  <w:tcW w:w="566" w:type="pct"/>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259.2</w:t>
                  </w: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COD</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313.4</w:t>
                  </w:r>
                </w:p>
              </w:tc>
              <w:tc>
                <w:tcPr>
                  <w:tcW w:w="391"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w:t>
                  </w:r>
                  <w:r>
                    <w:rPr>
                      <w:rFonts w:hint="eastAsia" w:cs="Times New Roman"/>
                      <w:b w:val="0"/>
                      <w:bCs w:val="0"/>
                      <w:color w:val="000000" w:themeColor="text1"/>
                      <w:sz w:val="21"/>
                      <w:szCs w:val="21"/>
                      <w:vertAlign w:val="baseline"/>
                      <w:lang w:val="en-US" w:eastAsia="zh-CN"/>
                      <w14:textFill>
                        <w14:solidFill>
                          <w14:schemeClr w14:val="tx1"/>
                        </w14:solidFill>
                      </w14:textFill>
                    </w:rPr>
                    <w:t>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BOD</w:t>
                  </w:r>
                  <w:r>
                    <w:rPr>
                      <w:rFonts w:hint="default"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5</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114.2</w:t>
                  </w:r>
                </w:p>
              </w:tc>
              <w:tc>
                <w:tcPr>
                  <w:tcW w:w="449"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0.03</w:t>
                  </w:r>
                  <w:r>
                    <w:rPr>
                      <w:rFonts w:hint="eastAsia" w:cs="Times New Roman"/>
                      <w:b w:val="0"/>
                      <w:bCs w:val="0"/>
                      <w:color w:val="000000" w:themeColor="text1"/>
                      <w:sz w:val="21"/>
                      <w:szCs w:val="21"/>
                      <w:vertAlign w:val="baseline"/>
                      <w:lang w:val="en-US" w:eastAsia="zh-CN"/>
                      <w14:textFill>
                        <w14:solidFill>
                          <w14:schemeClr w14:val="tx1"/>
                        </w14:solidFill>
                      </w14:textFill>
                    </w:rPr>
                    <w:t>0</w:t>
                  </w:r>
                </w:p>
              </w:tc>
              <w:tc>
                <w:tcPr>
                  <w:tcW w:w="741"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3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w:t>
                  </w: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BOD</w:t>
                  </w:r>
                  <w:r>
                    <w:rPr>
                      <w:rFonts w:hint="default"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5</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114.2</w:t>
                  </w:r>
                </w:p>
              </w:tc>
              <w:tc>
                <w:tcPr>
                  <w:tcW w:w="391"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0.03</w:t>
                  </w:r>
                  <w:r>
                    <w:rPr>
                      <w:rFonts w:hint="eastAsia" w:cs="Times New Roman"/>
                      <w:b w:val="0"/>
                      <w:bCs w:val="0"/>
                      <w:color w:val="000000" w:themeColor="text1"/>
                      <w:sz w:val="21"/>
                      <w:szCs w:val="21"/>
                      <w:vertAlign w:val="baseline"/>
                      <w:lang w:val="en-US" w:eastAsia="zh-CN"/>
                      <w14:textFill>
                        <w14:solidFill>
                          <w14:schemeClr w14:val="tx1"/>
                        </w14:solidFill>
                      </w14:textFill>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SS</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194.7</w:t>
                  </w:r>
                </w:p>
              </w:tc>
              <w:tc>
                <w:tcPr>
                  <w:tcW w:w="449"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0.05</w:t>
                  </w:r>
                  <w:r>
                    <w:rPr>
                      <w:rFonts w:hint="eastAsia" w:cs="Times New Roman"/>
                      <w:b w:val="0"/>
                      <w:bCs w:val="0"/>
                      <w:color w:val="000000" w:themeColor="text1"/>
                      <w:sz w:val="21"/>
                      <w:szCs w:val="21"/>
                      <w:vertAlign w:val="baseline"/>
                      <w:lang w:val="en-US" w:eastAsia="zh-CN"/>
                      <w14:textFill>
                        <w14:solidFill>
                          <w14:schemeClr w14:val="tx1"/>
                        </w14:solidFill>
                      </w14:textFill>
                    </w:rPr>
                    <w:t>0</w:t>
                  </w:r>
                </w:p>
              </w:tc>
              <w:tc>
                <w:tcPr>
                  <w:tcW w:w="741"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3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w:t>
                  </w: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SS</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194.7</w:t>
                  </w:r>
                </w:p>
              </w:tc>
              <w:tc>
                <w:tcPr>
                  <w:tcW w:w="391"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0.05</w:t>
                  </w:r>
                  <w:r>
                    <w:rPr>
                      <w:rFonts w:hint="eastAsia" w:cs="Times New Roman"/>
                      <w:b w:val="0"/>
                      <w:bCs w:val="0"/>
                      <w:color w:val="000000" w:themeColor="text1"/>
                      <w:sz w:val="21"/>
                      <w:szCs w:val="21"/>
                      <w:vertAlign w:val="baseline"/>
                      <w:lang w:val="en-US" w:eastAsia="zh-CN"/>
                      <w14:textFill>
                        <w14:solidFill>
                          <w14:schemeClr w14:val="tx1"/>
                        </w14:solidFill>
                      </w14:textFill>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4"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氨氮</w:t>
                  </w:r>
                </w:p>
              </w:tc>
              <w:tc>
                <w:tcPr>
                  <w:tcW w:w="39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47.7</w:t>
                  </w:r>
                </w:p>
              </w:tc>
              <w:tc>
                <w:tcPr>
                  <w:tcW w:w="449"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0.01</w:t>
                  </w:r>
                  <w:r>
                    <w:rPr>
                      <w:rFonts w:hint="eastAsia" w:cs="Times New Roman"/>
                      <w:b w:val="0"/>
                      <w:bCs w:val="0"/>
                      <w:color w:val="000000" w:themeColor="text1"/>
                      <w:sz w:val="21"/>
                      <w:szCs w:val="21"/>
                      <w:vertAlign w:val="baseline"/>
                      <w:lang w:val="en-US" w:eastAsia="zh-CN"/>
                      <w14:textFill>
                        <w14:solidFill>
                          <w14:schemeClr w14:val="tx1"/>
                        </w14:solidFill>
                      </w14:textFill>
                    </w:rPr>
                    <w:t>2</w:t>
                  </w:r>
                </w:p>
              </w:tc>
              <w:tc>
                <w:tcPr>
                  <w:tcW w:w="741"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30"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w:t>
                  </w:r>
                </w:p>
              </w:tc>
              <w:tc>
                <w:tcPr>
                  <w:tcW w:w="566" w:type="pct"/>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13"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氨氮</w:t>
                  </w:r>
                </w:p>
              </w:tc>
              <w:tc>
                <w:tcPr>
                  <w:tcW w:w="391"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47.7</w:t>
                  </w:r>
                </w:p>
              </w:tc>
              <w:tc>
                <w:tcPr>
                  <w:tcW w:w="391" w:type="pc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0.01</w:t>
                  </w:r>
                  <w:r>
                    <w:rPr>
                      <w:rFonts w:hint="eastAsia" w:cs="Times New Roman"/>
                      <w:b w:val="0"/>
                      <w:bCs w:val="0"/>
                      <w:color w:val="000000" w:themeColor="text1"/>
                      <w:sz w:val="21"/>
                      <w:szCs w:val="21"/>
                      <w:vertAlign w:val="baseline"/>
                      <w:lang w:val="en-US" w:eastAsia="zh-CN"/>
                      <w14:textFill>
                        <w14:solidFill>
                          <w14:schemeClr w14:val="tx1"/>
                        </w14:solidFill>
                      </w14:textFill>
                    </w:rPr>
                    <w:t>2</w:t>
                  </w:r>
                </w:p>
              </w:tc>
            </w:tr>
          </w:tbl>
          <w:p>
            <w:pPr>
              <w:keepNext w:val="0"/>
              <w:keepLines w:val="0"/>
              <w:widowControl w:val="0"/>
              <w:suppressLineNumbers w:val="0"/>
              <w:spacing w:before="0" w:beforeAutospacing="0" w:after="0" w:afterAutospacing="0" w:line="360" w:lineRule="auto"/>
              <w:ind w:left="0" w:right="0" w:firstLine="482" w:firstLineChars="200"/>
              <w:jc w:val="left"/>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SA"/>
                <w14:textFill>
                  <w14:solidFill>
                    <w14:schemeClr w14:val="tx1"/>
                  </w14:solidFill>
                </w14:textFill>
              </w:rPr>
              <w:t>2.2污水处理设施的</w:t>
            </w:r>
            <w:r>
              <w:rPr>
                <w:rFonts w:hint="eastAsia" w:ascii="Times New Roman" w:hAnsi="Times New Roman" w:eastAsia="宋体" w:cs="Times New Roman"/>
                <w:b/>
                <w:bCs/>
                <w:color w:val="000000" w:themeColor="text1"/>
                <w:kern w:val="0"/>
                <w:sz w:val="24"/>
                <w:szCs w:val="20"/>
                <w:lang w:val="en-US" w:eastAsia="zh-CN" w:bidi="ar-SA"/>
                <w14:textFill>
                  <w14:solidFill>
                    <w14:schemeClr w14:val="tx1"/>
                  </w14:solidFill>
                </w14:textFill>
              </w:rPr>
              <w:t>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cs="Times New Roman"/>
                <w:b w:val="0"/>
                <w:bCs w:val="0"/>
                <w:color w:val="000000" w:themeColor="text1"/>
                <w:kern w:val="0"/>
                <w:sz w:val="24"/>
                <w:szCs w:val="24"/>
                <w:highlight w:val="none"/>
                <w:u w:val="none"/>
                <w:lang w:val="en-US" w:eastAsia="zh-CN"/>
                <w14:textFill>
                  <w14:solidFill>
                    <w14:schemeClr w14:val="tx1"/>
                  </w14:solidFill>
                </w14:textFill>
              </w:rPr>
              <w:t>（1）</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预处理单元：格栅+调节池+气浮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预处理的核心目标是去除悬浮物、稳定水质水量、降低后续生化单元负荷，为厌氧/好氧系统创造稳定运行条件，是白酒废水处理的“基础保障”。</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color w:val="000000" w:themeColor="text1"/>
                <w:kern w:val="0"/>
                <w:sz w:val="24"/>
                <w:szCs w:val="24"/>
                <w:highlight w:val="none"/>
                <w:u w:val="none"/>
                <w:lang w:val="en-US" w:eastAsia="zh-CN"/>
                <w14:textFill>
                  <w14:solidFill>
                    <w14:schemeClr w14:val="tx1"/>
                  </w14:solidFill>
                </w14:textFill>
              </w:rPr>
            </w:pPr>
            <w:r>
              <w:rPr>
                <w:rFonts w:hint="eastAsia" w:cs="Times New Roman"/>
                <w:b/>
                <w:bCs/>
                <w:color w:val="000000" w:themeColor="text1"/>
                <w:kern w:val="0"/>
                <w:sz w:val="24"/>
                <w:szCs w:val="24"/>
                <w:highlight w:val="none"/>
                <w:u w:val="none"/>
                <w:lang w:val="en-US" w:eastAsia="zh-CN"/>
                <w14:textFill>
                  <w14:solidFill>
                    <w14:schemeClr w14:val="tx1"/>
                  </w14:solidFill>
                </w14:textFill>
              </w:rPr>
              <w:t>表4-9         格栅+调节池+气浮的工作原理</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88"/>
              <w:gridCol w:w="2916"/>
              <w:gridCol w:w="2532"/>
              <w:gridCol w:w="2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单元</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核心作用</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与白酒废水的适配性</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关键设计要点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格栅</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拦截废水中的大颗粒悬浮物（如酒糟残渣、粮食碎屑、包装杂质等）</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白酒废水在酿造、蒸馏环节会混入大量固体杂质，若直接进入后续单元，会堵塞管道、磨损设备，还会包裹微生物影响生化效率，格栅可从源头解决该问题</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建议采用“粗格栅（5-10mm孔径）+细格栅（1-3mm孔径）”两级设计，避免漏截细小残渣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调节池</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1.均化水质：缓解白酒废水pH（发酵环节偏酸、清洗环节偏碱）和污染物浓度的波动；2.均化水量：匹配生产间歇性（如批次酿造导致的废水排放量波动）</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白酒生产具有“批次性”，废水排放浓度、水量昼夜差异大（如蒸馏时段COD骤升，清洗时段COD骤降），调节池可避免后续生化单元“冲击负荷”，是稳定运行的关键</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需设置搅拌装置（如潜水搅拌机）防止残渣沉积；若pH波动超6-9范围，需增设酸碱调节系统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气浮</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1.去除乳化油、胶体态有机物（如废水中的醇类、酯类形成的微小油滴）；2.进一步降低SS（残留细小酒糟颗粒）；3.部分降低COD（去除的SS和胶体态有机物可贡献10%-20%的COD去除率）</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白酒废水含一定量醇酯类物质，易形成稳定胶体，常规沉淀难以去除；且残留SS会影响UASB反应器的布水均匀性，气浮可针对性解决</w:t>
                  </w:r>
                </w:p>
              </w:tc>
              <w:tc>
                <w:tcPr>
                  <w:tcW w:w="0" w:type="auto"/>
                  <w:tcBorders>
                    <w:tl2br w:val="nil"/>
                    <w:tr2bl w:val="nil"/>
                  </w:tcBorders>
                  <w:shd w:val="clear" w:color="auto" w:fill="auto"/>
                  <w:tcMar>
                    <w:top w:w="180" w:type="dxa"/>
                    <w:left w:w="270" w:type="dxa"/>
                    <w:bottom w:w="180" w:type="dxa"/>
                    <w:right w:w="27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建议采用“溶气气浮”，投加PAC（聚合氯化铝）+PAM（聚丙烯酰胺）强化絮凝效果，确保SS去除率≥80%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cs="Times New Roman"/>
                <w:b w:val="0"/>
                <w:bCs w:val="0"/>
                <w:color w:val="000000" w:themeColor="text1"/>
                <w:kern w:val="0"/>
                <w:sz w:val="24"/>
                <w:szCs w:val="24"/>
                <w:highlight w:val="none"/>
                <w:u w:val="none"/>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厌氧处理单元：UASB（上流式厌氧污泥床）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UASB是处理高浓度有机废水的核心单元，核心目标是高效降解大分子有机物，将其转化为甲烷（可回收能源），大幅降低COD负荷，为后续好氧处理“减负”。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适配性分析：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高负荷耐受能力：白酒废水COD高达10000-50000mg/L，UASB的容积负荷可达到5-15kgCOD/(m³・d</w:t>
            </w:r>
            <w:r>
              <w:rPr>
                <w:rFonts w:hint="eastAsia" w:cs="Times New Roman"/>
                <w:b w:val="0"/>
                <w:bCs w:val="0"/>
                <w:color w:val="000000" w:themeColor="text1"/>
                <w:kern w:val="0"/>
                <w:sz w:val="24"/>
                <w:szCs w:val="24"/>
                <w:highlight w:val="none"/>
                <w:u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，能承受高浓度有机物冲击，且COD去除率稳定在70%-85%，可将后续AO单元的进水COD降至3000-7500mg/L，符合好氧系统的处理能力范围（好氧单元适宜进水COD≤8000mg/L）。</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污泥颗粒化优势：白酒废水含有的醇类、有机酸（如乳酸、乙酸）是厌氧菌的优质底物，易促进UASB内形成颗粒污泥，颗粒污泥沉降性好、微生物活性高，可进一步提升厌氧效率和系统稳定性。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能源回收价值：UASB降解有机物产生的甲烷（纯度约60%-70%）可作为锅炉燃料或发电，抵消部分处理成本，符合白酒企业“节能降耗”的需求。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关键注意事项：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需控制进水温度：厌氧菌适宜温度为中温（35±2℃）或高温（55±2℃），白酒废水通常有一定温度（如蒸馏废水温度40-60℃），可通过换热调节至适宜温度，避免低温（&lt;15℃）导致微生物活性下降。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防止毒性物质积累：若废水含高浓度硫酸盐（如使用硫酸调节pH），需控制SO</w:t>
            </w:r>
            <w:r>
              <w:rPr>
                <w:rFonts w:hint="eastAsia" w:cs="Times New Roman"/>
                <w:b w:val="0"/>
                <w:bCs w:val="0"/>
                <w:color w:val="000000" w:themeColor="text1"/>
                <w:kern w:val="0"/>
                <w:sz w:val="24"/>
                <w:szCs w:val="24"/>
                <w:highlight w:val="none"/>
                <w:u w:val="none"/>
                <w:vertAlign w:val="subscript"/>
                <w:lang w:val="en-US" w:eastAsia="zh-CN"/>
                <w14:textFill>
                  <w14:solidFill>
                    <w14:schemeClr w14:val="tx1"/>
                  </w14:solidFill>
                </w14:textFill>
              </w:rPr>
              <w:t>4</w:t>
            </w:r>
            <w:r>
              <w:rPr>
                <w:rFonts w:hint="eastAsia" w:cs="Times New Roman"/>
                <w:b w:val="0"/>
                <w:bCs w:val="0"/>
                <w:color w:val="000000" w:themeColor="text1"/>
                <w:kern w:val="0"/>
                <w:sz w:val="24"/>
                <w:szCs w:val="24"/>
                <w:highlight w:val="none"/>
                <w:u w:val="none"/>
                <w:vertAlign w:val="super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浓度≤500mg/L，避免厌氧菌将其转化为H</w:t>
            </w:r>
            <w:r>
              <w:rPr>
                <w:rFonts w:hint="eastAsia" w:cs="Times New Roman"/>
                <w:b w:val="0"/>
                <w:bCs w:val="0"/>
                <w:color w:val="000000" w:themeColor="text1"/>
                <w:kern w:val="0"/>
                <w:sz w:val="24"/>
                <w:szCs w:val="24"/>
                <w:highlight w:val="none"/>
                <w:u w:val="none"/>
                <w:vertAlign w:val="sub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S，抑制微生物活性（可在UASB后增设脱硫装置）。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cs="Times New Roman"/>
                <w:b w:val="0"/>
                <w:bCs w:val="0"/>
                <w:color w:val="000000" w:themeColor="text1"/>
                <w:kern w:val="0"/>
                <w:sz w:val="24"/>
                <w:szCs w:val="24"/>
                <w:highlight w:val="none"/>
                <w:u w:val="none"/>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好氧处理单元：AO（厌氧-好氧）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AO工艺（严格意义上为“厌氧-好氧”生物脱氮工艺，此处“前厌氧”可理解为“缺氧段”）的核心目标是深度降解厌氧出水残留的有机物，同时实现脱氮（去除氨氮），确保最终出水达标。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适配性分析：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有机物深度去除：UASB出水仍含3000-7500mg/L的COD，且以小分子有机物（如乙酸、丙酸）为主，AO系统中的好氧菌（如活性污泥）可高效降解这类物质，好氧段COD去除率可达80%-90%，结合缺氧段的反硝化作用（可去除部分COD），整体COD去除率≥95%，能将出水COD降至150mg/L以下（若需更优指标，可后续增设MBR或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脱氮功能适配：白酒废水含一定量氨氮（来源于粮食中的蛋白质分解，通常100-300mg/L），UASB对氨氮去除率极低（&lt;10%），AO工艺通过“缺氧段反硝化（NO</w:t>
            </w:r>
            <w:r>
              <w:rPr>
                <w:rFonts w:hint="eastAsia" w:cs="Times New Roman"/>
                <w:b w:val="0"/>
                <w:bCs w:val="0"/>
                <w:color w:val="000000" w:themeColor="text1"/>
                <w:kern w:val="0"/>
                <w:sz w:val="24"/>
                <w:szCs w:val="24"/>
                <w:highlight w:val="none"/>
                <w:u w:val="none"/>
                <w:vertAlign w:val="subscript"/>
                <w:lang w:val="en-US" w:eastAsia="zh-CN"/>
                <w14:textFill>
                  <w14:solidFill>
                    <w14:schemeClr w14:val="tx1"/>
                  </w14:solidFill>
                </w14:textFill>
              </w:rPr>
              <w:t>3</w:t>
            </w:r>
            <w:r>
              <w:rPr>
                <w:rFonts w:hint="eastAsia" w:cs="Times New Roman"/>
                <w:b w:val="0"/>
                <w:bCs w:val="0"/>
                <w:color w:val="000000" w:themeColor="text1"/>
                <w:kern w:val="0"/>
                <w:sz w:val="24"/>
                <w:szCs w:val="24"/>
                <w:highlight w:val="none"/>
                <w:u w:val="none"/>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→N</w:t>
            </w:r>
            <w:r>
              <w:rPr>
                <w:rFonts w:hint="eastAsia" w:cs="Times New Roman"/>
                <w:b w:val="0"/>
                <w:bCs w:val="0"/>
                <w:color w:val="000000" w:themeColor="text1"/>
                <w:kern w:val="0"/>
                <w:sz w:val="24"/>
                <w:szCs w:val="24"/>
                <w:highlight w:val="none"/>
                <w:u w:val="none"/>
                <w:vertAlign w:val="subscript"/>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）+好氧段硝化（NH</w:t>
            </w:r>
            <w:r>
              <w:rPr>
                <w:rFonts w:hint="eastAsia" w:cs="Times New Roman"/>
                <w:b w:val="0"/>
                <w:bCs w:val="0"/>
                <w:color w:val="000000" w:themeColor="text1"/>
                <w:kern w:val="0"/>
                <w:sz w:val="24"/>
                <w:szCs w:val="24"/>
                <w:highlight w:val="none"/>
                <w:u w:val="none"/>
                <w:vertAlign w:val="subscript"/>
                <w:lang w:val="en-US" w:eastAsia="zh-CN"/>
                <w14:textFill>
                  <w14:solidFill>
                    <w14:schemeClr w14:val="tx1"/>
                  </w14:solidFill>
                </w14:textFill>
              </w:rPr>
              <w:t>4</w:t>
            </w:r>
            <w:r>
              <w:rPr>
                <w:rFonts w:hint="eastAsia" w:cs="Times New Roman"/>
                <w:b w:val="0"/>
                <w:bCs w:val="0"/>
                <w:color w:val="000000" w:themeColor="text1"/>
                <w:kern w:val="0"/>
                <w:sz w:val="24"/>
                <w:szCs w:val="24"/>
                <w:highlight w:val="none"/>
                <w:u w:val="none"/>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→NO</w:t>
            </w:r>
            <w:r>
              <w:rPr>
                <w:rFonts w:hint="eastAsia" w:cs="Times New Roman"/>
                <w:b w:val="0"/>
                <w:bCs w:val="0"/>
                <w:color w:val="000000" w:themeColor="text1"/>
                <w:kern w:val="0"/>
                <w:sz w:val="24"/>
                <w:szCs w:val="24"/>
                <w:highlight w:val="none"/>
                <w:u w:val="none"/>
                <w:vertAlign w:val="subscript"/>
                <w:lang w:val="en-US" w:eastAsia="zh-CN"/>
                <w14:textFill>
                  <w14:solidFill>
                    <w14:schemeClr w14:val="tx1"/>
                  </w14:solidFill>
                </w14:textFill>
              </w:rPr>
              <w:t>3</w:t>
            </w:r>
            <w:r>
              <w:rPr>
                <w:rFonts w:hint="eastAsia" w:cs="Times New Roman"/>
                <w:b w:val="0"/>
                <w:bCs w:val="0"/>
                <w:color w:val="000000" w:themeColor="text1"/>
                <w:kern w:val="0"/>
                <w:sz w:val="24"/>
                <w:szCs w:val="24"/>
                <w:highlight w:val="none"/>
                <w:u w:val="none"/>
                <w:vertAlign w:val="superscript"/>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highlight w:val="none"/>
                <w:u w:val="none"/>
                <w:lang w:val="en-US" w:eastAsia="zh-CN"/>
                <w14:textFill>
                  <w14:solidFill>
                    <w14:schemeClr w14:val="tx1"/>
                  </w14:solidFill>
                </w14:textFill>
              </w:rPr>
              <w:t>）”，可实现氨氮去除率≥90%，确保出水氨氮≤15mg/L（符合《发酵酒精和白酒工业水污染物排放标准》GB 27631-2011的间接排放要求）。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宋体" w:cs="Times New Roman"/>
                <w:b/>
                <w:bCs/>
                <w:kern w:val="0"/>
                <w:sz w:val="24"/>
                <w:highlight w:val="none"/>
                <w:lang w:val="en-US" w:eastAsia="zh-CN"/>
              </w:rPr>
            </w:pPr>
            <w:r>
              <w:rPr>
                <w:rFonts w:hint="eastAsia" w:cs="Times New Roman"/>
                <w:b/>
                <w:bCs/>
                <w:kern w:val="0"/>
                <w:sz w:val="24"/>
                <w:highlight w:val="none"/>
                <w:lang w:val="en-US" w:eastAsia="zh-CN"/>
              </w:rPr>
              <w:t>3</w:t>
            </w:r>
            <w:r>
              <w:rPr>
                <w:rFonts w:hint="eastAsia" w:eastAsia="宋体" w:cs="Times New Roman"/>
                <w:b/>
                <w:bCs/>
                <w:kern w:val="0"/>
                <w:sz w:val="24"/>
                <w:highlight w:val="none"/>
                <w:lang w:val="en-US" w:eastAsia="zh-CN"/>
              </w:rPr>
              <w:t>、废水污染防治措施可行性分析</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cs="Times New Roman"/>
                <w:kern w:val="0"/>
                <w:sz w:val="24"/>
                <w:highlight w:val="none"/>
                <w:lang w:val="en-US" w:eastAsia="zh-CN"/>
              </w:rPr>
            </w:pPr>
            <w:r>
              <w:rPr>
                <w:rFonts w:hint="eastAsia" w:eastAsia="宋体" w:cs="Times New Roman"/>
                <w:kern w:val="0"/>
                <w:sz w:val="24"/>
                <w:highlight w:val="none"/>
                <w:lang w:val="en-US" w:eastAsia="zh-CN"/>
              </w:rPr>
              <w:t>项目污水处理设施处理工艺可行性分析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根据《排污许可证申请与核发技术规范 酒、饮料制造工业》</w:t>
            </w:r>
            <w:r>
              <w:rPr>
                <w:rFonts w:hint="eastAsia" w:cs="Times New Roman"/>
                <w:kern w:val="0"/>
                <w:sz w:val="24"/>
                <w:highlight w:val="none"/>
                <w:lang w:val="en-US" w:eastAsia="zh-CN"/>
              </w:rPr>
              <w:t>（</w:t>
            </w:r>
            <w:r>
              <w:rPr>
                <w:rFonts w:hint="eastAsia" w:ascii="Times New Roman" w:hAnsi="Times New Roman" w:eastAsia="宋体" w:cs="Times New Roman"/>
                <w:kern w:val="0"/>
                <w:sz w:val="24"/>
                <w:highlight w:val="none"/>
                <w:lang w:val="en-US" w:eastAsia="zh-CN"/>
              </w:rPr>
              <w:t>HT 1028-2019</w:t>
            </w:r>
            <w:r>
              <w:rPr>
                <w:rFonts w:hint="eastAsia" w:cs="Times New Roman"/>
                <w:kern w:val="0"/>
                <w:sz w:val="24"/>
                <w:highlight w:val="none"/>
                <w:lang w:val="en-US" w:eastAsia="zh-CN"/>
              </w:rPr>
              <w:t>）中</w:t>
            </w:r>
            <w:r>
              <w:rPr>
                <w:rFonts w:hint="eastAsia" w:eastAsia="宋体" w:cs="Times New Roman"/>
                <w:kern w:val="0"/>
                <w:sz w:val="24"/>
                <w:highlight w:val="none"/>
                <w:lang w:val="en-US" w:eastAsia="zh-CN"/>
              </w:rPr>
              <w:t>表8酒、饮料制造工业排污单位废水污染防治可行技术参考表，本项目污水处理工艺可行性分析见表4-</w:t>
            </w:r>
            <w:r>
              <w:rPr>
                <w:rFonts w:hint="eastAsia" w:cs="Times New Roman"/>
                <w:kern w:val="0"/>
                <w:sz w:val="24"/>
                <w:highlight w:val="none"/>
                <w:lang w:val="en-US" w:eastAsia="zh-CN"/>
              </w:rPr>
              <w:t>10</w:t>
            </w:r>
            <w:r>
              <w:rPr>
                <w:rFonts w:hint="eastAsia" w:eastAsia="宋体" w:cs="Times New Roman"/>
                <w:kern w:val="0"/>
                <w:sz w:val="24"/>
                <w:highlight w:val="none"/>
                <w:lang w:val="en-US" w:eastAsia="zh-CN"/>
              </w:rPr>
              <w:t>。</w:t>
            </w:r>
          </w:p>
          <w:p>
            <w:pPr>
              <w:widowControl w:val="0"/>
              <w:snapToGrid w:val="0"/>
              <w:ind w:firstLine="420"/>
              <w:jc w:val="center"/>
              <w:rPr>
                <w:rFonts w:hint="default" w:ascii="Times New Roman" w:hAnsi="Times New Roman" w:eastAsia="Times New Roman" w:cs="Times New Roman"/>
                <w:b/>
                <w:color w:val="auto"/>
                <w:kern w:val="0"/>
                <w:sz w:val="24"/>
                <w:szCs w:val="24"/>
                <w:highlight w:val="none"/>
                <w:lang w:val="en-US" w:eastAsia="zh-CN" w:bidi="ar-SA"/>
              </w:rPr>
            </w:pPr>
            <w:r>
              <w:rPr>
                <w:rFonts w:hint="eastAsia" w:ascii="Times New Roman" w:hAnsi="Times New Roman" w:eastAsia="Times New Roman" w:cs="Times New Roman"/>
                <w:b/>
                <w:color w:val="auto"/>
                <w:kern w:val="0"/>
                <w:sz w:val="24"/>
                <w:szCs w:val="24"/>
                <w:highlight w:val="none"/>
                <w:lang w:val="en-US" w:eastAsia="zh-CN" w:bidi="ar-SA"/>
              </w:rPr>
              <w:t>表4-</w:t>
            </w:r>
            <w:r>
              <w:rPr>
                <w:rFonts w:hint="eastAsia" w:eastAsia="Times New Roman" w:cs="Times New Roman"/>
                <w:b/>
                <w:color w:val="auto"/>
                <w:kern w:val="0"/>
                <w:sz w:val="24"/>
                <w:szCs w:val="24"/>
                <w:highlight w:val="none"/>
                <w:lang w:val="en-US" w:eastAsia="zh-CN" w:bidi="ar-SA"/>
              </w:rPr>
              <w:t xml:space="preserve">10   </w:t>
            </w:r>
            <w:r>
              <w:rPr>
                <w:rFonts w:hint="eastAsia" w:ascii="Times New Roman" w:hAnsi="Times New Roman" w:eastAsia="Times New Roman" w:cs="Times New Roman"/>
                <w:b/>
                <w:color w:val="auto"/>
                <w:kern w:val="0"/>
                <w:sz w:val="24"/>
                <w:szCs w:val="24"/>
                <w:highlight w:val="none"/>
                <w:lang w:val="en-US" w:eastAsia="zh-CN" w:bidi="ar-SA"/>
              </w:rPr>
              <w:t xml:space="preserve"> 项目污水处理设施处理工艺可行性分析</w:t>
            </w:r>
          </w:p>
          <w:tbl>
            <w:tblPr>
              <w:tblStyle w:val="3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318"/>
              <w:gridCol w:w="2564"/>
              <w:gridCol w:w="1871"/>
              <w:gridCol w:w="6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0"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污染源</w:t>
                  </w:r>
                </w:p>
              </w:tc>
              <w:tc>
                <w:tcPr>
                  <w:tcW w:w="1359"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主要污染物</w:t>
                  </w:r>
                </w:p>
              </w:tc>
              <w:tc>
                <w:tcPr>
                  <w:tcW w:w="1503"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可行技术</w:t>
                  </w:r>
                </w:p>
              </w:tc>
              <w:tc>
                <w:tcPr>
                  <w:tcW w:w="1097"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本项目</w:t>
                  </w:r>
                </w:p>
              </w:tc>
              <w:tc>
                <w:tcPr>
                  <w:tcW w:w="388"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是否可行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谷物类发酵酒精酒糟液</w:t>
                  </w:r>
                </w:p>
              </w:tc>
              <w:tc>
                <w:tcPr>
                  <w:tcW w:w="1359"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pH 值、悬浮物、化学需氧量、五日生化需氧量、氨氮、总氮、总磷、色度</w:t>
                  </w:r>
                </w:p>
              </w:tc>
              <w:tc>
                <w:tcPr>
                  <w:tcW w:w="1503"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default" w:ascii="Times New Roman" w:hAnsi="Times New Roman" w:eastAsia="宋体" w:cs="Times New Roman"/>
                      <w:b w:val="0"/>
                      <w:bCs w:val="0"/>
                      <w:spacing w:val="5"/>
                      <w:kern w:val="2"/>
                      <w:sz w:val="21"/>
                      <w:szCs w:val="21"/>
                      <w:highlight w:val="none"/>
                      <w:lang w:val="en-US" w:eastAsia="zh-CN" w:bidi="ar-SA"/>
                    </w:rPr>
                    <w:t>生产干全酒精糟</w:t>
                  </w:r>
                  <w:r>
                    <w:rPr>
                      <w:rFonts w:hint="eastAsia" w:cs="Times New Roman"/>
                      <w:b w:val="0"/>
                      <w:bCs w:val="0"/>
                      <w:spacing w:val="5"/>
                      <w:kern w:val="2"/>
                      <w:sz w:val="21"/>
                      <w:szCs w:val="21"/>
                      <w:highlight w:val="none"/>
                      <w:lang w:val="en-US" w:eastAsia="zh-CN" w:bidi="ar-SA"/>
                    </w:rPr>
                    <w:t>（</w:t>
                  </w:r>
                  <w:r>
                    <w:rPr>
                      <w:rFonts w:hint="default" w:ascii="Times New Roman" w:hAnsi="Times New Roman" w:eastAsia="宋体" w:cs="Times New Roman"/>
                      <w:b w:val="0"/>
                      <w:bCs w:val="0"/>
                      <w:spacing w:val="5"/>
                      <w:kern w:val="2"/>
                      <w:sz w:val="21"/>
                      <w:szCs w:val="21"/>
                      <w:highlight w:val="none"/>
                      <w:lang w:val="en-US" w:eastAsia="zh-CN" w:bidi="ar-SA"/>
                    </w:rPr>
                    <w:t>DDGS</w:t>
                  </w:r>
                  <w:r>
                    <w:rPr>
                      <w:rFonts w:hint="eastAsia" w:cs="Times New Roman"/>
                      <w:b w:val="0"/>
                      <w:bCs w:val="0"/>
                      <w:spacing w:val="5"/>
                      <w:kern w:val="2"/>
                      <w:sz w:val="21"/>
                      <w:szCs w:val="21"/>
                      <w:highlight w:val="none"/>
                      <w:lang w:val="en-US" w:eastAsia="zh-CN" w:bidi="ar-SA"/>
                    </w:rPr>
                    <w:t>）</w:t>
                  </w:r>
                  <w:r>
                    <w:rPr>
                      <w:rFonts w:hint="default" w:ascii="Times New Roman" w:hAnsi="Times New Roman" w:eastAsia="宋体" w:cs="Times New Roman"/>
                      <w:b w:val="0"/>
                      <w:bCs w:val="0"/>
                      <w:spacing w:val="5"/>
                      <w:kern w:val="2"/>
                      <w:sz w:val="21"/>
                      <w:szCs w:val="21"/>
                      <w:highlight w:val="none"/>
                      <w:lang w:val="en-US" w:eastAsia="zh-CN" w:bidi="ar-SA"/>
                    </w:rPr>
                    <w:t>后，废水排入厂内综合污水处理站</w:t>
                  </w:r>
                </w:p>
              </w:tc>
              <w:tc>
                <w:tcPr>
                  <w:tcW w:w="1097"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本项目</w:t>
                  </w:r>
                  <w:r>
                    <w:rPr>
                      <w:rFonts w:hint="eastAsia" w:cs="Times New Roman"/>
                      <w:b w:val="0"/>
                      <w:bCs w:val="0"/>
                      <w:spacing w:val="5"/>
                      <w:kern w:val="2"/>
                      <w:sz w:val="21"/>
                      <w:szCs w:val="21"/>
                      <w:highlight w:val="none"/>
                      <w:lang w:val="en-US" w:eastAsia="zh-CN" w:bidi="ar-SA"/>
                    </w:rPr>
                    <w:t>馏酒后的酒糟进入晾晒场晾晒</w:t>
                  </w:r>
                </w:p>
              </w:tc>
              <w:tc>
                <w:tcPr>
                  <w:tcW w:w="388"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cs="Times New Roman"/>
                      <w:b w:val="0"/>
                      <w:bCs w:val="0"/>
                      <w:spacing w:val="5"/>
                      <w:kern w:val="2"/>
                      <w:sz w:val="21"/>
                      <w:szCs w:val="21"/>
                      <w:highlight w:val="none"/>
                      <w:lang w:val="en-US" w:eastAsia="zh-CN" w:bidi="ar-SA"/>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pPr>
                    <w:widowControl w:val="0"/>
                    <w:jc w:val="center"/>
                    <w:rPr>
                      <w:rFonts w:hint="eastAsia"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综合</w:t>
                  </w:r>
                </w:p>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废水</w:t>
                  </w:r>
                </w:p>
              </w:tc>
              <w:tc>
                <w:tcPr>
                  <w:tcW w:w="1359"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pH 值、悬浮物、化学需氧量、五日生化需氧量、氨氮、总氮、总磷、色度</w:t>
                  </w:r>
                </w:p>
              </w:tc>
              <w:tc>
                <w:tcPr>
                  <w:tcW w:w="1503" w:type="pct"/>
                  <w:tcBorders>
                    <w:tl2br w:val="nil"/>
                    <w:tr2bl w:val="nil"/>
                  </w:tcBorders>
                  <w:vAlign w:val="center"/>
                </w:tcPr>
                <w:p>
                  <w:pPr>
                    <w:widowControl w:val="0"/>
                    <w:numPr>
                      <w:ilvl w:val="0"/>
                      <w:numId w:val="0"/>
                    </w:numPr>
                    <w:jc w:val="center"/>
                    <w:rPr>
                      <w:rFonts w:hint="eastAsia"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预处理</w:t>
                  </w:r>
                  <w:r>
                    <w:rPr>
                      <w:rFonts w:hint="eastAsia" w:cs="Times New Roman"/>
                      <w:b w:val="0"/>
                      <w:bCs w:val="0"/>
                      <w:spacing w:val="5"/>
                      <w:kern w:val="2"/>
                      <w:sz w:val="21"/>
                      <w:szCs w:val="21"/>
                      <w:highlight w:val="none"/>
                      <w:lang w:val="en-US" w:eastAsia="zh-CN" w:bidi="ar-SA"/>
                    </w:rPr>
                    <w:t>：</w:t>
                  </w:r>
                  <w:r>
                    <w:rPr>
                      <w:rFonts w:hint="eastAsia" w:ascii="Times New Roman" w:hAnsi="Times New Roman" w:eastAsia="宋体" w:cs="Times New Roman"/>
                      <w:b w:val="0"/>
                      <w:bCs w:val="0"/>
                      <w:spacing w:val="5"/>
                      <w:kern w:val="2"/>
                      <w:sz w:val="21"/>
                      <w:szCs w:val="21"/>
                      <w:highlight w:val="none"/>
                      <w:lang w:val="en-US" w:eastAsia="zh-CN" w:bidi="ar-SA"/>
                    </w:rPr>
                    <w:t>除油、沉淀、过滤</w:t>
                  </w:r>
                </w:p>
                <w:p>
                  <w:pPr>
                    <w:widowControl w:val="0"/>
                    <w:numPr>
                      <w:ilvl w:val="0"/>
                      <w:numId w:val="0"/>
                    </w:numPr>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二级处理</w:t>
                  </w:r>
                  <w:r>
                    <w:rPr>
                      <w:rFonts w:hint="eastAsia" w:cs="Times New Roman"/>
                      <w:b w:val="0"/>
                      <w:bCs w:val="0"/>
                      <w:spacing w:val="5"/>
                      <w:kern w:val="2"/>
                      <w:sz w:val="21"/>
                      <w:szCs w:val="21"/>
                      <w:highlight w:val="none"/>
                      <w:lang w:val="en-US" w:eastAsia="zh-CN" w:bidi="ar-SA"/>
                    </w:rPr>
                    <w:t>：</w:t>
                  </w:r>
                  <w:r>
                    <w:rPr>
                      <w:rFonts w:hint="eastAsia" w:ascii="Times New Roman" w:hAnsi="Times New Roman" w:eastAsia="宋体" w:cs="Times New Roman"/>
                      <w:b w:val="0"/>
                      <w:bCs w:val="0"/>
                      <w:spacing w:val="5"/>
                      <w:kern w:val="2"/>
                      <w:sz w:val="21"/>
                      <w:szCs w:val="21"/>
                      <w:highlight w:val="none"/>
                      <w:lang w:val="en-US" w:eastAsia="zh-CN" w:bidi="ar-SA"/>
                    </w:rPr>
                    <w:t>好氧、水解酸化-好氧、厌氧-好氧、兼性-好氧、氧化沟、生物转盘</w:t>
                  </w:r>
                </w:p>
              </w:tc>
              <w:tc>
                <w:tcPr>
                  <w:tcW w:w="1097"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cs="Times New Roman"/>
                      <w:b w:val="0"/>
                      <w:bCs w:val="0"/>
                      <w:spacing w:val="5"/>
                      <w:kern w:val="2"/>
                      <w:sz w:val="21"/>
                      <w:szCs w:val="21"/>
                      <w:highlight w:val="none"/>
                      <w:lang w:val="en-US" w:eastAsia="zh-CN" w:bidi="ar-SA"/>
                    </w:rPr>
                    <w:t>本项目采用预处理（调节池（沉淀））+二级处理（UASB+AO）</w:t>
                  </w:r>
                </w:p>
              </w:tc>
              <w:tc>
                <w:tcPr>
                  <w:tcW w:w="388" w:type="pct"/>
                  <w:tcBorders>
                    <w:tl2br w:val="nil"/>
                    <w:tr2bl w:val="nil"/>
                  </w:tcBorders>
                  <w:vAlign w:val="center"/>
                </w:tcPr>
                <w:p>
                  <w:pPr>
                    <w:widowControl w:val="0"/>
                    <w:jc w:val="center"/>
                    <w:rPr>
                      <w:rFonts w:hint="default" w:ascii="Times New Roman" w:hAnsi="Times New Roman" w:eastAsia="宋体" w:cs="Times New Roman"/>
                      <w:b w:val="0"/>
                      <w:bCs w:val="0"/>
                      <w:spacing w:val="5"/>
                      <w:kern w:val="2"/>
                      <w:sz w:val="21"/>
                      <w:szCs w:val="21"/>
                      <w:highlight w:val="none"/>
                      <w:lang w:val="en-US" w:eastAsia="zh-CN" w:bidi="ar-SA"/>
                    </w:rPr>
                  </w:pPr>
                  <w:r>
                    <w:rPr>
                      <w:rFonts w:hint="eastAsia" w:ascii="Times New Roman" w:hAnsi="Times New Roman" w:eastAsia="宋体" w:cs="Times New Roman"/>
                      <w:b w:val="0"/>
                      <w:bCs w:val="0"/>
                      <w:spacing w:val="5"/>
                      <w:kern w:val="2"/>
                      <w:sz w:val="21"/>
                      <w:szCs w:val="21"/>
                      <w:highlight w:val="none"/>
                      <w:lang w:val="en-US" w:eastAsia="zh-CN" w:bidi="ar-SA"/>
                    </w:rPr>
                    <w:t>可行</w:t>
                  </w:r>
                </w:p>
              </w:tc>
            </w:tr>
          </w:tbl>
          <w:p>
            <w:pPr>
              <w:numPr>
                <w:ilvl w:val="0"/>
                <w:numId w:val="7"/>
              </w:numPr>
              <w:autoSpaceDE w:val="0"/>
              <w:autoSpaceDN w:val="0"/>
              <w:adjustRightInd w:val="0"/>
              <w:spacing w:line="360" w:lineRule="auto"/>
              <w:ind w:left="0" w:leftChars="0" w:firstLine="480" w:firstLineChars="200"/>
              <w:rPr>
                <w:rFonts w:hint="eastAsia" w:cs="Times New Roman"/>
                <w:b w:val="0"/>
                <w:bCs w:val="0"/>
                <w:kern w:val="0"/>
                <w:sz w:val="24"/>
                <w:highlight w:val="none"/>
                <w:lang w:val="en-US" w:eastAsia="zh-CN"/>
              </w:rPr>
            </w:pPr>
            <w:r>
              <w:rPr>
                <w:rFonts w:hint="eastAsia" w:cs="Times New Roman"/>
                <w:b w:val="0"/>
                <w:bCs w:val="0"/>
                <w:kern w:val="0"/>
                <w:sz w:val="24"/>
                <w:highlight w:val="none"/>
                <w:lang w:val="en-US" w:eastAsia="zh-CN"/>
              </w:rPr>
              <w:t>单位产品排水量的核算</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textAlignment w:val="auto"/>
              <w:rPr>
                <w:rFonts w:hint="default" w:cs="Times New Roman"/>
                <w:b w:val="0"/>
                <w:bCs w:val="0"/>
                <w:kern w:val="0"/>
                <w:sz w:val="24"/>
                <w:szCs w:val="24"/>
                <w:highlight w:val="none"/>
                <w:lang w:val="en-US" w:eastAsia="zh-CN"/>
              </w:rPr>
            </w:pPr>
            <w:r>
              <w:rPr>
                <w:rFonts w:hint="eastAsia" w:cs="Times New Roman"/>
                <w:b w:val="0"/>
                <w:bCs w:val="0"/>
                <w:kern w:val="0"/>
                <w:sz w:val="24"/>
                <w:szCs w:val="24"/>
                <w:highlight w:val="none"/>
                <w:lang w:val="en-US" w:eastAsia="zh-CN"/>
              </w:rPr>
              <w:t>本项目生产废水排水量为1832.438m</w:t>
            </w:r>
            <w:r>
              <w:rPr>
                <w:rFonts w:hint="eastAsia" w:cs="Times New Roman"/>
                <w:b w:val="0"/>
                <w:bCs w:val="0"/>
                <w:kern w:val="0"/>
                <w:sz w:val="24"/>
                <w:szCs w:val="24"/>
                <w:highlight w:val="none"/>
                <w:vertAlign w:val="superscript"/>
                <w:lang w:val="en-US" w:eastAsia="zh-CN"/>
              </w:rPr>
              <w:t>3</w:t>
            </w:r>
            <w:r>
              <w:rPr>
                <w:rFonts w:hint="eastAsia" w:cs="Times New Roman"/>
                <w:b w:val="0"/>
                <w:bCs w:val="0"/>
                <w:kern w:val="0"/>
                <w:sz w:val="24"/>
                <w:szCs w:val="24"/>
                <w:highlight w:val="none"/>
                <w:lang w:val="en-US" w:eastAsia="zh-CN"/>
              </w:rPr>
              <w:t>/a，生活污水排水量为259.2m</w:t>
            </w:r>
            <w:r>
              <w:rPr>
                <w:rFonts w:hint="eastAsia" w:cs="Times New Roman"/>
                <w:b w:val="0"/>
                <w:bCs w:val="0"/>
                <w:kern w:val="0"/>
                <w:sz w:val="24"/>
                <w:szCs w:val="24"/>
                <w:highlight w:val="none"/>
                <w:vertAlign w:val="superscript"/>
                <w:lang w:val="en-US" w:eastAsia="zh-CN"/>
              </w:rPr>
              <w:t>3</w:t>
            </w:r>
            <w:r>
              <w:rPr>
                <w:rFonts w:hint="eastAsia" w:cs="Times New Roman"/>
                <w:b w:val="0"/>
                <w:bCs w:val="0"/>
                <w:kern w:val="0"/>
                <w:sz w:val="24"/>
                <w:szCs w:val="24"/>
                <w:highlight w:val="none"/>
                <w:lang w:val="en-US" w:eastAsia="zh-CN"/>
              </w:rPr>
              <w:t>/a，总排水量为2191.638m</w:t>
            </w:r>
            <w:r>
              <w:rPr>
                <w:rFonts w:hint="eastAsia" w:cs="Times New Roman"/>
                <w:b w:val="0"/>
                <w:bCs w:val="0"/>
                <w:kern w:val="0"/>
                <w:sz w:val="24"/>
                <w:szCs w:val="24"/>
                <w:highlight w:val="none"/>
                <w:vertAlign w:val="superscript"/>
                <w:lang w:val="en-US" w:eastAsia="zh-CN"/>
              </w:rPr>
              <w:t>3</w:t>
            </w:r>
            <w:r>
              <w:rPr>
                <w:rFonts w:hint="eastAsia" w:cs="Times New Roman"/>
                <w:b w:val="0"/>
                <w:bCs w:val="0"/>
                <w:kern w:val="0"/>
                <w:sz w:val="24"/>
                <w:szCs w:val="24"/>
                <w:highlight w:val="none"/>
                <w:lang w:val="en-US" w:eastAsia="zh-CN"/>
              </w:rPr>
              <w:t>/a，年产白酒量为150t，则单位产品排水量为14.6m</w:t>
            </w:r>
            <w:r>
              <w:rPr>
                <w:rFonts w:hint="eastAsia" w:cs="Times New Roman"/>
                <w:b w:val="0"/>
                <w:bCs w:val="0"/>
                <w:kern w:val="0"/>
                <w:sz w:val="24"/>
                <w:szCs w:val="24"/>
                <w:highlight w:val="none"/>
                <w:vertAlign w:val="superscript"/>
                <w:lang w:val="en-US" w:eastAsia="zh-CN"/>
              </w:rPr>
              <w:t>3</w:t>
            </w:r>
            <w:r>
              <w:rPr>
                <w:rFonts w:hint="eastAsia" w:cs="Times New Roman"/>
                <w:b w:val="0"/>
                <w:bCs w:val="0"/>
                <w:kern w:val="0"/>
                <w:sz w:val="24"/>
                <w:szCs w:val="24"/>
                <w:highlight w:val="none"/>
                <w:lang w:val="en-US" w:eastAsia="zh-CN"/>
              </w:rPr>
              <w:t>/t-产品，《发酵酒精和白酒工业水污染物排放标准》（GB 27631-2011）及修改单中表2间接排放标准</w:t>
            </w:r>
            <w:r>
              <w:rPr>
                <w:rFonts w:hint="eastAsia" w:ascii="Times New Roman" w:eastAsia="宋体"/>
                <w:sz w:val="24"/>
                <w:szCs w:val="24"/>
                <w:vertAlign w:val="baseline"/>
                <w:lang w:val="en-US" w:eastAsia="zh-CN"/>
              </w:rPr>
              <w:t>单位产品基准排水量（m</w:t>
            </w:r>
            <w:r>
              <w:rPr>
                <w:rFonts w:hint="eastAsia" w:ascii="Times New Roman" w:eastAsia="宋体"/>
                <w:sz w:val="24"/>
                <w:szCs w:val="24"/>
                <w:vertAlign w:val="superscript"/>
                <w:lang w:val="en-US" w:eastAsia="zh-CN"/>
              </w:rPr>
              <w:t>3</w:t>
            </w:r>
            <w:r>
              <w:rPr>
                <w:rFonts w:hint="eastAsia" w:ascii="Times New Roman" w:eastAsia="宋体"/>
                <w:sz w:val="24"/>
                <w:szCs w:val="24"/>
                <w:vertAlign w:val="baseline"/>
                <w:lang w:val="en-US" w:eastAsia="zh-CN"/>
              </w:rPr>
              <w:t>/t）限值为20m</w:t>
            </w:r>
            <w:r>
              <w:rPr>
                <w:rFonts w:hint="eastAsia" w:ascii="Times New Roman" w:eastAsia="宋体"/>
                <w:sz w:val="24"/>
                <w:szCs w:val="24"/>
                <w:vertAlign w:val="superscript"/>
                <w:lang w:val="en-US" w:eastAsia="zh-CN"/>
              </w:rPr>
              <w:t>3</w:t>
            </w:r>
            <w:r>
              <w:rPr>
                <w:rFonts w:hint="eastAsia" w:ascii="Times New Roman" w:eastAsia="宋体"/>
                <w:sz w:val="24"/>
                <w:szCs w:val="24"/>
                <w:vertAlign w:val="baseline"/>
                <w:lang w:val="en-US" w:eastAsia="zh-CN"/>
              </w:rPr>
              <w:t>/t，本项目满足</w:t>
            </w:r>
            <w:r>
              <w:rPr>
                <w:rFonts w:hint="eastAsia"/>
                <w:sz w:val="24"/>
                <w:szCs w:val="24"/>
                <w:vertAlign w:val="baseline"/>
                <w:lang w:val="en-US" w:eastAsia="zh-CN"/>
              </w:rPr>
              <w:t>《发酵酒精和白酒工业水污染物排放标准》（GB 27631-2011）及修改单</w:t>
            </w:r>
            <w:r>
              <w:rPr>
                <w:rFonts w:hint="eastAsia" w:ascii="Times New Roman" w:eastAsia="宋体"/>
                <w:sz w:val="24"/>
                <w:szCs w:val="24"/>
                <w:vertAlign w:val="baseline"/>
                <w:lang w:val="en-US" w:eastAsia="zh-CN"/>
              </w:rPr>
              <w:t>中表2间接排放标准中的要求。</w:t>
            </w:r>
          </w:p>
          <w:p>
            <w:pPr>
              <w:autoSpaceDE w:val="0"/>
              <w:autoSpaceDN w:val="0"/>
              <w:adjustRightInd w:val="0"/>
              <w:spacing w:line="360" w:lineRule="auto"/>
              <w:ind w:firstLine="480" w:firstLineChars="200"/>
              <w:rPr>
                <w:rFonts w:ascii="Times New Roman" w:hAnsi="Times New Roman" w:eastAsia="宋体" w:cs="Times New Roman"/>
                <w:b w:val="0"/>
                <w:bCs w:val="0"/>
                <w:sz w:val="24"/>
                <w:highlight w:val="none"/>
              </w:rPr>
            </w:pPr>
            <w:r>
              <w:rPr>
                <w:rFonts w:hint="eastAsia" w:cs="Times New Roman"/>
                <w:b w:val="0"/>
                <w:bCs w:val="0"/>
                <w:kern w:val="0"/>
                <w:sz w:val="24"/>
                <w:highlight w:val="none"/>
                <w:lang w:val="en-US" w:eastAsia="zh-CN"/>
              </w:rPr>
              <w:t>（3）</w:t>
            </w:r>
            <w:r>
              <w:rPr>
                <w:rFonts w:ascii="Times New Roman" w:hAnsi="Times New Roman" w:eastAsia="宋体" w:cs="Times New Roman"/>
                <w:b w:val="0"/>
                <w:bCs w:val="0"/>
                <w:sz w:val="24"/>
                <w:highlight w:val="none"/>
              </w:rPr>
              <w:t>依托</w:t>
            </w:r>
            <w:r>
              <w:rPr>
                <w:rFonts w:hint="eastAsia" w:cs="Times New Roman"/>
                <w:b w:val="0"/>
                <w:bCs w:val="0"/>
                <w:sz w:val="24"/>
                <w:highlight w:val="none"/>
                <w:lang w:val="en-US" w:eastAsia="zh-CN"/>
              </w:rPr>
              <w:t>焉耆县污水处理厂的</w:t>
            </w:r>
            <w:r>
              <w:rPr>
                <w:rFonts w:ascii="Times New Roman" w:hAnsi="Times New Roman" w:eastAsia="宋体" w:cs="Times New Roman"/>
                <w:b w:val="0"/>
                <w:bCs w:val="0"/>
                <w:sz w:val="24"/>
                <w:highlight w:val="none"/>
              </w:rPr>
              <w:t>可行性</w:t>
            </w:r>
          </w:p>
          <w:p>
            <w:pPr>
              <w:spacing w:line="360" w:lineRule="auto"/>
              <w:ind w:firstLine="480" w:firstLineChars="20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焉耆县污水处理厂</w:t>
            </w:r>
            <w:r>
              <w:rPr>
                <w:rFonts w:hint="eastAsia" w:cs="Times New Roman"/>
                <w:sz w:val="24"/>
                <w:highlight w:val="none"/>
                <w:lang w:val="en-US" w:eastAsia="zh-CN"/>
              </w:rPr>
              <w:t>现运营单位为焉耆广旭水务有限责任公司，位于新疆巴州焉耆县焉耆镇民主路喀什巷1号院，中心坐标为</w:t>
            </w:r>
            <w:r>
              <w:rPr>
                <w:rFonts w:hint="eastAsia" w:ascii="Times New Roman" w:hAnsi="Times New Roman" w:eastAsia="宋体" w:cs="Times New Roman"/>
                <w:sz w:val="24"/>
                <w:highlight w:val="none"/>
              </w:rPr>
              <w:t>：东经86°34'6.86''，北纬42°4'6.86''。焉耆县污水处理厂占地30.5亩,经过一期、二期建设。一期工程总投资801万元，于2019年7月投入运行，因不能稳定达到一级B出水要求，2012年5月开工建设二期工程，即提标改造工程。二期工程总投资2723万元，对原一期处理工艺中不完整设计进行增设，增加格栅间、沉砂池、二沉池、紫外线消毒间和相应的计量、检测设施。新设计卡鲁塞尔氧化沟处理构筑物，提高污水处理能力，日处理能力达到2万立方米。2014年6月19日通过“三同时”</w:t>
            </w:r>
            <w:r>
              <w:rPr>
                <w:rFonts w:hint="eastAsia" w:cs="Times New Roman"/>
                <w:sz w:val="24"/>
                <w:highlight w:val="none"/>
                <w:lang w:val="en-US" w:eastAsia="zh-CN"/>
              </w:rPr>
              <w:t>环保</w:t>
            </w:r>
            <w:r>
              <w:rPr>
                <w:rFonts w:hint="eastAsia" w:ascii="Times New Roman" w:hAnsi="Times New Roman" w:eastAsia="宋体" w:cs="Times New Roman"/>
                <w:sz w:val="24"/>
                <w:highlight w:val="none"/>
              </w:rPr>
              <w:t>验收。</w:t>
            </w:r>
            <w:r>
              <w:rPr>
                <w:rFonts w:hint="eastAsia" w:cs="Times New Roman"/>
                <w:sz w:val="24"/>
                <w:highlight w:val="none"/>
                <w:lang w:eastAsia="zh-CN"/>
              </w:rPr>
              <w:t>（</w:t>
            </w:r>
            <w:r>
              <w:rPr>
                <w:rFonts w:hint="eastAsia" w:cs="Times New Roman"/>
                <w:sz w:val="24"/>
                <w:highlight w:val="none"/>
                <w:lang w:val="en-US" w:eastAsia="zh-CN"/>
              </w:rPr>
              <w:t>环评文号：巴环评价函〔2013〕773号，验收文号：巴环验字〔2014〕19号</w:t>
            </w:r>
            <w:r>
              <w:rPr>
                <w:rFonts w:hint="eastAsia" w:cs="Times New Roman"/>
                <w:sz w:val="24"/>
                <w:highlight w:val="none"/>
                <w:lang w:eastAsia="zh-CN"/>
              </w:rPr>
              <w:t>）</w:t>
            </w:r>
          </w:p>
          <w:p>
            <w:pPr>
              <w:spacing w:line="360" w:lineRule="auto"/>
              <w:ind w:firstLine="480" w:firstLineChars="200"/>
              <w:rPr>
                <w:rFonts w:hint="eastAsia" w:cs="Times New Roman"/>
                <w:sz w:val="24"/>
                <w:highlight w:val="none"/>
                <w:lang w:eastAsia="zh-CN"/>
              </w:rPr>
            </w:pPr>
            <w:r>
              <w:rPr>
                <w:rFonts w:hint="eastAsia" w:cs="Times New Roman"/>
                <w:sz w:val="24"/>
                <w:highlight w:val="none"/>
                <w:lang w:val="en-US" w:eastAsia="zh-CN"/>
              </w:rPr>
              <w:t>2018年12月17日完成提标改造，</w:t>
            </w:r>
            <w:r>
              <w:rPr>
                <w:rFonts w:hint="eastAsia" w:ascii="Times New Roman" w:hAnsi="Times New Roman" w:eastAsia="宋体" w:cs="Times New Roman"/>
                <w:sz w:val="24"/>
                <w:highlight w:val="none"/>
              </w:rPr>
              <w:t xml:space="preserve">出水由一级B提高到一级A </w:t>
            </w:r>
            <w:r>
              <w:rPr>
                <w:rFonts w:hint="eastAsia" w:cs="Times New Roman"/>
                <w:sz w:val="24"/>
                <w:highlight w:val="none"/>
                <w:lang w:eastAsia="zh-CN"/>
              </w:rPr>
              <w:t>，</w:t>
            </w:r>
            <w:r>
              <w:rPr>
                <w:rFonts w:hint="eastAsia" w:ascii="Times New Roman" w:hAnsi="Times New Roman" w:eastAsia="宋体" w:cs="Times New Roman"/>
                <w:sz w:val="24"/>
                <w:highlight w:val="none"/>
              </w:rPr>
              <w:t>总规模2万立方米/日，处理工艺采用脱氮除磷MBBR活性污泥工艺，出水水质由GB18918-2002中的一级B标准提高到一级A标准。主要建设内容在利用原有设施的基础上，将一期兼氧水解池、深层曝气池按A</w:t>
            </w:r>
            <w:r>
              <w:rPr>
                <w:rFonts w:hint="eastAsia" w:ascii="Times New Roman" w:hAnsi="Times New Roman" w:eastAsia="宋体" w:cs="Times New Roman"/>
                <w:sz w:val="24"/>
                <w:highlight w:val="none"/>
                <w:vertAlign w:val="superscript"/>
              </w:rPr>
              <w:t>2</w:t>
            </w:r>
            <w:r>
              <w:rPr>
                <w:rFonts w:hint="eastAsia" w:ascii="Times New Roman" w:hAnsi="Times New Roman" w:eastAsia="宋体" w:cs="Times New Roman"/>
                <w:sz w:val="24"/>
                <w:highlight w:val="none"/>
              </w:rPr>
              <w:t>O工艺重新分格，并增加相应的搅拌器、曝气设备、悬浮填料等，增加一期污泥回流系统；二期氧化沟投加悬浮填料；新建泵房、高效沉淀池、滤布滤池、污泥脱水车间等构筑物及配套设施。</w:t>
            </w:r>
            <w:r>
              <w:rPr>
                <w:rFonts w:hint="eastAsia" w:cs="Times New Roman"/>
                <w:sz w:val="24"/>
                <w:highlight w:val="none"/>
                <w:lang w:eastAsia="zh-CN"/>
              </w:rPr>
              <w:t>（</w:t>
            </w:r>
            <w:r>
              <w:rPr>
                <w:rFonts w:hint="eastAsia" w:cs="Times New Roman"/>
                <w:sz w:val="24"/>
                <w:highlight w:val="none"/>
                <w:lang w:val="en-US" w:eastAsia="zh-CN"/>
              </w:rPr>
              <w:t>环评文号：巴环评价函〔2018〕245号，验收文号：巴环评价验备〔2018〕182号</w:t>
            </w:r>
            <w:r>
              <w:rPr>
                <w:rFonts w:hint="eastAsia" w:cs="Times New Roman"/>
                <w:sz w:val="24"/>
                <w:highlight w:val="none"/>
                <w:lang w:eastAsia="zh-CN"/>
              </w:rPr>
              <w:t>）。</w:t>
            </w:r>
          </w:p>
          <w:p>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该污水处理厂于2019年06月14日进行首次申请排污许可证，许可编号为：12652826457905635G001V。2022年6月14日完成了，排污许可证的延续工作，延续后的许可编号为：91652826MA79KLF0XG001V。</w:t>
            </w:r>
          </w:p>
          <w:p>
            <w:pPr>
              <w:spacing w:line="360" w:lineRule="auto"/>
              <w:ind w:firstLine="480" w:firstLineChars="200"/>
              <w:rPr>
                <w:rFonts w:hint="eastAsia" w:ascii="Times New Roman" w:hAnsi="Times New Roman" w:eastAsia="宋体" w:cs="Times New Roman"/>
                <w:sz w:val="24"/>
                <w:highlight w:val="none"/>
              </w:rPr>
            </w:pPr>
            <w:r>
              <w:rPr>
                <w:rFonts w:hint="eastAsia" w:cs="Times New Roman"/>
                <w:sz w:val="24"/>
                <w:highlight w:val="none"/>
                <w:lang w:val="en-US" w:eastAsia="zh-CN"/>
              </w:rPr>
              <w:t>尾水满足</w:t>
            </w:r>
            <w:r>
              <w:rPr>
                <w:rFonts w:hint="eastAsia" w:ascii="Times New Roman" w:hAnsi="Times New Roman" w:eastAsia="宋体" w:cs="Times New Roman"/>
                <w:sz w:val="24"/>
                <w:highlight w:val="none"/>
              </w:rPr>
              <w:t>《城镇污水处理厂污染物排放标准》</w:t>
            </w:r>
            <w:r>
              <w:rPr>
                <w:rFonts w:hint="eastAsia" w:cs="Times New Roman"/>
                <w:sz w:val="24"/>
                <w:highlight w:val="none"/>
                <w:lang w:eastAsia="zh-CN"/>
              </w:rPr>
              <w:t>（</w:t>
            </w:r>
            <w:r>
              <w:rPr>
                <w:rFonts w:hint="eastAsia" w:ascii="Times New Roman" w:hAnsi="Times New Roman" w:eastAsia="宋体" w:cs="Times New Roman"/>
                <w:sz w:val="24"/>
                <w:highlight w:val="none"/>
              </w:rPr>
              <w:t>GB18918-2002</w:t>
            </w:r>
            <w:r>
              <w:rPr>
                <w:rFonts w:hint="eastAsia" w:cs="Times New Roman"/>
                <w:sz w:val="24"/>
                <w:highlight w:val="none"/>
                <w:lang w:eastAsia="zh-CN"/>
              </w:rPr>
              <w:t>）</w:t>
            </w:r>
            <w:r>
              <w:rPr>
                <w:rFonts w:hint="eastAsia" w:cs="Times New Roman"/>
                <w:sz w:val="24"/>
                <w:highlight w:val="none"/>
                <w:lang w:val="en-US" w:eastAsia="zh-CN"/>
              </w:rPr>
              <w:t>及修改单</w:t>
            </w:r>
            <w:r>
              <w:rPr>
                <w:rFonts w:hint="eastAsia" w:ascii="Times New Roman" w:hAnsi="Times New Roman" w:eastAsia="宋体" w:cs="Times New Roman"/>
                <w:sz w:val="24"/>
                <w:highlight w:val="none"/>
              </w:rPr>
              <w:t>中的一级A标准后部分夏季用于厂区绿化，剩余部分通过</w:t>
            </w:r>
            <w:r>
              <w:rPr>
                <w:rFonts w:hint="eastAsia" w:cs="Times New Roman"/>
                <w:sz w:val="24"/>
                <w:highlight w:val="none"/>
                <w:lang w:eastAsia="zh-CN"/>
              </w:rPr>
              <w:t>胜利干渠</w:t>
            </w:r>
            <w:r>
              <w:rPr>
                <w:rFonts w:hint="eastAsia" w:ascii="Times New Roman" w:hAnsi="Times New Roman" w:eastAsia="宋体" w:cs="Times New Roman"/>
                <w:sz w:val="24"/>
                <w:highlight w:val="none"/>
              </w:rPr>
              <w:t>排入黄水沟育苇工程，尾水</w:t>
            </w:r>
            <w:r>
              <w:rPr>
                <w:rFonts w:hint="eastAsia" w:cs="Times New Roman"/>
                <w:sz w:val="24"/>
                <w:highlight w:val="none"/>
                <w:lang w:val="en-US" w:eastAsia="zh-CN"/>
              </w:rPr>
              <w:t>进入</w:t>
            </w:r>
            <w:r>
              <w:rPr>
                <w:rFonts w:hint="eastAsia" w:ascii="Times New Roman" w:hAnsi="Times New Roman" w:eastAsia="宋体" w:cs="Times New Roman"/>
                <w:sz w:val="24"/>
                <w:highlight w:val="none"/>
              </w:rPr>
              <w:t>芦苇湿地。</w:t>
            </w:r>
          </w:p>
          <w:p>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目前污水处理厂处理量为1.4万m</w:t>
            </w:r>
            <w:r>
              <w:rPr>
                <w:rFonts w:hint="eastAsia" w:cs="Times New Roman"/>
                <w:sz w:val="24"/>
                <w:highlight w:val="none"/>
                <w:vertAlign w:val="superscript"/>
                <w:lang w:val="en-US" w:eastAsia="zh-CN"/>
              </w:rPr>
              <w:t>3</w:t>
            </w:r>
            <w:r>
              <w:rPr>
                <w:rFonts w:hint="eastAsia" w:cs="Times New Roman"/>
                <w:sz w:val="24"/>
                <w:highlight w:val="none"/>
                <w:lang w:val="en-US" w:eastAsia="zh-CN"/>
              </w:rPr>
              <w:t>/d，设计总处理规模为2.0万m</w:t>
            </w:r>
            <w:r>
              <w:rPr>
                <w:rFonts w:hint="eastAsia" w:cs="Times New Roman"/>
                <w:sz w:val="24"/>
                <w:highlight w:val="none"/>
                <w:vertAlign w:val="superscript"/>
                <w:lang w:val="en-US" w:eastAsia="zh-CN"/>
              </w:rPr>
              <w:t>3</w:t>
            </w:r>
            <w:r>
              <w:rPr>
                <w:rFonts w:hint="eastAsia" w:cs="Times New Roman"/>
                <w:sz w:val="24"/>
                <w:highlight w:val="none"/>
                <w:lang w:val="en-US" w:eastAsia="zh-CN"/>
              </w:rPr>
              <w:t>/d。本项目污水排放量为7.9m</w:t>
            </w:r>
            <w:r>
              <w:rPr>
                <w:rFonts w:hint="eastAsia" w:cs="Times New Roman"/>
                <w:sz w:val="24"/>
                <w:highlight w:val="none"/>
                <w:vertAlign w:val="superscript"/>
                <w:lang w:val="en-US" w:eastAsia="zh-CN"/>
              </w:rPr>
              <w:t>3</w:t>
            </w:r>
            <w:r>
              <w:rPr>
                <w:rFonts w:hint="eastAsia" w:cs="Times New Roman"/>
                <w:sz w:val="24"/>
                <w:highlight w:val="none"/>
                <w:lang w:val="en-US" w:eastAsia="zh-CN"/>
              </w:rPr>
              <w:t>/d，余量可满足本项目的需求。</w:t>
            </w:r>
          </w:p>
          <w:p>
            <w:pPr>
              <w:widowControl w:val="0"/>
              <w:adjustRightInd w:val="0"/>
              <w:snapToGrid w:val="0"/>
              <w:ind w:left="0" w:leftChars="0" w:firstLine="422" w:firstLineChars="200"/>
              <w:jc w:val="both"/>
              <w:rPr>
                <w:rFonts w:hint="eastAsia" w:ascii="Times New Roman" w:hAnsi="Times New Roman" w:eastAsia="宋体" w:cs="Times New Roman"/>
                <w:b/>
                <w:bCs/>
                <w:color w:val="000000"/>
                <w:kern w:val="0"/>
                <w:sz w:val="24"/>
                <w:szCs w:val="24"/>
                <w:highlight w:val="none"/>
                <w:lang w:val="en-US" w:eastAsia="zh-CN" w:bidi="ar-SA"/>
              </w:rPr>
            </w:pPr>
            <w:r>
              <w:rPr>
                <w:rFonts w:ascii="Times New Roman" w:hAnsi="Times New Roman" w:eastAsia="宋体" w:cs="Times New Roman"/>
                <w:b/>
                <w:bCs/>
                <w:color w:val="000000"/>
                <w:kern w:val="0"/>
                <w:sz w:val="21"/>
                <w:szCs w:val="21"/>
                <w:highlight w:val="none"/>
                <w:lang w:val="en-US" w:eastAsia="zh-CN" w:bidi="ar-SA"/>
              </w:rPr>
              <w:t>表</w:t>
            </w:r>
            <w:r>
              <w:rPr>
                <w:rFonts w:hint="eastAsia" w:eastAsia="宋体" w:cs="Times New Roman"/>
                <w:b/>
                <w:bCs/>
                <w:color w:val="000000"/>
                <w:kern w:val="0"/>
                <w:sz w:val="21"/>
                <w:szCs w:val="21"/>
                <w:highlight w:val="none"/>
                <w:lang w:val="en-US" w:eastAsia="zh-CN" w:bidi="ar-SA"/>
              </w:rPr>
              <w:t>4-1</w:t>
            </w:r>
            <w:r>
              <w:rPr>
                <w:rFonts w:hint="eastAsia" w:cs="Times New Roman"/>
                <w:b/>
                <w:bCs/>
                <w:color w:val="000000"/>
                <w:kern w:val="0"/>
                <w:sz w:val="21"/>
                <w:szCs w:val="21"/>
                <w:highlight w:val="none"/>
                <w:lang w:val="en-US" w:eastAsia="zh-CN" w:bidi="ar-SA"/>
              </w:rPr>
              <w:t>1</w:t>
            </w:r>
            <w:r>
              <w:rPr>
                <w:rFonts w:ascii="Times New Roman" w:hAnsi="Times New Roman" w:eastAsia="宋体" w:cs="Times New Roman"/>
                <w:b/>
                <w:bCs/>
                <w:color w:val="000000"/>
                <w:kern w:val="0"/>
                <w:sz w:val="21"/>
                <w:szCs w:val="21"/>
                <w:highlight w:val="none"/>
                <w:lang w:val="en-US" w:eastAsia="zh-CN" w:bidi="ar-SA"/>
              </w:rPr>
              <w:t xml:space="preserve">  </w:t>
            </w:r>
            <w:r>
              <w:rPr>
                <w:rFonts w:hint="eastAsia" w:ascii="Times New Roman" w:hAnsi="Times New Roman" w:eastAsia="宋体" w:cs="Times New Roman"/>
                <w:b/>
                <w:bCs/>
                <w:color w:val="000000"/>
                <w:kern w:val="0"/>
                <w:sz w:val="21"/>
                <w:szCs w:val="21"/>
                <w:highlight w:val="none"/>
                <w:lang w:val="en-US" w:eastAsia="zh-CN" w:bidi="ar-SA"/>
              </w:rPr>
              <w:t xml:space="preserve">      </w:t>
            </w:r>
            <w:r>
              <w:rPr>
                <w:rFonts w:ascii="Times New Roman" w:hAnsi="Times New Roman" w:eastAsia="宋体" w:cs="Times New Roman"/>
                <w:b/>
                <w:bCs/>
                <w:color w:val="000000"/>
                <w:kern w:val="0"/>
                <w:sz w:val="21"/>
                <w:szCs w:val="21"/>
                <w:highlight w:val="none"/>
                <w:lang w:val="en-US" w:eastAsia="zh-CN" w:bidi="ar-SA"/>
              </w:rPr>
              <w:t>废水间接排放口基本情况表     限值标准单位：mg/L （PH无量纲）</w:t>
            </w:r>
          </w:p>
          <w:tbl>
            <w:tblPr>
              <w:tblStyle w:val="3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01"/>
              <w:gridCol w:w="2089"/>
              <w:gridCol w:w="522"/>
              <w:gridCol w:w="1004"/>
              <w:gridCol w:w="482"/>
              <w:gridCol w:w="747"/>
              <w:gridCol w:w="484"/>
              <w:gridCol w:w="728"/>
              <w:gridCol w:w="7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序号</w:t>
                  </w:r>
                </w:p>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3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排放口编号</w:t>
                  </w:r>
                </w:p>
              </w:tc>
              <w:tc>
                <w:tcPr>
                  <w:tcW w:w="100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排放口坐标</w:t>
                  </w:r>
                </w:p>
              </w:tc>
              <w:tc>
                <w:tcPr>
                  <w:tcW w:w="90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排放口类型</w:t>
                  </w:r>
                </w:p>
              </w:tc>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spacing w:val="-11"/>
                      <w:kern w:val="0"/>
                      <w:sz w:val="21"/>
                      <w:szCs w:val="21"/>
                      <w:highlight w:val="none"/>
                      <w:lang w:val="en-US" w:eastAsia="zh-CN" w:bidi="ar-SA"/>
                    </w:rPr>
                    <w:t>废水排放量（</w:t>
                  </w:r>
                  <w:r>
                    <w:rPr>
                      <w:rFonts w:hint="eastAsia" w:ascii="Times New Roman" w:hAnsi="Times New Roman" w:eastAsia="宋体" w:cs="Times New Roman"/>
                      <w:color w:val="000000"/>
                      <w:spacing w:val="-11"/>
                      <w:kern w:val="0"/>
                      <w:sz w:val="21"/>
                      <w:szCs w:val="21"/>
                      <w:highlight w:val="none"/>
                      <w:lang w:val="en-US" w:eastAsia="zh-CN" w:bidi="ar-SA"/>
                    </w:rPr>
                    <w:t>m</w:t>
                  </w:r>
                  <w:r>
                    <w:rPr>
                      <w:rFonts w:hint="eastAsia" w:ascii="Times New Roman" w:hAnsi="Times New Roman" w:eastAsia="宋体" w:cs="Times New Roman"/>
                      <w:color w:val="000000"/>
                      <w:spacing w:val="-11"/>
                      <w:kern w:val="0"/>
                      <w:sz w:val="21"/>
                      <w:szCs w:val="21"/>
                      <w:highlight w:val="none"/>
                      <w:vertAlign w:val="superscript"/>
                      <w:lang w:val="en-US" w:eastAsia="zh-CN" w:bidi="ar-SA"/>
                    </w:rPr>
                    <w:t>3</w:t>
                  </w:r>
                  <w:r>
                    <w:rPr>
                      <w:rFonts w:ascii="Times New Roman" w:hAnsi="Times New Roman" w:eastAsia="宋体" w:cs="Times New Roman"/>
                      <w:color w:val="000000"/>
                      <w:spacing w:val="-11"/>
                      <w:kern w:val="0"/>
                      <w:sz w:val="21"/>
                      <w:szCs w:val="21"/>
                      <w:highlight w:val="none"/>
                      <w:lang w:val="en-US" w:eastAsia="zh-CN" w:bidi="ar-SA"/>
                    </w:rPr>
                    <w:t>/a）</w:t>
                  </w:r>
                </w:p>
              </w:tc>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排放去向</w:t>
                  </w:r>
                </w:p>
              </w:tc>
              <w:tc>
                <w:tcPr>
                  <w:tcW w:w="118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排放规律</w:t>
                  </w:r>
                </w:p>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218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污水处理厂</w:t>
                  </w:r>
                  <w:r>
                    <w:rPr>
                      <w:rFonts w:ascii="Times New Roman" w:hAnsi="Times New Roman" w:eastAsia="宋体" w:cs="Times New Roman"/>
                      <w:color w:val="000000"/>
                      <w:kern w:val="0"/>
                      <w:sz w:val="21"/>
                      <w:szCs w:val="21"/>
                      <w:highlight w:val="none"/>
                      <w:lang w:val="en-US" w:eastAsia="zh-CN" w:bidi="ar-SA"/>
                    </w:rPr>
                    <w:t>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0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90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名称</w:t>
                  </w: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污染物</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1</w:t>
                  </w:r>
                </w:p>
              </w:tc>
              <w:tc>
                <w:tcPr>
                  <w:tcW w:w="13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总排口（</w:t>
                  </w:r>
                  <w:r>
                    <w:rPr>
                      <w:rFonts w:ascii="Times New Roman" w:hAnsi="Times New Roman" w:eastAsia="宋体" w:cs="Times New Roman"/>
                      <w:color w:val="000000"/>
                      <w:kern w:val="0"/>
                      <w:sz w:val="21"/>
                      <w:szCs w:val="21"/>
                      <w:highlight w:val="none"/>
                      <w:lang w:val="en-US" w:eastAsia="zh-CN" w:bidi="ar-SA"/>
                    </w:rPr>
                    <w:t>DW001</w:t>
                  </w:r>
                  <w:r>
                    <w:rPr>
                      <w:rFonts w:hint="eastAsia" w:cs="Times New Roman"/>
                      <w:color w:val="000000"/>
                      <w:kern w:val="0"/>
                      <w:sz w:val="21"/>
                      <w:szCs w:val="21"/>
                      <w:highlight w:val="none"/>
                      <w:lang w:val="en-US" w:eastAsia="zh-CN" w:bidi="ar-SA"/>
                    </w:rPr>
                    <w:t>）</w:t>
                  </w:r>
                </w:p>
              </w:tc>
              <w:tc>
                <w:tcPr>
                  <w:tcW w:w="100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E:</w:t>
                  </w:r>
                  <w:r>
                    <w:rPr>
                      <w:rFonts w:hint="eastAsia" w:ascii="Times New Roman" w:hAnsi="Times New Roman" w:eastAsia="宋体" w:cs="Times New Roman"/>
                      <w:color w:val="000000"/>
                      <w:kern w:val="0"/>
                      <w:sz w:val="21"/>
                      <w:szCs w:val="21"/>
                      <w:highlight w:val="none"/>
                      <w:lang w:val="en-US" w:eastAsia="zh-CN" w:bidi="ar"/>
                    </w:rPr>
                    <w:t>86°35′47.464″</w:t>
                  </w:r>
                  <w:r>
                    <w:rPr>
                      <w:rFonts w:hint="eastAsia" w:cs="Times New Roman"/>
                      <w:color w:val="000000"/>
                      <w:kern w:val="0"/>
                      <w:sz w:val="21"/>
                      <w:szCs w:val="21"/>
                      <w:highlight w:val="none"/>
                      <w:lang w:val="en-US" w:eastAsia="zh-CN" w:bidi="ar"/>
                    </w:rPr>
                    <w:t xml:space="preserve">; </w:t>
                  </w:r>
                  <w:r>
                    <w:rPr>
                      <w:rFonts w:ascii="Times New Roman" w:hAnsi="Times New Roman" w:eastAsia="宋体" w:cs="Times New Roman"/>
                      <w:color w:val="000000"/>
                      <w:kern w:val="0"/>
                      <w:sz w:val="21"/>
                      <w:szCs w:val="21"/>
                      <w:highlight w:val="none"/>
                      <w:lang w:val="en-US" w:eastAsia="zh-CN" w:bidi="ar"/>
                    </w:rPr>
                    <w:t>N:</w:t>
                  </w:r>
                  <w:r>
                    <w:rPr>
                      <w:rFonts w:hint="eastAsia" w:ascii="Times New Roman" w:hAnsi="Times New Roman" w:eastAsia="宋体" w:cs="Times New Roman"/>
                      <w:color w:val="000000"/>
                      <w:kern w:val="0"/>
                      <w:sz w:val="21"/>
                      <w:szCs w:val="21"/>
                      <w:highlight w:val="none"/>
                      <w:lang w:val="en-US" w:eastAsia="zh-CN" w:bidi="ar"/>
                    </w:rPr>
                    <w:t>42°5′1.732″</w:t>
                  </w:r>
                </w:p>
              </w:tc>
              <w:tc>
                <w:tcPr>
                  <w:tcW w:w="90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一般排放口</w:t>
                  </w:r>
                </w:p>
              </w:tc>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2120.438</w:t>
                  </w:r>
                </w:p>
              </w:tc>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焉耆县污水处理厂</w:t>
                  </w:r>
                </w:p>
              </w:tc>
              <w:tc>
                <w:tcPr>
                  <w:tcW w:w="118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废水连续排放，流量不稳定，但有周期性规律</w:t>
                  </w:r>
                </w:p>
              </w:tc>
              <w:tc>
                <w:tcPr>
                  <w:tcW w:w="71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焉耆县污水处理厂</w:t>
                  </w: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p</w:t>
                  </w:r>
                  <w:r>
                    <w:rPr>
                      <w:rFonts w:ascii="Times New Roman" w:hAnsi="Times New Roman" w:eastAsia="宋体" w:cs="Times New Roman"/>
                      <w:color w:val="000000"/>
                      <w:kern w:val="0"/>
                      <w:sz w:val="21"/>
                      <w:szCs w:val="21"/>
                      <w:highlight w:val="none"/>
                      <w:lang w:val="en-US" w:eastAsia="zh-CN" w:bidi="ar-SA"/>
                    </w:rPr>
                    <w:t>H</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0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90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COD</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0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90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BOD</w:t>
                  </w:r>
                  <w:r>
                    <w:rPr>
                      <w:rFonts w:ascii="Times New Roman" w:hAnsi="Times New Roman" w:eastAsia="宋体" w:cs="Times New Roman"/>
                      <w:color w:val="000000"/>
                      <w:kern w:val="0"/>
                      <w:sz w:val="21"/>
                      <w:szCs w:val="21"/>
                      <w:highlight w:val="none"/>
                      <w:vertAlign w:val="subscript"/>
                      <w:lang w:val="en-US" w:eastAsia="zh-CN" w:bidi="ar-SA"/>
                    </w:rPr>
                    <w:t>5</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0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90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SS</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kern w:val="0"/>
                      <w:sz w:val="21"/>
                      <w:szCs w:val="21"/>
                      <w:highlight w:val="none"/>
                      <w:lang w:val="en-US" w:eastAsia="zh-CN" w:bidi="ar-SA"/>
                    </w:rPr>
                  </w:pPr>
                </w:p>
              </w:tc>
              <w:tc>
                <w:tcPr>
                  <w:tcW w:w="130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default" w:ascii="Times New Roman" w:hAnsi="Times New Roman" w:eastAsia="宋体" w:cs="Times New Roman"/>
                      <w:color w:val="000000"/>
                      <w:kern w:val="0"/>
                      <w:sz w:val="21"/>
                      <w:szCs w:val="21"/>
                      <w:highlight w:val="none"/>
                      <w:lang w:val="en-US" w:eastAsia="zh-CN" w:bidi="ar-SA"/>
                    </w:rPr>
                  </w:pPr>
                </w:p>
              </w:tc>
              <w:tc>
                <w:tcPr>
                  <w:tcW w:w="1002"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907"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9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总氮</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0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90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氨氮</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5</w:t>
                  </w:r>
                  <w:r>
                    <w:rPr>
                      <w:rFonts w:ascii="Times New Roman" w:hAnsi="Times New Roman" w:eastAsia="宋体" w:cs="Times New Roman"/>
                      <w:color w:val="000000"/>
                      <w:kern w:val="0"/>
                      <w:sz w:val="21"/>
                      <w:szCs w:val="21"/>
                      <w:highlight w:val="none"/>
                      <w:lang w:val="en-US" w:eastAsia="zh-CN" w:bidi="ar-SA"/>
                    </w:rPr>
                    <w:t>（</w:t>
                  </w:r>
                  <w:r>
                    <w:rPr>
                      <w:rFonts w:hint="eastAsia" w:ascii="Times New Roman" w:hAnsi="Times New Roman" w:eastAsia="宋体" w:cs="Times New Roman"/>
                      <w:color w:val="000000"/>
                      <w:kern w:val="0"/>
                      <w:sz w:val="21"/>
                      <w:szCs w:val="21"/>
                      <w:highlight w:val="none"/>
                      <w:lang w:val="en-US" w:eastAsia="zh-CN" w:bidi="ar-SA"/>
                    </w:rPr>
                    <w:t>8</w:t>
                  </w:r>
                  <w:r>
                    <w:rPr>
                      <w:rFonts w:ascii="Times New Roman" w:hAnsi="Times New Roman" w:eastAsia="宋体" w:cs="Times New Roman"/>
                      <w:color w:val="000000"/>
                      <w:kern w:val="0"/>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3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00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90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1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总磷</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kern w:val="0"/>
                      <w:sz w:val="21"/>
                      <w:szCs w:val="21"/>
                      <w:highlight w:val="none"/>
                      <w:lang w:val="en-US" w:eastAsia="zh-CN" w:bidi="ar-SA"/>
                    </w:rPr>
                    <w:t>1</w:t>
                  </w:r>
                </w:p>
              </w:tc>
            </w:tr>
          </w:tbl>
          <w:p>
            <w:pPr>
              <w:numPr>
                <w:ilvl w:val="0"/>
                <w:numId w:val="0"/>
              </w:numPr>
              <w:adjustRightInd w:val="0"/>
              <w:snapToGrid w:val="0"/>
              <w:spacing w:line="360" w:lineRule="auto"/>
              <w:rPr>
                <w:rFonts w:hint="eastAsia" w:eastAsia="宋体" w:cs="Times New Roman"/>
                <w:b/>
                <w:bCs/>
                <w:sz w:val="24"/>
                <w:highlight w:val="none"/>
                <w:lang w:val="en-US" w:eastAsia="zh-CN"/>
              </w:rPr>
            </w:pPr>
            <w:r>
              <w:rPr>
                <w:rFonts w:hint="eastAsia" w:cs="Times New Roman"/>
                <w:b/>
                <w:bCs/>
                <w:kern w:val="2"/>
                <w:sz w:val="24"/>
                <w:szCs w:val="24"/>
                <w:lang w:val="en-US" w:eastAsia="zh-CN" w:bidi="ar-SA"/>
              </w:rPr>
              <w:t>4、</w:t>
            </w:r>
            <w:r>
              <w:rPr>
                <w:rFonts w:hint="eastAsia" w:eastAsia="宋体" w:cs="Times New Roman"/>
                <w:b/>
                <w:bCs/>
                <w:sz w:val="24"/>
                <w:highlight w:val="none"/>
                <w:lang w:val="en-US" w:eastAsia="zh-CN"/>
              </w:rPr>
              <w:t>自行监测方案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根据《排污单位自行监测技术指南 总则》（</w:t>
            </w:r>
            <w:r>
              <w:rPr>
                <w:rFonts w:hint="default" w:ascii="Times New Roman" w:hAnsi="Times New Roman" w:eastAsia="宋体" w:cs="Times New Roman"/>
                <w:sz w:val="24"/>
                <w:highlight w:val="none"/>
                <w:lang w:val="en-US" w:eastAsia="zh-CN"/>
              </w:rPr>
              <w:t>HJ819-2017</w:t>
            </w:r>
            <w:r>
              <w:rPr>
                <w:rFonts w:hint="eastAsia" w:ascii="Times New Roman" w:hAnsi="Times New Roman" w:eastAsia="宋体" w:cs="Times New Roman"/>
                <w:sz w:val="24"/>
                <w:highlight w:val="none"/>
                <w:lang w:val="en-US" w:eastAsia="zh-CN"/>
              </w:rPr>
              <w:t>）</w:t>
            </w:r>
            <w:r>
              <w:rPr>
                <w:rFonts w:hint="eastAsia" w:cs="Times New Roman"/>
                <w:sz w:val="24"/>
                <w:highlight w:val="none"/>
                <w:lang w:val="en-US" w:eastAsia="zh-CN"/>
              </w:rPr>
              <w:t>、</w:t>
            </w:r>
            <w:r>
              <w:rPr>
                <w:rFonts w:hint="eastAsia" w:ascii="Times New Roman" w:hAnsi="Times New Roman" w:eastAsia="宋体" w:cs="Times New Roman"/>
                <w:sz w:val="24"/>
                <w:highlight w:val="none"/>
                <w:lang w:val="en-US" w:eastAsia="zh-CN"/>
              </w:rPr>
              <w:t>《排污许可证申请与核发技术规范 酒、饮料制造工业》</w:t>
            </w:r>
            <w:r>
              <w:rPr>
                <w:rFonts w:hint="eastAsia" w:cs="Times New Roman"/>
                <w:sz w:val="24"/>
                <w:highlight w:val="none"/>
                <w:lang w:val="en-US" w:eastAsia="zh-CN"/>
              </w:rPr>
              <w:t>（</w:t>
            </w:r>
            <w:r>
              <w:rPr>
                <w:rFonts w:hint="eastAsia" w:ascii="Times New Roman" w:hAnsi="Times New Roman" w:eastAsia="宋体" w:cs="Times New Roman"/>
                <w:sz w:val="24"/>
                <w:highlight w:val="none"/>
                <w:lang w:val="en-US" w:eastAsia="zh-CN"/>
              </w:rPr>
              <w:t>HJ 1028—2019</w:t>
            </w:r>
            <w:r>
              <w:rPr>
                <w:rFonts w:hint="eastAsia" w:cs="Times New Roman"/>
                <w:sz w:val="24"/>
                <w:highlight w:val="none"/>
                <w:lang w:val="en-US" w:eastAsia="zh-CN"/>
              </w:rPr>
              <w:t>）</w:t>
            </w:r>
            <w:r>
              <w:rPr>
                <w:rFonts w:hint="eastAsia" w:ascii="Times New Roman" w:hAnsi="Times New Roman" w:eastAsia="宋体" w:cs="Times New Roman"/>
                <w:sz w:val="24"/>
                <w:highlight w:val="none"/>
                <w:lang w:val="en-US" w:eastAsia="zh-CN"/>
              </w:rPr>
              <w:t>、《排污单位自行监测技术指南 酒、饮料制造》（HJ 1085-2020），项目营运期废水监测要求</w:t>
            </w:r>
            <w:r>
              <w:rPr>
                <w:rFonts w:hint="eastAsia" w:eastAsia="宋体" w:cs="Times New Roman"/>
                <w:sz w:val="24"/>
                <w:highlight w:val="none"/>
                <w:lang w:val="en-US" w:eastAsia="zh-CN"/>
              </w:rPr>
              <w:t>见表4-</w:t>
            </w:r>
            <w:r>
              <w:rPr>
                <w:rFonts w:hint="eastAsia" w:cs="Times New Roman"/>
                <w:sz w:val="24"/>
                <w:highlight w:val="none"/>
                <w:lang w:val="en-US" w:eastAsia="zh-CN"/>
              </w:rPr>
              <w:t>12</w:t>
            </w:r>
            <w:r>
              <w:rPr>
                <w:rFonts w:hint="eastAsia" w:eastAsia="宋体" w:cs="Times New Roman"/>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Times New Roman" w:cs="Times New Roman"/>
                <w:b/>
                <w:color w:val="auto"/>
                <w:kern w:val="0"/>
                <w:sz w:val="24"/>
                <w:szCs w:val="24"/>
                <w:highlight w:val="none"/>
                <w:lang w:val="en-US" w:eastAsia="zh-CN" w:bidi="ar-SA"/>
              </w:rPr>
              <w:t>表</w:t>
            </w:r>
            <w:r>
              <w:rPr>
                <w:rFonts w:hint="eastAsia" w:ascii="Times New Roman" w:hAnsi="Times New Roman" w:eastAsia="Times New Roman" w:cs="Times New Roman"/>
                <w:b/>
                <w:color w:val="auto"/>
                <w:kern w:val="0"/>
                <w:sz w:val="24"/>
                <w:szCs w:val="24"/>
                <w:highlight w:val="none"/>
                <w:lang w:val="en-US" w:eastAsia="zh-CN" w:bidi="ar-SA"/>
              </w:rPr>
              <w:t>4-</w:t>
            </w:r>
            <w:r>
              <w:rPr>
                <w:rFonts w:hint="eastAsia" w:eastAsia="Times New Roman" w:cs="Times New Roman"/>
                <w:b/>
                <w:color w:val="auto"/>
                <w:kern w:val="0"/>
                <w:sz w:val="24"/>
                <w:szCs w:val="24"/>
                <w:highlight w:val="none"/>
                <w:lang w:val="en-US" w:eastAsia="zh-CN" w:bidi="ar-SA"/>
              </w:rPr>
              <w:t xml:space="preserve">12     </w:t>
            </w:r>
            <w:r>
              <w:rPr>
                <w:rFonts w:hint="default" w:ascii="Times New Roman" w:hAnsi="Times New Roman" w:eastAsia="Times New Roman" w:cs="Times New Roman"/>
                <w:b/>
                <w:color w:val="auto"/>
                <w:kern w:val="0"/>
                <w:sz w:val="24"/>
                <w:szCs w:val="24"/>
                <w:highlight w:val="none"/>
                <w:lang w:val="en-US" w:eastAsia="zh-CN" w:bidi="ar-SA"/>
              </w:rPr>
              <w:t xml:space="preserve"> </w:t>
            </w:r>
            <w:r>
              <w:rPr>
                <w:rFonts w:hint="eastAsia" w:ascii="Times New Roman" w:hAnsi="Times New Roman" w:eastAsia="Times New Roman" w:cs="Times New Roman"/>
                <w:b/>
                <w:color w:val="auto"/>
                <w:kern w:val="0"/>
                <w:sz w:val="24"/>
                <w:szCs w:val="24"/>
                <w:highlight w:val="none"/>
                <w:lang w:val="en-US" w:eastAsia="zh-CN" w:bidi="ar-SA"/>
              </w:rPr>
              <w:t>废水监测计划一览表</w:t>
            </w:r>
          </w:p>
          <w:tbl>
            <w:tblPr>
              <w:tblStyle w:val="34"/>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95"/>
              <w:gridCol w:w="1382"/>
              <w:gridCol w:w="1824"/>
              <w:gridCol w:w="824"/>
              <w:gridCol w:w="33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9" w:type="pct"/>
                  <w:vMerge w:val="restart"/>
                  <w:tcBorders>
                    <w:tl2br w:val="nil"/>
                    <w:tr2bl w:val="nil"/>
                  </w:tcBorders>
                  <w:vAlign w:val="center"/>
                </w:tcPr>
                <w:p>
                  <w:pPr>
                    <w:widowControl w:val="0"/>
                    <w:jc w:val="center"/>
                    <w:rPr>
                      <w:rFonts w:hint="default"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污染源监测</w:t>
                  </w:r>
                </w:p>
              </w:tc>
              <w:tc>
                <w:tcPr>
                  <w:tcW w:w="290" w:type="pct"/>
                  <w:tcBorders>
                    <w:tl2br w:val="nil"/>
                    <w:tr2bl w:val="nil"/>
                  </w:tcBorders>
                  <w:vAlign w:val="center"/>
                </w:tcPr>
                <w:p>
                  <w:pPr>
                    <w:widowControl w:val="0"/>
                    <w:jc w:val="center"/>
                    <w:rPr>
                      <w:rFonts w:hint="eastAsia"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类别</w:t>
                  </w:r>
                </w:p>
              </w:tc>
              <w:tc>
                <w:tcPr>
                  <w:tcW w:w="810" w:type="pct"/>
                  <w:tcBorders>
                    <w:tl2br w:val="nil"/>
                    <w:tr2bl w:val="nil"/>
                  </w:tcBorders>
                  <w:vAlign w:val="center"/>
                </w:tcPr>
                <w:p>
                  <w:pPr>
                    <w:widowControl w:val="0"/>
                    <w:jc w:val="center"/>
                    <w:rPr>
                      <w:rFonts w:hint="eastAsia"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监测点位</w:t>
                  </w:r>
                </w:p>
              </w:tc>
              <w:tc>
                <w:tcPr>
                  <w:tcW w:w="1069" w:type="pct"/>
                  <w:tcBorders>
                    <w:tl2br w:val="nil"/>
                    <w:tr2bl w:val="nil"/>
                  </w:tcBorders>
                  <w:vAlign w:val="center"/>
                </w:tcPr>
                <w:p>
                  <w:pPr>
                    <w:widowControl w:val="0"/>
                    <w:jc w:val="center"/>
                    <w:rPr>
                      <w:rFonts w:hint="eastAsia"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监测项目</w:t>
                  </w:r>
                </w:p>
              </w:tc>
              <w:tc>
                <w:tcPr>
                  <w:tcW w:w="483" w:type="pct"/>
                  <w:tcBorders>
                    <w:tl2br w:val="nil"/>
                    <w:tr2bl w:val="nil"/>
                  </w:tcBorders>
                  <w:vAlign w:val="center"/>
                </w:tcPr>
                <w:p>
                  <w:pPr>
                    <w:widowControl w:val="0"/>
                    <w:jc w:val="center"/>
                    <w:rPr>
                      <w:rFonts w:hint="default"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监测频次</w:t>
                  </w:r>
                </w:p>
              </w:tc>
              <w:tc>
                <w:tcPr>
                  <w:tcW w:w="1936" w:type="pct"/>
                  <w:tcBorders>
                    <w:tl2br w:val="nil"/>
                    <w:tr2bl w:val="nil"/>
                  </w:tcBorders>
                  <w:vAlign w:val="center"/>
                </w:tcPr>
                <w:p>
                  <w:pPr>
                    <w:widowControl w:val="0"/>
                    <w:jc w:val="center"/>
                    <w:rPr>
                      <w:rFonts w:hint="eastAsia"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9" w:type="pct"/>
                  <w:vMerge w:val="continue"/>
                  <w:tcBorders>
                    <w:tl2br w:val="nil"/>
                    <w:tr2bl w:val="nil"/>
                  </w:tcBorders>
                  <w:vAlign w:val="center"/>
                </w:tcPr>
                <w:p>
                  <w:pPr>
                    <w:widowControl w:val="0"/>
                    <w:jc w:val="center"/>
                    <w:rPr>
                      <w:rFonts w:hint="eastAsia" w:ascii="Times New Roman" w:hAnsi="宋体" w:eastAsia="宋体" w:cs="宋体"/>
                      <w:b w:val="0"/>
                      <w:bCs w:val="0"/>
                      <w:spacing w:val="5"/>
                      <w:kern w:val="2"/>
                      <w:sz w:val="21"/>
                      <w:szCs w:val="20"/>
                      <w:highlight w:val="none"/>
                      <w:vertAlign w:val="baseline"/>
                      <w:lang w:val="en-US" w:eastAsia="zh-CN" w:bidi="ar-SA"/>
                    </w:rPr>
                  </w:pPr>
                </w:p>
              </w:tc>
              <w:tc>
                <w:tcPr>
                  <w:tcW w:w="290" w:type="pct"/>
                  <w:tcBorders>
                    <w:tl2br w:val="nil"/>
                    <w:tr2bl w:val="nil"/>
                  </w:tcBorders>
                  <w:vAlign w:val="center"/>
                </w:tcPr>
                <w:p>
                  <w:pPr>
                    <w:widowControl w:val="0"/>
                    <w:jc w:val="center"/>
                    <w:rPr>
                      <w:rFonts w:hint="eastAsia"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废水</w:t>
                  </w:r>
                </w:p>
              </w:tc>
              <w:tc>
                <w:tcPr>
                  <w:tcW w:w="810" w:type="pct"/>
                  <w:tcBorders>
                    <w:tl2br w:val="nil"/>
                    <w:tr2bl w:val="nil"/>
                  </w:tcBorders>
                  <w:vAlign w:val="center"/>
                </w:tcPr>
                <w:p>
                  <w:pPr>
                    <w:widowControl w:val="0"/>
                    <w:jc w:val="center"/>
                    <w:rPr>
                      <w:rFonts w:hint="default" w:ascii="Times New Roman" w:hAnsi="宋体" w:eastAsia="宋体" w:cs="宋体"/>
                      <w:b w:val="0"/>
                      <w:bCs w:val="0"/>
                      <w:spacing w:val="5"/>
                      <w:kern w:val="2"/>
                      <w:sz w:val="21"/>
                      <w:szCs w:val="20"/>
                      <w:highlight w:val="none"/>
                      <w:vertAlign w:val="baseline"/>
                      <w:lang w:val="en-US" w:eastAsia="zh-CN" w:bidi="ar-SA"/>
                    </w:rPr>
                  </w:pPr>
                  <w:bookmarkStart w:id="50" w:name="_GoBack"/>
                  <w:bookmarkEnd w:id="50"/>
                  <w:r>
                    <w:rPr>
                      <w:rFonts w:hint="eastAsia" w:hAnsi="宋体" w:cs="宋体"/>
                      <w:b w:val="0"/>
                      <w:bCs w:val="0"/>
                      <w:spacing w:val="5"/>
                      <w:kern w:val="2"/>
                      <w:sz w:val="21"/>
                      <w:szCs w:val="20"/>
                      <w:highlight w:val="none"/>
                      <w:vertAlign w:val="baseline"/>
                      <w:lang w:val="en-US" w:eastAsia="zh-CN" w:bidi="ar-SA"/>
                    </w:rPr>
                    <w:t>废水总排口</w:t>
                  </w:r>
                </w:p>
              </w:tc>
              <w:tc>
                <w:tcPr>
                  <w:tcW w:w="1069" w:type="pct"/>
                  <w:tcBorders>
                    <w:tl2br w:val="nil"/>
                    <w:tr2bl w:val="nil"/>
                  </w:tcBorders>
                  <w:vAlign w:val="center"/>
                </w:tcPr>
                <w:p>
                  <w:pPr>
                    <w:widowControl w:val="0"/>
                    <w:jc w:val="center"/>
                    <w:rPr>
                      <w:rFonts w:hint="default" w:ascii="Times New Roman" w:hAnsi="宋体" w:eastAsia="宋体" w:cs="宋体"/>
                      <w:b w:val="0"/>
                      <w:bCs w:val="0"/>
                      <w:spacing w:val="5"/>
                      <w:kern w:val="2"/>
                      <w:sz w:val="21"/>
                      <w:szCs w:val="20"/>
                      <w:highlight w:val="none"/>
                      <w:vertAlign w:val="baseline"/>
                      <w:lang w:val="en-US" w:eastAsia="zh-CN" w:bidi="ar-SA"/>
                    </w:rPr>
                  </w:pPr>
                  <w:r>
                    <w:rPr>
                      <w:rFonts w:hint="eastAsia"/>
                      <w:highlight w:val="none"/>
                      <w:lang w:val="en-US" w:eastAsia="zh-CN"/>
                    </w:rPr>
                    <w:t>流量、</w:t>
                  </w:r>
                  <w:r>
                    <w:rPr>
                      <w:rFonts w:hint="eastAsia" w:ascii="Times New Roman" w:hAnsi="宋体" w:eastAsia="宋体" w:cs="宋体"/>
                      <w:b w:val="0"/>
                      <w:bCs w:val="0"/>
                      <w:spacing w:val="5"/>
                      <w:kern w:val="2"/>
                      <w:sz w:val="21"/>
                      <w:szCs w:val="20"/>
                      <w:highlight w:val="none"/>
                      <w:vertAlign w:val="baseline"/>
                      <w:lang w:val="en-US" w:eastAsia="zh-CN" w:bidi="ar-SA"/>
                    </w:rPr>
                    <w:t>pH、COD、NH</w:t>
                  </w:r>
                  <w:r>
                    <w:rPr>
                      <w:rFonts w:hint="eastAsia" w:ascii="Times New Roman" w:hAnsi="宋体" w:eastAsia="宋体" w:cs="宋体"/>
                      <w:b w:val="0"/>
                      <w:bCs w:val="0"/>
                      <w:spacing w:val="5"/>
                      <w:kern w:val="2"/>
                      <w:sz w:val="21"/>
                      <w:szCs w:val="20"/>
                      <w:highlight w:val="none"/>
                      <w:vertAlign w:val="subscript"/>
                      <w:lang w:val="en-US" w:eastAsia="zh-CN" w:bidi="ar-SA"/>
                    </w:rPr>
                    <w:t>3</w:t>
                  </w:r>
                  <w:r>
                    <w:rPr>
                      <w:rFonts w:hint="eastAsia" w:ascii="Times New Roman" w:hAnsi="宋体" w:eastAsia="宋体" w:cs="宋体"/>
                      <w:b w:val="0"/>
                      <w:bCs w:val="0"/>
                      <w:spacing w:val="5"/>
                      <w:kern w:val="2"/>
                      <w:sz w:val="21"/>
                      <w:szCs w:val="20"/>
                      <w:highlight w:val="none"/>
                      <w:vertAlign w:val="baseline"/>
                      <w:lang w:val="en-US" w:eastAsia="zh-CN" w:bidi="ar-SA"/>
                    </w:rPr>
                    <w:t>-N、SS、</w:t>
                  </w:r>
                  <w:r>
                    <w:rPr>
                      <w:rFonts w:hint="eastAsia" w:hAnsi="宋体" w:cs="宋体"/>
                      <w:b w:val="0"/>
                      <w:bCs w:val="0"/>
                      <w:spacing w:val="5"/>
                      <w:kern w:val="2"/>
                      <w:sz w:val="21"/>
                      <w:szCs w:val="20"/>
                      <w:highlight w:val="none"/>
                      <w:vertAlign w:val="baseline"/>
                      <w:lang w:val="en-US" w:eastAsia="zh-CN" w:bidi="ar-SA"/>
                    </w:rPr>
                    <w:t>BOD</w:t>
                  </w:r>
                  <w:r>
                    <w:rPr>
                      <w:rFonts w:hint="eastAsia" w:hAnsi="宋体" w:cs="宋体"/>
                      <w:b w:val="0"/>
                      <w:bCs w:val="0"/>
                      <w:spacing w:val="5"/>
                      <w:kern w:val="2"/>
                      <w:sz w:val="21"/>
                      <w:szCs w:val="20"/>
                      <w:highlight w:val="none"/>
                      <w:vertAlign w:val="subscript"/>
                      <w:lang w:val="en-US" w:eastAsia="zh-CN" w:bidi="ar-SA"/>
                    </w:rPr>
                    <w:t>5</w:t>
                  </w:r>
                  <w:r>
                    <w:rPr>
                      <w:rFonts w:hint="eastAsia" w:hAnsi="宋体" w:cs="宋体"/>
                      <w:b w:val="0"/>
                      <w:bCs w:val="0"/>
                      <w:spacing w:val="5"/>
                      <w:kern w:val="2"/>
                      <w:sz w:val="21"/>
                      <w:szCs w:val="20"/>
                      <w:highlight w:val="none"/>
                      <w:vertAlign w:val="baseline"/>
                      <w:lang w:val="en-US" w:eastAsia="zh-CN" w:bidi="ar-SA"/>
                    </w:rPr>
                    <w:t>、TN、TP</w:t>
                  </w:r>
                </w:p>
              </w:tc>
              <w:tc>
                <w:tcPr>
                  <w:tcW w:w="483" w:type="pct"/>
                  <w:tcBorders>
                    <w:tl2br w:val="nil"/>
                    <w:tr2bl w:val="nil"/>
                  </w:tcBorders>
                  <w:vAlign w:val="center"/>
                </w:tcPr>
                <w:p>
                  <w:pPr>
                    <w:widowControl w:val="0"/>
                    <w:jc w:val="center"/>
                    <w:rPr>
                      <w:rFonts w:hint="default" w:ascii="Times New Roman" w:hAnsi="宋体" w:eastAsia="宋体" w:cs="宋体"/>
                      <w:b w:val="0"/>
                      <w:bCs w:val="0"/>
                      <w:spacing w:val="5"/>
                      <w:kern w:val="2"/>
                      <w:sz w:val="21"/>
                      <w:szCs w:val="20"/>
                      <w:highlight w:val="none"/>
                      <w:vertAlign w:val="baseline"/>
                      <w:lang w:val="en-US" w:eastAsia="zh-CN" w:bidi="ar-SA"/>
                    </w:rPr>
                  </w:pPr>
                  <w:r>
                    <w:rPr>
                      <w:rFonts w:hint="eastAsia" w:ascii="Times New Roman" w:hAnsi="宋体" w:eastAsia="宋体" w:cs="宋体"/>
                      <w:b w:val="0"/>
                      <w:bCs w:val="0"/>
                      <w:spacing w:val="5"/>
                      <w:kern w:val="2"/>
                      <w:sz w:val="21"/>
                      <w:szCs w:val="20"/>
                      <w:highlight w:val="none"/>
                      <w:vertAlign w:val="baseline"/>
                      <w:lang w:val="en-US" w:eastAsia="zh-CN" w:bidi="ar-SA"/>
                    </w:rPr>
                    <w:t>1次/半年</w:t>
                  </w:r>
                </w:p>
              </w:tc>
              <w:tc>
                <w:tcPr>
                  <w:tcW w:w="1936" w:type="pct"/>
                  <w:tcBorders>
                    <w:tl2br w:val="nil"/>
                    <w:tr2bl w:val="nil"/>
                  </w:tcBorders>
                  <w:vAlign w:val="center"/>
                </w:tcPr>
                <w:p>
                  <w:pPr>
                    <w:widowControl w:val="0"/>
                    <w:jc w:val="center"/>
                    <w:rPr>
                      <w:rFonts w:hint="eastAsia" w:ascii="Times New Roman" w:hAnsi="宋体" w:eastAsia="宋体" w:cs="宋体"/>
                      <w:b w:val="0"/>
                      <w:bCs w:val="0"/>
                      <w:spacing w:val="5"/>
                      <w:kern w:val="2"/>
                      <w:sz w:val="21"/>
                      <w:szCs w:val="20"/>
                      <w:highlight w:val="none"/>
                      <w:vertAlign w:val="baseline"/>
                      <w:lang w:val="en-US" w:eastAsia="zh-CN" w:bidi="ar-SA"/>
                    </w:rPr>
                  </w:pPr>
                  <w:r>
                    <w:rPr>
                      <w:rFonts w:hint="eastAsia" w:hAnsi="宋体" w:cs="宋体"/>
                      <w:b w:val="0"/>
                      <w:bCs w:val="0"/>
                      <w:spacing w:val="5"/>
                      <w:kern w:val="2"/>
                      <w:sz w:val="21"/>
                      <w:szCs w:val="20"/>
                      <w:highlight w:val="none"/>
                      <w:vertAlign w:val="baseline"/>
                      <w:lang w:val="en-US" w:eastAsia="zh-CN" w:bidi="ar-SA"/>
                    </w:rPr>
                    <w:t>《发酵酒精和白酒工业水污染物排放标准》（GB 27631-2011）及修改单</w:t>
                  </w:r>
                  <w:r>
                    <w:rPr>
                      <w:rFonts w:hint="eastAsia" w:ascii="Times New Roman" w:hAnsi="宋体" w:eastAsia="宋体" w:cs="宋体"/>
                      <w:b w:val="0"/>
                      <w:bCs w:val="0"/>
                      <w:spacing w:val="5"/>
                      <w:kern w:val="2"/>
                      <w:sz w:val="21"/>
                      <w:szCs w:val="20"/>
                      <w:highlight w:val="none"/>
                      <w:vertAlign w:val="baseline"/>
                      <w:lang w:val="en-US" w:eastAsia="zh-CN" w:bidi="ar-SA"/>
                    </w:rPr>
                    <w:t>中表2间接排放标准</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kern w:val="0"/>
                <w:sz w:val="24"/>
                <w:highlight w:val="none"/>
                <w:lang w:val="en-US" w:eastAsia="zh-CN"/>
              </w:rPr>
            </w:pPr>
            <w:r>
              <w:rPr>
                <w:rFonts w:hint="eastAsia" w:ascii="Times New Roman" w:hAnsi="Times New Roman" w:eastAsia="宋体" w:cs="Times New Roman"/>
                <w:b/>
                <w:bCs/>
                <w:kern w:val="0"/>
                <w:sz w:val="24"/>
                <w:highlight w:val="none"/>
                <w:lang w:val="en-US" w:eastAsia="zh-CN"/>
              </w:rPr>
              <w:t>三、</w:t>
            </w:r>
            <w:r>
              <w:rPr>
                <w:rFonts w:hint="default" w:ascii="Times New Roman" w:hAnsi="Times New Roman" w:eastAsia="宋体" w:cs="Times New Roman"/>
                <w:b/>
                <w:bCs/>
                <w:kern w:val="0"/>
                <w:sz w:val="24"/>
                <w:highlight w:val="none"/>
                <w:lang w:val="en-US" w:eastAsia="zh-CN"/>
              </w:rPr>
              <w:t>噪声环境影响分析及环境保护措施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kern w:val="0"/>
                <w:sz w:val="24"/>
                <w:highlight w:val="none"/>
                <w:lang w:val="en-US" w:eastAsia="zh-CN"/>
              </w:rPr>
            </w:pPr>
            <w:r>
              <w:rPr>
                <w:rFonts w:hint="eastAsia" w:ascii="Times New Roman" w:hAnsi="Times New Roman" w:eastAsia="宋体" w:cs="Times New Roman"/>
                <w:b/>
                <w:bCs/>
                <w:kern w:val="0"/>
                <w:sz w:val="24"/>
                <w:highlight w:val="none"/>
                <w:lang w:val="en-US" w:eastAsia="zh-CN"/>
              </w:rPr>
              <w:t>1、</w:t>
            </w:r>
            <w:r>
              <w:rPr>
                <w:rFonts w:hint="default" w:ascii="Times New Roman" w:hAnsi="Times New Roman" w:eastAsia="宋体" w:cs="Times New Roman"/>
                <w:b/>
                <w:bCs/>
                <w:kern w:val="0"/>
                <w:sz w:val="24"/>
                <w:highlight w:val="none"/>
                <w:lang w:val="en-US" w:eastAsia="zh-CN"/>
              </w:rPr>
              <w:t>项目噪声源</w:t>
            </w:r>
          </w:p>
          <w:p>
            <w:pPr>
              <w:adjustRightInd w:val="0"/>
              <w:snapToGrid w:val="0"/>
              <w:spacing w:line="360" w:lineRule="auto"/>
              <w:ind w:firstLine="482"/>
              <w:rPr>
                <w:rFonts w:hint="default" w:ascii="Times New Roman" w:hAnsi="Times New Roman" w:eastAsia="宋体" w:cs="Times New Roman"/>
                <w:color w:val="auto"/>
                <w:sz w:val="24"/>
                <w:szCs w:val="24"/>
                <w:highlight w:val="none"/>
              </w:rPr>
            </w:pPr>
            <w:r>
              <w:rPr>
                <w:rFonts w:hint="eastAsia" w:eastAsia="宋体"/>
                <w:sz w:val="24"/>
                <w:highlight w:val="none"/>
                <w:lang w:val="en-US" w:eastAsia="zh-CN"/>
              </w:rPr>
              <w:t>本项目高噪声生产设备主要为配料搅拌机、涂布烘干设线等设备噪声，生产设备位于密闭的厂房内，主要分布在联合车间，厂房有较好的隔声作用</w:t>
            </w:r>
            <w:r>
              <w:rPr>
                <w:rFonts w:hint="default" w:ascii="Times New Roman" w:hAnsi="Times New Roman" w:eastAsia="宋体" w:cs="Times New Roman"/>
                <w:color w:val="auto"/>
                <w:sz w:val="24"/>
                <w:szCs w:val="24"/>
                <w:highlight w:val="none"/>
              </w:rPr>
              <w:t>具体产噪设备的噪声源强见表</w:t>
            </w:r>
            <w:r>
              <w:rPr>
                <w:rFonts w:hint="default" w:ascii="Times New Roman" w:hAnsi="Times New Roman" w:eastAsia="宋体" w:cs="Times New Roman"/>
                <w:color w:val="auto"/>
                <w:sz w:val="24"/>
                <w:szCs w:val="24"/>
                <w:highlight w:val="none"/>
                <w:lang w:val="en-US" w:eastAsia="zh-CN"/>
              </w:rPr>
              <w:t>4-</w:t>
            </w:r>
            <w:r>
              <w:rPr>
                <w:rFonts w:hint="eastAsia"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tbl>
            <w:tblPr>
              <w:tblStyle w:val="33"/>
              <w:tblpPr w:leftFromText="180" w:rightFromText="180" w:vertAnchor="text" w:horzAnchor="page" w:tblpXSpec="center" w:tblpY="323"/>
              <w:tblOverlap w:val="never"/>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69"/>
              <w:gridCol w:w="369"/>
              <w:gridCol w:w="369"/>
              <w:gridCol w:w="499"/>
              <w:gridCol w:w="371"/>
              <w:gridCol w:w="348"/>
              <w:gridCol w:w="348"/>
              <w:gridCol w:w="212"/>
              <w:gridCol w:w="289"/>
              <w:gridCol w:w="289"/>
              <w:gridCol w:w="289"/>
              <w:gridCol w:w="289"/>
              <w:gridCol w:w="289"/>
              <w:gridCol w:w="289"/>
              <w:gridCol w:w="289"/>
              <w:gridCol w:w="289"/>
              <w:gridCol w:w="854"/>
              <w:gridCol w:w="289"/>
              <w:gridCol w:w="289"/>
              <w:gridCol w:w="289"/>
              <w:gridCol w:w="289"/>
              <w:gridCol w:w="288"/>
              <w:gridCol w:w="288"/>
              <w:gridCol w:w="288"/>
              <w:gridCol w:w="288"/>
              <w:gridCol w:w="1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6"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bookmarkStart w:id="43" w:name="PT_6"/>
                  <w:r>
                    <w:rPr>
                      <w:rFonts w:hint="default" w:ascii="Times New Roman" w:hAnsi="Times New Roman" w:cs="Times New Roman" w:eastAsiaTheme="minorEastAsia"/>
                      <w:b w:val="0"/>
                      <w:bCs/>
                      <w:sz w:val="21"/>
                      <w:szCs w:val="21"/>
                    </w:rPr>
                    <w:t>序号</w:t>
                  </w:r>
                </w:p>
              </w:tc>
              <w:tc>
                <w:tcPr>
                  <w:tcW w:w="196"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建筑物名称</w:t>
                  </w:r>
                </w:p>
              </w:tc>
              <w:tc>
                <w:tcPr>
                  <w:tcW w:w="196"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声源名称</w:t>
                  </w:r>
                </w:p>
              </w:tc>
              <w:tc>
                <w:tcPr>
                  <w:tcW w:w="27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eastAsia="zh-CN"/>
                    </w:rPr>
                  </w:pPr>
                  <w:r>
                    <w:rPr>
                      <w:rFonts w:hint="default" w:ascii="Times New Roman" w:hAnsi="Times New Roman" w:cs="Times New Roman" w:eastAsiaTheme="minorEastAsia"/>
                      <w:b w:val="0"/>
                      <w:bCs/>
                      <w:sz w:val="21"/>
                      <w:szCs w:val="21"/>
                      <w:lang w:eastAsia="zh-CN"/>
                    </w:rPr>
                    <w:t>声源源强</w:t>
                  </w:r>
                </w:p>
              </w:tc>
              <w:tc>
                <w:tcPr>
                  <w:tcW w:w="19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声源控制措施</w:t>
                  </w:r>
                </w:p>
              </w:tc>
              <w:tc>
                <w:tcPr>
                  <w:tcW w:w="539"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空间相对位置/m</w:t>
                  </w:r>
                </w:p>
              </w:tc>
              <w:tc>
                <w:tcPr>
                  <w:tcW w:w="697"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距室内边界距离/m</w:t>
                  </w:r>
                </w:p>
              </w:tc>
              <w:tc>
                <w:tcPr>
                  <w:tcW w:w="697"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室内边界声级/dB(A)</w:t>
                  </w:r>
                </w:p>
              </w:tc>
              <w:tc>
                <w:tcPr>
                  <w:tcW w:w="50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运行时段</w:t>
                  </w:r>
                </w:p>
              </w:tc>
              <w:tc>
                <w:tcPr>
                  <w:tcW w:w="697" w:type="pct"/>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建筑物插入损失 / dB(A)</w:t>
                  </w:r>
                  <w:bookmarkStart w:id="44" w:name="PT_10"/>
                  <w:bookmarkEnd w:id="44"/>
                </w:p>
              </w:tc>
              <w:tc>
                <w:tcPr>
                  <w:tcW w:w="797" w:type="pct"/>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建筑物外噪声声压级/dB(A)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6"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val="en-US" w:eastAsia="zh-CN"/>
                    </w:rPr>
                  </w:pPr>
                </w:p>
              </w:tc>
              <w:tc>
                <w:tcPr>
                  <w:tcW w:w="196"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96"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7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声功率级/dB(A)</w:t>
                  </w:r>
                </w:p>
              </w:tc>
              <w:tc>
                <w:tcPr>
                  <w:tcW w:w="198"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X</w:t>
                  </w: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Y</w:t>
                  </w:r>
                </w:p>
              </w:tc>
              <w:tc>
                <w:tcPr>
                  <w:tcW w:w="12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Z</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505"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东</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南</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西</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北</w:t>
                  </w:r>
                </w:p>
              </w:tc>
              <w:tc>
                <w:tcPr>
                  <w:tcW w:w="10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建筑物外距离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生产车间</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冷却器1</w:t>
                  </w:r>
                </w:p>
              </w:tc>
              <w:tc>
                <w:tcPr>
                  <w:tcW w:w="27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70</w:t>
                  </w:r>
                </w:p>
              </w:tc>
              <w:tc>
                <w:tcPr>
                  <w:tcW w:w="198" w:type="pct"/>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基础减振，厂房隔声</w:t>
                  </w: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-4.5</w:t>
                  </w: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-13.1</w:t>
                  </w:r>
                </w:p>
              </w:tc>
              <w:tc>
                <w:tcPr>
                  <w:tcW w:w="12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5.1</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36.7</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26.6</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17.6</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505" w:type="pct"/>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10:00-14:00</w:t>
                  </w:r>
                  <w:r>
                    <w:rPr>
                      <w:rFonts w:hint="eastAsia" w:ascii="Times New Roman" w:hAnsi="Times New Roman" w:cs="Times New Roman" w:eastAsiaTheme="minorEastAsia"/>
                      <w:b w:val="0"/>
                      <w:bCs/>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16:00-20:00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0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生产车间</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冷却器2</w:t>
                  </w:r>
                </w:p>
              </w:tc>
              <w:tc>
                <w:tcPr>
                  <w:tcW w:w="27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70</w:t>
                  </w:r>
                </w:p>
              </w:tc>
              <w:tc>
                <w:tcPr>
                  <w:tcW w:w="198"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-8.3</w:t>
                  </w: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-9.9</w:t>
                  </w:r>
                </w:p>
              </w:tc>
              <w:tc>
                <w:tcPr>
                  <w:tcW w:w="12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10.1</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36.8</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21.7</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17.8</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61.9</w:t>
                  </w:r>
                </w:p>
              </w:tc>
              <w:tc>
                <w:tcPr>
                  <w:tcW w:w="505"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0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生产车间</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灌装机</w:t>
                  </w:r>
                </w:p>
              </w:tc>
              <w:tc>
                <w:tcPr>
                  <w:tcW w:w="27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75</w:t>
                  </w:r>
                </w:p>
              </w:tc>
              <w:tc>
                <w:tcPr>
                  <w:tcW w:w="198"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9.1</w:t>
                  </w: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w:t>
                  </w:r>
                </w:p>
              </w:tc>
              <w:tc>
                <w:tcPr>
                  <w:tcW w:w="12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59.3</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24.5</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40.2</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66.9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66.9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66.9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66.9</w:t>
                  </w:r>
                </w:p>
              </w:tc>
              <w:tc>
                <w:tcPr>
                  <w:tcW w:w="505"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40.9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40.9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40.9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40.9</w:t>
                  </w:r>
                </w:p>
              </w:tc>
              <w:tc>
                <w:tcPr>
                  <w:tcW w:w="10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生产车间</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锅炉</w:t>
                  </w:r>
                </w:p>
              </w:tc>
              <w:tc>
                <w:tcPr>
                  <w:tcW w:w="27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95</w:t>
                  </w:r>
                </w:p>
              </w:tc>
              <w:tc>
                <w:tcPr>
                  <w:tcW w:w="198"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w:t>
                  </w: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23.2</w:t>
                  </w:r>
                </w:p>
              </w:tc>
              <w:tc>
                <w:tcPr>
                  <w:tcW w:w="12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29.4</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65.0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86.9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86.9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87.4</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86.9</w:t>
                  </w:r>
                </w:p>
              </w:tc>
              <w:tc>
                <w:tcPr>
                  <w:tcW w:w="505"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60.9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60.9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61.4</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60.9</w:t>
                  </w:r>
                </w:p>
              </w:tc>
              <w:tc>
                <w:tcPr>
                  <w:tcW w:w="10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生产车间</w:t>
                  </w:r>
                </w:p>
              </w:tc>
              <w:tc>
                <w:tcPr>
                  <w:tcW w:w="19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纯水机</w:t>
                  </w:r>
                </w:p>
              </w:tc>
              <w:tc>
                <w:tcPr>
                  <w:tcW w:w="279"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80</w:t>
                  </w:r>
                </w:p>
              </w:tc>
              <w:tc>
                <w:tcPr>
                  <w:tcW w:w="198"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-23.3</w:t>
                  </w:r>
                </w:p>
              </w:tc>
              <w:tc>
                <w:tcPr>
                  <w:tcW w:w="20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0.8</w:t>
                  </w:r>
                </w:p>
              </w:tc>
              <w:tc>
                <w:tcPr>
                  <w:tcW w:w="12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28.5</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3.3</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16.9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71.9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72.1</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71.9</w:t>
                  </w:r>
                </w:p>
              </w:tc>
              <w:tc>
                <w:tcPr>
                  <w:tcW w:w="505" w:type="pct"/>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26.0</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45.9</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46.1</w:t>
                  </w:r>
                </w:p>
              </w:tc>
              <w:tc>
                <w:tcPr>
                  <w:tcW w:w="17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45.9</w:t>
                  </w:r>
                </w:p>
              </w:tc>
              <w:tc>
                <w:tcPr>
                  <w:tcW w:w="100"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26"/>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表中坐标以厂界中心（</w:t>
                  </w:r>
                  <w:bookmarkStart w:id="45" w:name="PO_7"/>
                  <w:r>
                    <w:rPr>
                      <w:rFonts w:hint="default" w:ascii="Times New Roman" w:hAnsi="Times New Roman" w:cs="Times New Roman" w:eastAsiaTheme="minorEastAsia"/>
                      <w:b w:val="0"/>
                      <w:bCs/>
                      <w:sz w:val="21"/>
                      <w:szCs w:val="21"/>
                      <w:lang w:val="en-US" w:eastAsia="zh-CN"/>
                    </w:rPr>
                    <w:t>86.5964966,42.084545</w:t>
                  </w:r>
                  <w:bookmarkEnd w:id="45"/>
                  <w:r>
                    <w:rPr>
                      <w:rFonts w:hint="default" w:ascii="Times New Roman" w:hAnsi="Times New Roman" w:cs="Times New Roman" w:eastAsiaTheme="minorEastAsia"/>
                      <w:b w:val="0"/>
                      <w:bCs/>
                      <w:sz w:val="21"/>
                      <w:szCs w:val="21"/>
                      <w:lang w:val="en-US" w:eastAsia="zh-CN"/>
                    </w:rPr>
                    <w:t>）为坐标原点，正东向为X轴正方向，正北向为Y轴正方向</w:t>
                  </w:r>
                </w:p>
              </w:tc>
            </w:tr>
            <w:bookmarkEnd w:id="43"/>
          </w:tbl>
          <w:p>
            <w:pPr>
              <w:pStyle w:val="9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val="0"/>
                <w:color w:val="auto"/>
                <w:sz w:val="24"/>
                <w:szCs w:val="24"/>
                <w:highlight w:val="none"/>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491490</wp:posOffset>
                      </wp:positionH>
                      <wp:positionV relativeFrom="paragraph">
                        <wp:posOffset>-39370</wp:posOffset>
                      </wp:positionV>
                      <wp:extent cx="4030345" cy="238125"/>
                      <wp:effectExtent l="0" t="0" r="0" b="0"/>
                      <wp:wrapNone/>
                      <wp:docPr id="1" name="文本框 1"/>
                      <wp:cNvGraphicFramePr/>
                      <a:graphic xmlns:a="http://schemas.openxmlformats.org/drawingml/2006/main">
                        <a:graphicData uri="http://schemas.microsoft.com/office/word/2010/wordprocessingShape">
                          <wps:wsp>
                            <wps:cNvSpPr txBox="1"/>
                            <wps:spPr>
                              <a:xfrm>
                                <a:off x="1772920" y="3077210"/>
                                <a:ext cx="403034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lang w:val="en-US" w:eastAsia="zh-CN"/>
                                    </w:rPr>
                                  </w:pPr>
                                  <w:r>
                                    <w:rPr>
                                      <w:rFonts w:hint="default"/>
                                      <w:b/>
                                      <w:bCs/>
                                      <w:lang w:val="en-US" w:eastAsia="zh-CN"/>
                                    </w:rPr>
                                    <w:t>表4-</w:t>
                                  </w:r>
                                  <w:r>
                                    <w:rPr>
                                      <w:rFonts w:hint="eastAsia"/>
                                      <w:b/>
                                      <w:bCs/>
                                      <w:lang w:val="en-US" w:eastAsia="zh-CN"/>
                                    </w:rPr>
                                    <w:t xml:space="preserve">13      </w:t>
                                  </w:r>
                                  <w:r>
                                    <w:rPr>
                                      <w:rFonts w:hint="default"/>
                                      <w:b/>
                                      <w:bCs/>
                                      <w:lang w:val="en-US" w:eastAsia="zh-CN"/>
                                    </w:rPr>
                                    <w:tab/>
                                  </w:r>
                                  <w:r>
                                    <w:rPr>
                                      <w:rFonts w:hint="default"/>
                                      <w:b/>
                                      <w:bCs/>
                                      <w:lang w:val="en-US" w:eastAsia="zh-CN"/>
                                    </w:rPr>
                                    <w:t>工业企业噪声源强调查清单（室内声源）</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7pt;margin-top:-3.1pt;height:18.75pt;width:317.35pt;z-index:251662336;mso-width-relative:page;mso-height-relative:page;" filled="f" stroked="f" coordsize="21600,21600" o:gfxdata="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E2XPfaAAAACAEAAA8AAAAAAAAAAQAg&#10;AAAAIgAAAGRycy9kb3ducmV2LnhtbFBLAQIUABQAAAAIAIdO4kC6c7XLRQIAAHIEAAAOAAAAAAAA&#10;AAEAIAAAACkBAABkcnMvZTJvRG9jLnhtbFBLBQYAAAAABgAGAFkBAADgBQAAAAA=&#10;">
                      <v:fill on="f" focussize="0,0"/>
                      <v:stroke on="f" weight="0.5pt"/>
                      <v:imagedata o:title=""/>
                      <o:lock v:ext="edit" aspectratio="f"/>
                      <v:textbox>
                        <w:txbxContent>
                          <w:p>
                            <w:pPr>
                              <w:rPr>
                                <w:rFonts w:hint="default"/>
                                <w:b/>
                                <w:bCs/>
                                <w:lang w:val="en-US" w:eastAsia="zh-CN"/>
                              </w:rPr>
                            </w:pPr>
                            <w:r>
                              <w:rPr>
                                <w:rFonts w:hint="default"/>
                                <w:b/>
                                <w:bCs/>
                                <w:lang w:val="en-US" w:eastAsia="zh-CN"/>
                              </w:rPr>
                              <w:t>表4-</w:t>
                            </w:r>
                            <w:r>
                              <w:rPr>
                                <w:rFonts w:hint="eastAsia"/>
                                <w:b/>
                                <w:bCs/>
                                <w:lang w:val="en-US" w:eastAsia="zh-CN"/>
                              </w:rPr>
                              <w:t xml:space="preserve">13      </w:t>
                            </w:r>
                            <w:r>
                              <w:rPr>
                                <w:rFonts w:hint="default"/>
                                <w:b/>
                                <w:bCs/>
                                <w:lang w:val="en-US" w:eastAsia="zh-CN"/>
                              </w:rPr>
                              <w:tab/>
                            </w:r>
                            <w:r>
                              <w:rPr>
                                <w:rFonts w:hint="default"/>
                                <w:b/>
                                <w:bCs/>
                                <w:lang w:val="en-US" w:eastAsia="zh-CN"/>
                              </w:rPr>
                              <w:t>工业企业噪声源强调查清单（室内声源）</w:t>
                            </w:r>
                          </w:p>
                          <w:p/>
                        </w:txbxContent>
                      </v:textbox>
                    </v:shape>
                  </w:pict>
                </mc:Fallback>
              </mc:AlternateContent>
            </w:r>
            <w:r>
              <w:rPr>
                <w:rFonts w:hint="eastAsia" w:ascii="Times New Roman" w:hAnsi="Times New Roman" w:eastAsia="宋体" w:cs="Times New Roman"/>
                <w:b/>
                <w:bCs w:val="0"/>
                <w:color w:val="auto"/>
                <w:sz w:val="24"/>
                <w:szCs w:val="24"/>
                <w:highlight w:val="none"/>
                <w:lang w:val="en-US" w:eastAsia="zh-CN"/>
              </w:rPr>
              <w:t>2、</w:t>
            </w:r>
            <w:r>
              <w:rPr>
                <w:rFonts w:hint="default" w:ascii="Times New Roman" w:hAnsi="Times New Roman" w:eastAsia="宋体" w:cs="Times New Roman"/>
                <w:b/>
                <w:bCs w:val="0"/>
                <w:color w:val="auto"/>
                <w:sz w:val="24"/>
                <w:szCs w:val="24"/>
                <w:highlight w:val="none"/>
                <w:lang w:val="en-US" w:eastAsia="zh-CN"/>
              </w:rPr>
              <w:t>对周围声环境的影响分析</w:t>
            </w:r>
          </w:p>
          <w:p>
            <w:pPr>
              <w:adjustRightInd w:val="0"/>
              <w:snapToGrid w:val="0"/>
              <w:spacing w:line="360" w:lineRule="auto"/>
              <w:ind w:firstLine="48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预测模式</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根据运营期各声源噪声排放特点，结合《环境影响评价技术导则 声环境》（HJ2.4-</w:t>
            </w:r>
            <w:r>
              <w:rPr>
                <w:rFonts w:hint="default" w:ascii="Times New Roman" w:hAnsi="Times New Roman" w:eastAsia="宋体" w:cs="Times New Roman"/>
                <w:color w:val="auto"/>
                <w:sz w:val="24"/>
                <w:szCs w:val="24"/>
                <w:highlight w:val="none"/>
                <w:lang w:val="en-US" w:eastAsia="zh-CN"/>
              </w:rPr>
              <w:t>2021</w:t>
            </w:r>
            <w:r>
              <w:rPr>
                <w:rFonts w:hint="default" w:ascii="Times New Roman" w:hAnsi="Times New Roman" w:eastAsia="宋体" w:cs="Times New Roman"/>
                <w:color w:val="auto"/>
                <w:sz w:val="24"/>
                <w:szCs w:val="24"/>
                <w:highlight w:val="none"/>
              </w:rPr>
              <w:t>）的要求，可选择点声源预测模式来模拟预测这些声源排放噪声随距离衰减变化规律。</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①点声源衰减公式</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预测采用《环境影响评价技术导则 声环境》（HJ2.4-2</w:t>
            </w:r>
            <w:r>
              <w:rPr>
                <w:rFonts w:hint="default" w:ascii="Times New Roman" w:hAnsi="Times New Roman" w:eastAsia="宋体" w:cs="Times New Roman"/>
                <w:color w:val="auto"/>
                <w:sz w:val="24"/>
                <w:szCs w:val="24"/>
                <w:highlight w:val="none"/>
                <w:lang w:val="en-US" w:eastAsia="zh-CN"/>
              </w:rPr>
              <w:t>021</w:t>
            </w:r>
            <w:r>
              <w:rPr>
                <w:rFonts w:hint="default" w:ascii="Times New Roman" w:hAnsi="Times New Roman" w:eastAsia="宋体" w:cs="Times New Roman"/>
                <w:color w:val="auto"/>
                <w:sz w:val="24"/>
                <w:szCs w:val="24"/>
                <w:highlight w:val="none"/>
              </w:rPr>
              <w:t>）中推荐的点声源衰减模式，计算公式如下：</w:t>
            </w:r>
          </w:p>
          <w:p>
            <w:pPr>
              <w:adjustRightInd w:val="0"/>
              <w:snapToGrid w:val="0"/>
              <w:spacing w:line="360" w:lineRule="auto"/>
              <w:ind w:firstLine="2160" w:firstLineChars="9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L(r)=L(r0)-20lg(r/r0)-ΔL</w:t>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式中：L(r)——距声源r处的A声级，dB(A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L(r0)——距声源r0处的A声级，dB(A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ΔL——声屏障、遮挡物、空气吸收地面效应引起的衰减量，dB(A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r、r0——距声源距离，m。</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②多声源叠加公式</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各受声点上受到多个声源的影响叠加，计算公式如下：</w:t>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anchor distT="0" distB="0" distL="114300" distR="114300" simplePos="0" relativeHeight="251661312" behindDoc="0" locked="0" layoutInCell="1" allowOverlap="1">
                  <wp:simplePos x="0" y="0"/>
                  <wp:positionH relativeFrom="column">
                    <wp:posOffset>1334135</wp:posOffset>
                  </wp:positionH>
                  <wp:positionV relativeFrom="paragraph">
                    <wp:posOffset>19050</wp:posOffset>
                  </wp:positionV>
                  <wp:extent cx="1485900" cy="428625"/>
                  <wp:effectExtent l="0" t="0" r="0" b="8255"/>
                  <wp:wrapNone/>
                  <wp:docPr id="15"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52"/>
                          <pic:cNvPicPr>
                            <a:picLocks noChangeAspect="1"/>
                          </pic:cNvPicPr>
                        </pic:nvPicPr>
                        <pic:blipFill>
                          <a:blip r:embed="rId26"/>
                          <a:stretch>
                            <a:fillRect/>
                          </a:stretch>
                        </pic:blipFill>
                        <pic:spPr>
                          <a:xfrm>
                            <a:off x="0" y="0"/>
                            <a:ext cx="1485900" cy="428625"/>
                          </a:xfrm>
                          <a:prstGeom prst="rect">
                            <a:avLst/>
                          </a:prstGeom>
                          <a:noFill/>
                          <a:ln>
                            <a:noFill/>
                          </a:ln>
                        </pic:spPr>
                      </pic:pic>
                    </a:graphicData>
                  </a:graphic>
                </wp:anchor>
              </w:drawing>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式中：Leq——总等效声级，dB(A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Leqi——第i声源对某预测点的等效声级，dB(A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adjustRightInd w:val="0"/>
              <w:snapToGrid w:val="0"/>
              <w:spacing w:line="360" w:lineRule="auto"/>
              <w:ind w:firstLine="1320" w:firstLine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n——声源总数。</w:t>
            </w:r>
          </w:p>
          <w:p>
            <w:pPr>
              <w:adjustRightInd w:val="0"/>
              <w:snapToGrid w:val="0"/>
              <w:spacing w:line="360" w:lineRule="auto"/>
              <w:ind w:firstLine="48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）预测结果与评价</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rPr>
                <w:rFonts w:hint="eastAsia" w:ascii="Times New Roman" w:hAnsi="Times New Roman" w:eastAsia="宋体" w:cs="Times New Roman"/>
                <w:color w:val="000000"/>
                <w:spacing w:val="0"/>
                <w:kern w:val="0"/>
                <w:sz w:val="24"/>
                <w:szCs w:val="24"/>
                <w:highlight w:val="none"/>
                <w:lang w:val="en-US" w:eastAsia="zh-CN" w:bidi="ar-SA"/>
              </w:rPr>
            </w:pPr>
            <w:r>
              <w:rPr>
                <w:rFonts w:hint="eastAsia" w:ascii="Times New Roman" w:hAnsi="Times New Roman" w:eastAsia="宋体" w:cs="Times New Roman"/>
                <w:color w:val="000000"/>
                <w:spacing w:val="0"/>
                <w:kern w:val="0"/>
                <w:sz w:val="24"/>
                <w:szCs w:val="24"/>
                <w:highlight w:val="none"/>
                <w:lang w:val="en-US" w:eastAsia="zh-CN" w:bidi="ar-SA"/>
              </w:rPr>
              <w:t>本项目所有设备均置于车间内，采用基础减振，厂房门窗隔音及距离衰减等措施治理后，预测结果见表4-</w:t>
            </w:r>
            <w:r>
              <w:rPr>
                <w:rFonts w:hint="eastAsia" w:cs="Times New Roman"/>
                <w:color w:val="000000"/>
                <w:spacing w:val="0"/>
                <w:kern w:val="0"/>
                <w:sz w:val="24"/>
                <w:szCs w:val="24"/>
                <w:highlight w:val="none"/>
                <w:lang w:val="en-US" w:eastAsia="zh-CN" w:bidi="ar-SA"/>
              </w:rPr>
              <w:t>14</w:t>
            </w:r>
            <w:r>
              <w:rPr>
                <w:rFonts w:hint="eastAsia" w:ascii="Times New Roman" w:hAnsi="Times New Roman" w:eastAsia="宋体" w:cs="Times New Roman"/>
                <w:color w:val="000000"/>
                <w:spacing w:val="0"/>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b/>
                <w:color w:val="auto"/>
                <w:kern w:val="0"/>
                <w:sz w:val="24"/>
                <w:szCs w:val="24"/>
                <w:highlight w:val="none"/>
                <w:lang w:val="en-US" w:eastAsia="zh-CN" w:bidi="ar-SA"/>
              </w:rPr>
            </w:pPr>
            <w:r>
              <w:rPr>
                <w:rFonts w:hint="default" w:ascii="Times New Roman" w:hAnsi="Times New Roman" w:eastAsia="Times New Roman" w:cs="Times New Roman"/>
                <w:b/>
                <w:color w:val="auto"/>
                <w:kern w:val="0"/>
                <w:sz w:val="24"/>
                <w:szCs w:val="24"/>
                <w:highlight w:val="none"/>
                <w:lang w:val="en-US" w:eastAsia="zh-CN" w:bidi="ar-SA"/>
              </w:rPr>
              <w:t>表</w:t>
            </w:r>
            <w:r>
              <w:rPr>
                <w:rFonts w:hint="eastAsia" w:ascii="Times New Roman" w:hAnsi="Times New Roman" w:eastAsia="Times New Roman" w:cs="Times New Roman"/>
                <w:b/>
                <w:color w:val="auto"/>
                <w:kern w:val="0"/>
                <w:sz w:val="24"/>
                <w:szCs w:val="24"/>
                <w:highlight w:val="none"/>
                <w:lang w:val="en-US" w:eastAsia="zh-CN" w:bidi="ar-SA"/>
              </w:rPr>
              <w:t>4-1</w:t>
            </w:r>
            <w:r>
              <w:rPr>
                <w:rFonts w:hint="eastAsia" w:eastAsia="Times New Roman" w:cs="Times New Roman"/>
                <w:b/>
                <w:color w:val="auto"/>
                <w:kern w:val="0"/>
                <w:sz w:val="24"/>
                <w:szCs w:val="24"/>
                <w:highlight w:val="none"/>
                <w:lang w:val="en-US" w:eastAsia="zh-CN" w:bidi="ar-SA"/>
              </w:rPr>
              <w:t>4</w:t>
            </w:r>
            <w:r>
              <w:rPr>
                <w:rFonts w:hint="default" w:ascii="Times New Roman" w:hAnsi="Times New Roman" w:eastAsia="Times New Roman" w:cs="Times New Roman"/>
                <w:b/>
                <w:color w:val="auto"/>
                <w:kern w:val="0"/>
                <w:sz w:val="24"/>
                <w:szCs w:val="24"/>
                <w:highlight w:val="none"/>
                <w:lang w:val="en-US" w:eastAsia="zh-CN" w:bidi="ar-SA"/>
              </w:rPr>
              <w:t xml:space="preserve"> 噪声预测结果一览表   </w:t>
            </w:r>
            <w:r>
              <w:rPr>
                <w:rFonts w:hint="eastAsia" w:ascii="Times New Roman" w:hAnsi="Times New Roman" w:eastAsia="Times New Roman" w:cs="Times New Roman"/>
                <w:b/>
                <w:color w:val="auto"/>
                <w:kern w:val="0"/>
                <w:sz w:val="24"/>
                <w:szCs w:val="24"/>
                <w:highlight w:val="none"/>
                <w:lang w:val="en-US" w:eastAsia="zh-CN" w:bidi="ar-SA"/>
              </w:rPr>
              <w:t xml:space="preserve">         </w:t>
            </w:r>
            <w:r>
              <w:rPr>
                <w:rFonts w:hint="default" w:ascii="Times New Roman" w:hAnsi="Times New Roman" w:eastAsia="Times New Roman" w:cs="Times New Roman"/>
                <w:b/>
                <w:color w:val="auto"/>
                <w:kern w:val="0"/>
                <w:sz w:val="24"/>
                <w:szCs w:val="24"/>
                <w:highlight w:val="none"/>
                <w:lang w:val="en-US" w:eastAsia="zh-CN" w:bidi="ar-SA"/>
              </w:rPr>
              <w:t xml:space="preserve">  单位：dB（A）</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78"/>
              <w:gridCol w:w="1079"/>
              <w:gridCol w:w="963"/>
              <w:gridCol w:w="791"/>
              <w:gridCol w:w="709"/>
              <w:gridCol w:w="1310"/>
              <w:gridCol w:w="1310"/>
              <w:gridCol w:w="11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1"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预测方位</w:t>
                  </w:r>
                </w:p>
              </w:tc>
              <w:tc>
                <w:tcPr>
                  <w:tcW w:w="1662" w:type="pct"/>
                  <w:gridSpan w:val="3"/>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最大值点</w:t>
                  </w:r>
                  <w:r>
                    <w:rPr>
                      <w:rFonts w:hint="default" w:ascii="Times New Roman" w:hAnsi="Times New Roman" w:cs="Times New Roman" w:eastAsiaTheme="minorEastAsia"/>
                      <w:b w:val="0"/>
                      <w:bCs/>
                      <w:sz w:val="21"/>
                      <w:szCs w:val="21"/>
                    </w:rPr>
                    <w:t>空间相对位置/m</w:t>
                  </w:r>
                </w:p>
              </w:tc>
              <w:tc>
                <w:tcPr>
                  <w:tcW w:w="416"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时段</w:t>
                  </w:r>
                </w:p>
              </w:tc>
              <w:tc>
                <w:tcPr>
                  <w:tcW w:w="768"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贡献值</w:t>
                  </w:r>
                </w:p>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（dB(A)）</w:t>
                  </w:r>
                </w:p>
              </w:tc>
              <w:tc>
                <w:tcPr>
                  <w:tcW w:w="768"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标准限值</w:t>
                  </w:r>
                </w:p>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（dB(A)）</w:t>
                  </w:r>
                </w:p>
              </w:tc>
              <w:tc>
                <w:tcPr>
                  <w:tcW w:w="691"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X</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Y</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Z</w:t>
                  </w:r>
                </w:p>
              </w:tc>
              <w:tc>
                <w:tcPr>
                  <w:tcW w:w="416"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768"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768"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691"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东侧</w:t>
                  </w: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90.9</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-4.2</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昼间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38.1</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90.9</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-4.2</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夜间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38.1</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南侧</w:t>
                  </w: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-97.3</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-32</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昼间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37.2</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-97.3</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-32</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夜间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37.2</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西侧</w:t>
                  </w: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-63.6</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14.8</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昼间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47.7</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-63.6</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14.8</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夜间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47.7</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restar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北侧</w:t>
                  </w: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-55.7</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50.2</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昼间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48.2</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65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1" w:type="pct"/>
                  <w:vMerge w:val="continue"/>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p>
              </w:tc>
              <w:tc>
                <w:tcPr>
                  <w:tcW w:w="63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-55.7</w:t>
                  </w:r>
                </w:p>
              </w:tc>
              <w:tc>
                <w:tcPr>
                  <w:tcW w:w="565"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50.2</w:t>
                  </w:r>
                </w:p>
              </w:tc>
              <w:tc>
                <w:tcPr>
                  <w:tcW w:w="463"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1.2</w:t>
                  </w:r>
                </w:p>
              </w:tc>
              <w:tc>
                <w:tcPr>
                  <w:tcW w:w="416"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夜间</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48.2</w:t>
                  </w:r>
                </w:p>
              </w:tc>
              <w:tc>
                <w:tcPr>
                  <w:tcW w:w="768"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55</w:t>
                  </w:r>
                </w:p>
              </w:tc>
              <w:tc>
                <w:tcPr>
                  <w:tcW w:w="691" w:type="pct"/>
                  <w:tcBorders>
                    <w:tl2br w:val="nil"/>
                    <w:tr2bl w:val="nil"/>
                  </w:tcBorders>
                  <w:shd w:val="clear" w:color="auto" w:fill="auto"/>
                  <w:vAlign w:val="center"/>
                </w:tcPr>
                <w:p>
                  <w:pPr>
                    <w:jc w:val="center"/>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达标</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b/>
                <w:color w:val="auto"/>
                <w:kern w:val="0"/>
                <w:sz w:val="24"/>
                <w:szCs w:val="24"/>
                <w:highlight w:val="none"/>
                <w:lang w:val="en-US" w:eastAsia="zh-CN" w:bidi="ar-SA"/>
              </w:rPr>
            </w:pPr>
            <w:r>
              <w:rPr>
                <w:rFonts w:hint="eastAsia" w:ascii="Times New Roman" w:hAnsi="Times New Roman" w:eastAsia="Times New Roman" w:cs="Times New Roman"/>
                <w:b/>
                <w:color w:val="auto"/>
                <w:kern w:val="0"/>
                <w:sz w:val="24"/>
                <w:szCs w:val="24"/>
                <w:highlight w:val="none"/>
                <w:lang w:val="en-US" w:eastAsia="zh-CN" w:bidi="ar-SA"/>
              </w:rPr>
              <w:t>表4-1</w:t>
            </w:r>
            <w:r>
              <w:rPr>
                <w:rFonts w:hint="eastAsia" w:eastAsia="Times New Roman" w:cs="Times New Roman"/>
                <w:b/>
                <w:color w:val="auto"/>
                <w:kern w:val="0"/>
                <w:sz w:val="24"/>
                <w:szCs w:val="24"/>
                <w:highlight w:val="none"/>
                <w:lang w:val="en-US" w:eastAsia="zh-CN" w:bidi="ar-SA"/>
              </w:rPr>
              <w:t>5</w:t>
            </w:r>
            <w:r>
              <w:rPr>
                <w:rFonts w:hint="eastAsia" w:ascii="Times New Roman" w:hAnsi="Times New Roman" w:eastAsia="Times New Roman" w:cs="Times New Roman"/>
                <w:b/>
                <w:color w:val="auto"/>
                <w:kern w:val="0"/>
                <w:sz w:val="24"/>
                <w:szCs w:val="24"/>
                <w:highlight w:val="none"/>
                <w:lang w:val="en-US" w:eastAsia="zh-CN" w:bidi="ar-SA"/>
              </w:rPr>
              <w:t xml:space="preserve">   工业企业声环境保护目标噪声预测结果与达标分析表</w:t>
            </w:r>
          </w:p>
          <w:tbl>
            <w:tblPr>
              <w:tblStyle w:val="33"/>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4"/>
              <w:gridCol w:w="1240"/>
              <w:gridCol w:w="568"/>
              <w:gridCol w:w="571"/>
              <w:gridCol w:w="506"/>
              <w:gridCol w:w="510"/>
              <w:gridCol w:w="665"/>
              <w:gridCol w:w="665"/>
              <w:gridCol w:w="568"/>
              <w:gridCol w:w="571"/>
              <w:gridCol w:w="568"/>
              <w:gridCol w:w="571"/>
              <w:gridCol w:w="513"/>
              <w:gridCol w:w="5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序号</w:t>
                  </w:r>
                </w:p>
              </w:tc>
              <w:tc>
                <w:tcPr>
                  <w:tcW w:w="727"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声环境保护目标名称</w:t>
                  </w:r>
                </w:p>
              </w:tc>
              <w:tc>
                <w:tcPr>
                  <w:tcW w:w="66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噪声现状值/dB(A)</w:t>
                  </w:r>
                </w:p>
              </w:tc>
              <w:tc>
                <w:tcPr>
                  <w:tcW w:w="596"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噪声标准/dB(A)</w:t>
                  </w:r>
                </w:p>
              </w:tc>
              <w:tc>
                <w:tcPr>
                  <w:tcW w:w="780"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噪声贡献值/dB(A)</w:t>
                  </w:r>
                </w:p>
              </w:tc>
              <w:tc>
                <w:tcPr>
                  <w:tcW w:w="66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噪声预测值/dB(A)</w:t>
                  </w:r>
                </w:p>
              </w:tc>
              <w:tc>
                <w:tcPr>
                  <w:tcW w:w="66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较现状增量/dB(A)</w:t>
                  </w:r>
                </w:p>
              </w:tc>
              <w:tc>
                <w:tcPr>
                  <w:tcW w:w="604"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超标和达标情况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p>
              </w:tc>
              <w:tc>
                <w:tcPr>
                  <w:tcW w:w="727"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p>
              </w:tc>
              <w:tc>
                <w:tcPr>
                  <w:tcW w:w="3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昼间</w:t>
                  </w:r>
                </w:p>
              </w:tc>
              <w:tc>
                <w:tcPr>
                  <w:tcW w:w="3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夜间</w:t>
                  </w:r>
                </w:p>
              </w:tc>
              <w:tc>
                <w:tcPr>
                  <w:tcW w:w="2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昼间</w:t>
                  </w:r>
                </w:p>
              </w:tc>
              <w:tc>
                <w:tcPr>
                  <w:tcW w:w="29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夜间</w:t>
                  </w:r>
                </w:p>
              </w:tc>
              <w:tc>
                <w:tcPr>
                  <w:tcW w:w="3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昼间</w:t>
                  </w:r>
                </w:p>
              </w:tc>
              <w:tc>
                <w:tcPr>
                  <w:tcW w:w="3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夜间</w:t>
                  </w:r>
                </w:p>
              </w:tc>
              <w:tc>
                <w:tcPr>
                  <w:tcW w:w="3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昼间</w:t>
                  </w:r>
                </w:p>
              </w:tc>
              <w:tc>
                <w:tcPr>
                  <w:tcW w:w="3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夜间</w:t>
                  </w:r>
                </w:p>
              </w:tc>
              <w:tc>
                <w:tcPr>
                  <w:tcW w:w="3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昼间</w:t>
                  </w:r>
                </w:p>
              </w:tc>
              <w:tc>
                <w:tcPr>
                  <w:tcW w:w="3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夜间</w:t>
                  </w:r>
                </w:p>
              </w:tc>
              <w:tc>
                <w:tcPr>
                  <w:tcW w:w="3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昼间</w:t>
                  </w:r>
                </w:p>
              </w:tc>
              <w:tc>
                <w:tcPr>
                  <w:tcW w:w="30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eastAsiaTheme="minorEastAsia"/>
                      <w:b w:val="0"/>
                      <w:bCs/>
                      <w:sz w:val="21"/>
                      <w:szCs w:val="21"/>
                    </w:rPr>
                  </w:pPr>
                  <w:r>
                    <w:rPr>
                      <w:rFonts w:ascii="Times New Roman" w:hAnsi="Times New Roman" w:cs="Times New Roman" w:eastAsiaTheme="minorEastAsia"/>
                      <w:b w:val="0"/>
                      <w:bCs/>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b w:val="0"/>
                      <w:bCs/>
                      <w:lang w:val="en-US" w:eastAsia="zh-CN"/>
                    </w:rPr>
                  </w:pPr>
                  <w:r>
                    <w:rPr>
                      <w:rFonts w:hint="eastAsia"/>
                      <w:b w:val="0"/>
                      <w:bCs/>
                      <w:lang w:val="en-US" w:eastAsia="zh-CN"/>
                    </w:rPr>
                    <w:t>1</w:t>
                  </w:r>
                </w:p>
              </w:tc>
              <w:tc>
                <w:tcPr>
                  <w:tcW w:w="72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b w:val="0"/>
                      <w:bCs/>
                    </w:rPr>
                  </w:pPr>
                  <w:r>
                    <w:rPr>
                      <w:rFonts w:hint="eastAsia"/>
                      <w:b w:val="0"/>
                      <w:bCs/>
                    </w:rPr>
                    <w:t>东侧声环境敏感点</w:t>
                  </w:r>
                </w:p>
              </w:tc>
              <w:tc>
                <w:tcPr>
                  <w:tcW w:w="3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52</w:t>
                  </w:r>
                </w:p>
              </w:tc>
              <w:tc>
                <w:tcPr>
                  <w:tcW w:w="3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43</w:t>
                  </w:r>
                </w:p>
              </w:tc>
              <w:tc>
                <w:tcPr>
                  <w:tcW w:w="2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65</w:t>
                  </w:r>
                </w:p>
              </w:tc>
              <w:tc>
                <w:tcPr>
                  <w:tcW w:w="29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55</w:t>
                  </w:r>
                </w:p>
              </w:tc>
              <w:tc>
                <w:tcPr>
                  <w:tcW w:w="3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24.0</w:t>
                  </w:r>
                </w:p>
              </w:tc>
              <w:tc>
                <w:tcPr>
                  <w:tcW w:w="3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15.0</w:t>
                  </w:r>
                </w:p>
              </w:tc>
              <w:tc>
                <w:tcPr>
                  <w:tcW w:w="3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53</w:t>
                  </w:r>
                </w:p>
              </w:tc>
              <w:tc>
                <w:tcPr>
                  <w:tcW w:w="3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b w:val="0"/>
                      <w:bCs/>
                      <w:lang w:val="en-US" w:eastAsia="zh-CN"/>
                    </w:rPr>
                  </w:pPr>
                  <w:r>
                    <w:rPr>
                      <w:rFonts w:hint="eastAsia"/>
                      <w:b w:val="0"/>
                      <w:bCs/>
                      <w:lang w:val="en-US" w:eastAsia="zh-CN"/>
                    </w:rPr>
                    <w:t>43</w:t>
                  </w:r>
                </w:p>
              </w:tc>
              <w:tc>
                <w:tcPr>
                  <w:tcW w:w="3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b w:val="0"/>
                      <w:bCs/>
                      <w:lang w:val="en-US" w:eastAsia="zh-CN"/>
                    </w:rPr>
                  </w:pPr>
                  <w:r>
                    <w:rPr>
                      <w:rFonts w:hint="eastAsia"/>
                      <w:b w:val="0"/>
                      <w:bCs/>
                      <w:lang w:val="en-US" w:eastAsia="zh-CN"/>
                    </w:rPr>
                    <w:t>0</w:t>
                  </w:r>
                </w:p>
              </w:tc>
              <w:tc>
                <w:tcPr>
                  <w:tcW w:w="33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b w:val="0"/>
                      <w:bCs/>
                      <w:lang w:val="en-US" w:eastAsia="zh-CN"/>
                    </w:rPr>
                  </w:pPr>
                  <w:r>
                    <w:rPr>
                      <w:rFonts w:hint="eastAsia"/>
                      <w:b w:val="0"/>
                      <w:bCs/>
                      <w:lang w:val="en-US" w:eastAsia="zh-CN"/>
                    </w:rPr>
                    <w:t>0</w:t>
                  </w:r>
                </w:p>
              </w:tc>
              <w:tc>
                <w:tcPr>
                  <w:tcW w:w="3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b w:val="0"/>
                      <w:bCs/>
                      <w:lang w:val="en-US" w:eastAsia="zh-CN"/>
                    </w:rPr>
                  </w:pPr>
                  <w:r>
                    <w:rPr>
                      <w:rFonts w:hint="eastAsia"/>
                      <w:b w:val="0"/>
                      <w:bCs/>
                      <w:lang w:val="en-US" w:eastAsia="zh-CN"/>
                    </w:rPr>
                    <w:t>达标</w:t>
                  </w:r>
                </w:p>
              </w:tc>
              <w:tc>
                <w:tcPr>
                  <w:tcW w:w="30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b w:val="0"/>
                      <w:bCs/>
                      <w:lang w:val="en-US" w:eastAsia="zh-CN"/>
                    </w:rPr>
                  </w:pPr>
                  <w:r>
                    <w:rPr>
                      <w:rFonts w:hint="eastAsia"/>
                      <w:b w:val="0"/>
                      <w:bCs/>
                      <w:lang w:val="en-US" w:eastAsia="zh-CN"/>
                    </w:rPr>
                    <w:t>达标</w:t>
                  </w:r>
                </w:p>
              </w:tc>
            </w:tr>
          </w:tbl>
          <w:p>
            <w:pPr>
              <w:adjustRightInd w:val="0"/>
              <w:snapToGrid w:val="0"/>
              <w:spacing w:line="360" w:lineRule="auto"/>
              <w:ind w:firstLine="480"/>
              <w:rPr>
                <w:rFonts w:hint="eastAsia" w:ascii="Times New Roman" w:hAnsi="Times New Roman" w:eastAsia="宋体" w:cs="Times New Roman"/>
                <w:color w:val="auto"/>
                <w:sz w:val="24"/>
                <w:szCs w:val="24"/>
                <w:highlight w:val="none"/>
                <w:lang w:val="en-US" w:eastAsia="zh-CN"/>
              </w:rPr>
            </w:pPr>
          </w:p>
          <w:p>
            <w:pPr>
              <w:adjustRightInd w:val="0"/>
              <w:snapToGrid w:val="0"/>
              <w:spacing w:line="360" w:lineRule="auto"/>
              <w:ind w:firstLine="48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据上表预测结果可知，项目厂界四周边界噪声经建筑物隔声降噪及距离衰减后，厂界</w:t>
            </w:r>
            <w:r>
              <w:rPr>
                <w:rFonts w:hint="eastAsia" w:cs="Times New Roman"/>
                <w:color w:val="auto"/>
                <w:sz w:val="24"/>
                <w:szCs w:val="24"/>
                <w:highlight w:val="none"/>
                <w:lang w:val="en-US" w:eastAsia="zh-CN"/>
              </w:rPr>
              <w:t>及声环境保护目标</w:t>
            </w:r>
            <w:r>
              <w:rPr>
                <w:rFonts w:hint="eastAsia" w:ascii="Times New Roman" w:hAnsi="Times New Roman" w:eastAsia="宋体" w:cs="Times New Roman"/>
                <w:color w:val="auto"/>
                <w:sz w:val="24"/>
                <w:szCs w:val="24"/>
                <w:highlight w:val="none"/>
                <w:lang w:val="en-US" w:eastAsia="zh-CN"/>
              </w:rPr>
              <w:t>噪声满足《工业企业厂界环境噪声排放标准》（</w:t>
            </w:r>
            <w:r>
              <w:rPr>
                <w:rFonts w:hint="default" w:ascii="Times New Roman" w:hAnsi="Times New Roman" w:eastAsia="宋体" w:cs="Times New Roman"/>
                <w:color w:val="auto"/>
                <w:sz w:val="24"/>
                <w:szCs w:val="24"/>
                <w:highlight w:val="none"/>
                <w:lang w:val="en-US" w:eastAsia="zh-CN"/>
              </w:rPr>
              <w:t>GB12348-2008</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类区标准中（昼间</w:t>
            </w:r>
            <w:r>
              <w:rPr>
                <w:rFonts w:hint="default" w:ascii="Times New Roman" w:hAnsi="Times New Roman" w:eastAsia="宋体" w:cs="Times New Roman"/>
                <w:color w:val="auto"/>
                <w:sz w:val="24"/>
                <w:szCs w:val="24"/>
                <w:highlight w:val="none"/>
                <w:lang w:val="en-US" w:eastAsia="zh-CN"/>
              </w:rPr>
              <w:t>65dB</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），夜间55</w:t>
            </w:r>
            <w:r>
              <w:rPr>
                <w:rFonts w:hint="default" w:ascii="Times New Roman" w:hAnsi="Times New Roman" w:eastAsia="宋体" w:cs="Times New Roman"/>
                <w:color w:val="auto"/>
                <w:sz w:val="24"/>
                <w:szCs w:val="24"/>
                <w:highlight w:val="none"/>
                <w:lang w:val="en-US" w:eastAsia="zh-CN"/>
              </w:rPr>
              <w:t>dB</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））的排放要求。</w:t>
            </w:r>
          </w:p>
          <w:p>
            <w:pPr>
              <w:pStyle w:val="9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3、</w:t>
            </w:r>
            <w:r>
              <w:rPr>
                <w:rFonts w:hint="default" w:ascii="Times New Roman" w:hAnsi="Times New Roman" w:eastAsia="宋体" w:cs="Times New Roman"/>
                <w:b/>
                <w:bCs w:val="0"/>
                <w:color w:val="auto"/>
                <w:sz w:val="24"/>
                <w:szCs w:val="24"/>
                <w:highlight w:val="none"/>
                <w:lang w:val="en-US" w:eastAsia="zh-CN"/>
              </w:rPr>
              <w:t>监测计划</w:t>
            </w:r>
          </w:p>
          <w:p>
            <w:pPr>
              <w:adjustRightInd w:val="0"/>
              <w:snapToGrid w:val="0"/>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根据《排污单位自行监测技术指南 总则》（HJ819-2017）</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《排污许可证申请与核发技术规范 酒、饮料制造工业》</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HJ 1028—2019</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、《排污单位自行监测技术指南 酒、饮料制造》（HJ 1085-2020），营运期噪声监测</w:t>
            </w:r>
            <w:r>
              <w:rPr>
                <w:rFonts w:hint="eastAsia" w:eastAsia="宋体" w:cs="Times New Roman"/>
                <w:color w:val="auto"/>
                <w:sz w:val="24"/>
                <w:szCs w:val="24"/>
                <w:highlight w:val="none"/>
                <w:lang w:val="en-US" w:eastAsia="zh-CN"/>
              </w:rPr>
              <w:t>计划</w:t>
            </w:r>
            <w:r>
              <w:rPr>
                <w:rFonts w:hint="default" w:ascii="Times New Roman" w:hAnsi="Times New Roman" w:eastAsia="宋体" w:cs="Times New Roman"/>
                <w:color w:val="auto"/>
                <w:sz w:val="24"/>
                <w:szCs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b/>
                <w:color w:val="auto"/>
                <w:kern w:val="0"/>
                <w:sz w:val="24"/>
                <w:szCs w:val="24"/>
                <w:highlight w:val="none"/>
                <w:lang w:val="en-US" w:eastAsia="zh-CN" w:bidi="ar-SA"/>
              </w:rPr>
            </w:pPr>
            <w:r>
              <w:rPr>
                <w:rFonts w:hint="default" w:ascii="Times New Roman" w:hAnsi="Times New Roman" w:eastAsia="Times New Roman" w:cs="Times New Roman"/>
                <w:b/>
                <w:color w:val="auto"/>
                <w:kern w:val="0"/>
                <w:sz w:val="24"/>
                <w:szCs w:val="24"/>
                <w:highlight w:val="none"/>
                <w:lang w:val="en-US" w:eastAsia="zh-CN" w:bidi="ar-SA"/>
              </w:rPr>
              <w:t>表4-</w:t>
            </w:r>
            <w:r>
              <w:rPr>
                <w:rFonts w:hint="eastAsia" w:eastAsia="Times New Roman" w:cs="Times New Roman"/>
                <w:b/>
                <w:color w:val="auto"/>
                <w:kern w:val="0"/>
                <w:sz w:val="24"/>
                <w:szCs w:val="24"/>
                <w:highlight w:val="none"/>
                <w:lang w:val="en-US" w:eastAsia="zh-CN" w:bidi="ar-SA"/>
              </w:rPr>
              <w:t xml:space="preserve">16   </w:t>
            </w:r>
            <w:r>
              <w:rPr>
                <w:rFonts w:hint="default" w:ascii="Times New Roman" w:hAnsi="Times New Roman" w:eastAsia="Times New Roman" w:cs="Times New Roman"/>
                <w:b/>
                <w:color w:val="auto"/>
                <w:kern w:val="0"/>
                <w:sz w:val="24"/>
                <w:szCs w:val="24"/>
                <w:highlight w:val="none"/>
                <w:lang w:val="en-US" w:eastAsia="zh-CN" w:bidi="ar-SA"/>
              </w:rPr>
              <w:t>噪声监测</w:t>
            </w:r>
            <w:r>
              <w:rPr>
                <w:rFonts w:hint="eastAsia" w:ascii="Times New Roman" w:hAnsi="Times New Roman" w:eastAsia="Times New Roman" w:cs="Times New Roman"/>
                <w:b/>
                <w:color w:val="auto"/>
                <w:kern w:val="0"/>
                <w:sz w:val="24"/>
                <w:szCs w:val="24"/>
                <w:highlight w:val="none"/>
                <w:lang w:val="en-US" w:eastAsia="zh-CN" w:bidi="ar-SA"/>
              </w:rPr>
              <w:t>计划</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160"/>
              <w:gridCol w:w="1195"/>
              <w:gridCol w:w="50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监测点位</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监测因子</w:t>
                  </w:r>
                </w:p>
              </w:tc>
              <w:tc>
                <w:tcPr>
                  <w:tcW w:w="7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监测频次</w:t>
                  </w:r>
                </w:p>
              </w:tc>
              <w:tc>
                <w:tcPr>
                  <w:tcW w:w="29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厂界</w:t>
                  </w:r>
                </w:p>
              </w:tc>
              <w:tc>
                <w:tcPr>
                  <w:tcW w:w="6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等效连续A声级</w:t>
                  </w:r>
                </w:p>
              </w:tc>
              <w:tc>
                <w:tcPr>
                  <w:tcW w:w="70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1次/每季度</w:t>
                  </w:r>
                </w:p>
              </w:tc>
              <w:tc>
                <w:tcPr>
                  <w:tcW w:w="29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val="0"/>
                      <w:sz w:val="21"/>
                      <w:szCs w:val="21"/>
                      <w:highlight w:val="none"/>
                      <w:lang w:val="en-US" w:eastAsia="zh-CN"/>
                    </w:rPr>
                  </w:pPr>
                  <w:r>
                    <w:rPr>
                      <w:rFonts w:hint="default" w:eastAsia="宋体"/>
                      <w:b w:val="0"/>
                      <w:bCs w:val="0"/>
                      <w:sz w:val="21"/>
                      <w:szCs w:val="21"/>
                      <w:highlight w:val="none"/>
                      <w:lang w:val="en-US" w:eastAsia="zh-CN"/>
                    </w:rPr>
                    <w:t>《工业企业厂界环境噪声排放标准》（GB12348-2008）中3类标准</w:t>
                  </w:r>
                </w:p>
              </w:tc>
            </w:tr>
          </w:tbl>
          <w:p>
            <w:pPr>
              <w:pStyle w:val="98"/>
              <w:keepNext w:val="0"/>
              <w:keepLines w:val="0"/>
              <w:pageBreakBefore w:val="0"/>
              <w:widowControl w:val="0"/>
              <w:kinsoku/>
              <w:wordWrap/>
              <w:overflowPunct/>
              <w:topLinePunct w:val="0"/>
              <w:autoSpaceDE/>
              <w:autoSpaceDN/>
              <w:bidi w:val="0"/>
              <w:adjustRightInd/>
              <w:snapToGrid/>
              <w:spacing w:before="157" w:beforeLines="50" w:after="0" w:line="360" w:lineRule="auto"/>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3.</w:t>
            </w:r>
            <w:r>
              <w:rPr>
                <w:rFonts w:hint="eastAsia" w:ascii="Times New Roman" w:hAnsi="Times New Roman" w:eastAsia="宋体" w:cs="Times New Roman"/>
                <w:b/>
                <w:bCs w:val="0"/>
                <w:color w:val="auto"/>
                <w:sz w:val="24"/>
                <w:szCs w:val="24"/>
                <w:highlight w:val="none"/>
                <w:lang w:val="en-US" w:eastAsia="zh-CN"/>
              </w:rPr>
              <w:t>4</w:t>
            </w:r>
            <w:r>
              <w:rPr>
                <w:rFonts w:hint="default" w:ascii="Times New Roman" w:hAnsi="Times New Roman" w:eastAsia="宋体" w:cs="Times New Roman"/>
                <w:b/>
                <w:bCs w:val="0"/>
                <w:color w:val="auto"/>
                <w:sz w:val="24"/>
                <w:szCs w:val="24"/>
                <w:highlight w:val="none"/>
                <w:lang w:val="en-US" w:eastAsia="zh-CN"/>
              </w:rPr>
              <w:t>声环境保护措施</w:t>
            </w:r>
          </w:p>
          <w:p>
            <w:pPr>
              <w:adjustRightInd w:val="0"/>
              <w:snapToGrid w:val="0"/>
              <w:spacing w:line="360" w:lineRule="auto"/>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为实现厂界噪声达标排放，降低噪声对周围环境的影响，环评要求建设单位应采取以下噪声治理措施：</w:t>
            </w:r>
          </w:p>
          <w:p>
            <w:pPr>
              <w:adjustRightInd w:val="0"/>
              <w:snapToGrid w:val="0"/>
              <w:spacing w:line="360" w:lineRule="auto"/>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①设备选型上使用国内先进的低噪声设备，风机进出风口采用软连接消声处理；</w:t>
            </w:r>
          </w:p>
          <w:p>
            <w:pPr>
              <w:adjustRightInd w:val="0"/>
              <w:snapToGrid w:val="0"/>
              <w:spacing w:line="360" w:lineRule="auto"/>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②生产设备在安装时将设备底座固定在地面上，从声源处避免噪声和振动的远距离传播；</w:t>
            </w:r>
          </w:p>
          <w:p>
            <w:pPr>
              <w:adjustRightInd w:val="0"/>
              <w:snapToGrid w:val="0"/>
              <w:spacing w:line="360" w:lineRule="auto"/>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③在进行工艺设计时，尽量合理布置，将高噪声设备尽量布置在车间中部，有效利用距离衰减；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④定期进行设备检修维护，制定严格的操作程序，保证其正常运行，降低故障性噪声排放</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highlight w:val="none"/>
                <w:lang w:eastAsia="zh-CN"/>
              </w:rPr>
            </w:pPr>
            <w:r>
              <w:rPr>
                <w:rFonts w:hint="eastAsia" w:eastAsia="宋体" w:cs="Times New Roman"/>
                <w:b/>
                <w:bCs/>
                <w:sz w:val="24"/>
                <w:szCs w:val="24"/>
                <w:highlight w:val="none"/>
                <w:lang w:val="en-US" w:eastAsia="zh-CN"/>
              </w:rPr>
              <w:t>四、</w:t>
            </w:r>
            <w:r>
              <w:rPr>
                <w:rFonts w:hint="default" w:ascii="Times New Roman" w:hAnsi="Times New Roman" w:eastAsia="宋体" w:cs="Times New Roman"/>
                <w:b/>
                <w:bCs/>
                <w:sz w:val="24"/>
                <w:szCs w:val="24"/>
                <w:highlight w:val="none"/>
                <w:lang w:eastAsia="zh-CN"/>
              </w:rPr>
              <w:t>固体废物影响分析</w:t>
            </w:r>
          </w:p>
          <w:p>
            <w:pPr>
              <w:adjustRightInd w:val="0"/>
              <w:snapToGrid w:val="0"/>
              <w:spacing w:line="360" w:lineRule="auto"/>
              <w:ind w:firstLine="482" w:firstLineChars="200"/>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lang w:val="en-US" w:eastAsia="zh-CN"/>
              </w:rPr>
              <w:t>1、</w:t>
            </w:r>
            <w:r>
              <w:rPr>
                <w:rFonts w:ascii="Times New Roman" w:hAnsi="Times New Roman" w:eastAsia="宋体" w:cs="Times New Roman"/>
                <w:b/>
                <w:sz w:val="24"/>
                <w:highlight w:val="none"/>
              </w:rPr>
              <w:t>固体废物产生</w:t>
            </w:r>
          </w:p>
          <w:p>
            <w:pPr>
              <w:adjustRightInd w:val="0"/>
              <w:snapToGrid w:val="0"/>
              <w:spacing w:line="360" w:lineRule="auto"/>
              <w:ind w:firstLine="480" w:firstLineChars="200"/>
              <w:rPr>
                <w:rFonts w:ascii="Times New Roman" w:hAnsi="Times New Roman" w:eastAsia="宋体" w:cs="Times New Roman"/>
                <w:bCs/>
                <w:sz w:val="24"/>
                <w:highlight w:val="none"/>
              </w:rPr>
            </w:pPr>
            <w:r>
              <w:rPr>
                <w:rFonts w:ascii="Times New Roman" w:hAnsi="Times New Roman" w:eastAsia="宋体" w:cs="Times New Roman"/>
                <w:sz w:val="24"/>
                <w:highlight w:val="none"/>
              </w:rPr>
              <w:t>项目生产过程中产生的固体废物主要有生活垃圾、一般工业固废</w:t>
            </w:r>
            <w:r>
              <w:rPr>
                <w:rFonts w:ascii="Times New Roman" w:hAnsi="Times New Roman" w:eastAsia="宋体" w:cs="Times New Roman"/>
                <w:bCs/>
                <w:sz w:val="24"/>
                <w:highlight w:val="none"/>
              </w:rPr>
              <w:t>。</w:t>
            </w:r>
          </w:p>
          <w:p>
            <w:pPr>
              <w:adjustRightInd w:val="0"/>
              <w:snapToGrid w:val="0"/>
              <w:spacing w:line="360" w:lineRule="auto"/>
              <w:ind w:firstLine="482" w:firstLineChars="200"/>
              <w:rPr>
                <w:rFonts w:ascii="Times New Roman" w:hAnsi="Times New Roman" w:eastAsia="宋体" w:cs="Times New Roman"/>
                <w:b/>
                <w:bCs/>
                <w:sz w:val="24"/>
                <w:highlight w:val="none"/>
              </w:rPr>
            </w:pPr>
            <w:r>
              <w:rPr>
                <w:rFonts w:hint="eastAsia" w:ascii="Times New Roman" w:hAnsi="Times New Roman" w:eastAsia="宋体" w:cs="Times New Roman"/>
                <w:b/>
                <w:bCs/>
                <w:sz w:val="24"/>
                <w:highlight w:val="none"/>
                <w:lang w:val="en-US" w:eastAsia="zh-CN"/>
              </w:rPr>
              <w:t>1.1、</w:t>
            </w:r>
            <w:r>
              <w:rPr>
                <w:rFonts w:ascii="Times New Roman" w:hAnsi="Times New Roman" w:eastAsia="宋体" w:cs="Times New Roman"/>
                <w:b/>
                <w:bCs/>
                <w:sz w:val="24"/>
                <w:highlight w:val="none"/>
              </w:rPr>
              <w:t>生活垃圾</w:t>
            </w:r>
          </w:p>
          <w:p>
            <w:pPr>
              <w:adjustRightInd w:val="0"/>
              <w:snapToGrid w:val="0"/>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项目</w:t>
            </w:r>
            <w:r>
              <w:rPr>
                <w:rFonts w:hint="eastAsia" w:ascii="Times New Roman" w:hAnsi="Times New Roman" w:eastAsia="宋体" w:cs="Times New Roman"/>
                <w:sz w:val="24"/>
                <w:highlight w:val="none"/>
              </w:rPr>
              <w:t>拟定</w:t>
            </w:r>
            <w:r>
              <w:rPr>
                <w:rFonts w:ascii="Times New Roman" w:hAnsi="Times New Roman" w:eastAsia="宋体" w:cs="Times New Roman"/>
                <w:sz w:val="24"/>
                <w:highlight w:val="none"/>
              </w:rPr>
              <w:t>员</w:t>
            </w:r>
            <w:r>
              <w:rPr>
                <w:rFonts w:hint="eastAsia" w:cs="Times New Roman"/>
                <w:sz w:val="24"/>
                <w:highlight w:val="none"/>
                <w:lang w:val="en-US" w:eastAsia="zh-CN"/>
              </w:rPr>
              <w:t>15</w:t>
            </w:r>
            <w:r>
              <w:rPr>
                <w:rFonts w:ascii="Times New Roman" w:hAnsi="Times New Roman" w:eastAsia="宋体" w:cs="Times New Roman"/>
                <w:sz w:val="24"/>
                <w:highlight w:val="none"/>
              </w:rPr>
              <w:t>人，</w:t>
            </w:r>
            <w:r>
              <w:rPr>
                <w:rFonts w:hint="eastAsia" w:cs="Times New Roman"/>
                <w:sz w:val="24"/>
                <w:highlight w:val="none"/>
                <w:lang w:val="en-US" w:eastAsia="zh-CN"/>
              </w:rPr>
              <w:t>工作人员均在项目区内居住</w:t>
            </w:r>
            <w:r>
              <w:rPr>
                <w:rFonts w:hint="eastAsia" w:ascii="Times New Roman" w:hAnsi="Times New Roman" w:eastAsia="宋体" w:cs="Times New Roman"/>
                <w:sz w:val="24"/>
                <w:highlight w:val="none"/>
                <w:lang w:val="en-US" w:eastAsia="zh-CN"/>
              </w:rPr>
              <w:t>，</w:t>
            </w:r>
            <w:r>
              <w:rPr>
                <w:rFonts w:ascii="Times New Roman" w:hAnsi="Times New Roman" w:eastAsia="宋体" w:cs="Times New Roman"/>
                <w:sz w:val="24"/>
                <w:highlight w:val="none"/>
              </w:rPr>
              <w:t>所产生的生活垃圾按</w:t>
            </w:r>
            <w:r>
              <w:rPr>
                <w:rFonts w:hint="eastAsia" w:ascii="Times New Roman" w:hAnsi="Times New Roman" w:eastAsia="宋体" w:cs="Times New Roman"/>
                <w:sz w:val="24"/>
                <w:highlight w:val="none"/>
              </w:rPr>
              <w:t>0.5</w:t>
            </w:r>
            <w:r>
              <w:rPr>
                <w:rFonts w:ascii="Times New Roman" w:hAnsi="Times New Roman" w:eastAsia="宋体" w:cs="Times New Roman"/>
                <w:sz w:val="24"/>
                <w:highlight w:val="none"/>
              </w:rPr>
              <w:t>kg/人·日计算，</w:t>
            </w:r>
            <w:r>
              <w:rPr>
                <w:rFonts w:hint="eastAsia" w:ascii="Times New Roman" w:hAnsi="Times New Roman" w:eastAsia="宋体" w:cs="Times New Roman"/>
                <w:sz w:val="24"/>
                <w:highlight w:val="none"/>
              </w:rPr>
              <w:t>则</w:t>
            </w:r>
            <w:r>
              <w:rPr>
                <w:rFonts w:ascii="Times New Roman" w:hAnsi="Times New Roman" w:eastAsia="宋体" w:cs="Times New Roman"/>
                <w:sz w:val="24"/>
                <w:highlight w:val="none"/>
              </w:rPr>
              <w:t>年产生</w:t>
            </w:r>
            <w:r>
              <w:rPr>
                <w:rFonts w:hint="eastAsia" w:ascii="Times New Roman" w:hAnsi="Times New Roman" w:eastAsia="宋体" w:cs="Times New Roman"/>
                <w:sz w:val="24"/>
                <w:highlight w:val="none"/>
              </w:rPr>
              <w:t>总</w:t>
            </w:r>
            <w:r>
              <w:rPr>
                <w:rFonts w:ascii="Times New Roman" w:hAnsi="Times New Roman" w:eastAsia="宋体" w:cs="Times New Roman"/>
                <w:sz w:val="24"/>
                <w:highlight w:val="none"/>
              </w:rPr>
              <w:t>量为</w:t>
            </w:r>
            <w:r>
              <w:rPr>
                <w:rFonts w:hint="eastAsia" w:cs="Times New Roman"/>
                <w:sz w:val="24"/>
                <w:highlight w:val="none"/>
                <w:lang w:val="en-US" w:eastAsia="zh-CN"/>
              </w:rPr>
              <w:t>2.025</w:t>
            </w:r>
            <w:r>
              <w:rPr>
                <w:rFonts w:ascii="Times New Roman" w:hAnsi="Times New Roman" w:eastAsia="宋体" w:cs="Times New Roman"/>
                <w:sz w:val="24"/>
                <w:highlight w:val="none"/>
              </w:rPr>
              <w:t>t，生活垃圾交由环卫部门统一清运。</w:t>
            </w:r>
          </w:p>
          <w:p>
            <w:pPr>
              <w:adjustRightInd w:val="0"/>
              <w:snapToGrid w:val="0"/>
              <w:spacing w:line="360" w:lineRule="auto"/>
              <w:ind w:firstLine="482" w:firstLineChars="200"/>
              <w:rPr>
                <w:rFonts w:ascii="Times New Roman" w:hAnsi="Times New Roman" w:eastAsia="宋体" w:cs="Times New Roman"/>
                <w:b/>
                <w:bCs/>
                <w:sz w:val="24"/>
                <w:highlight w:val="none"/>
              </w:rPr>
            </w:pPr>
            <w:r>
              <w:rPr>
                <w:rFonts w:hint="eastAsia" w:ascii="Times New Roman" w:hAnsi="Times New Roman" w:eastAsia="宋体" w:cs="Times New Roman"/>
                <w:b/>
                <w:bCs/>
                <w:sz w:val="24"/>
                <w:highlight w:val="none"/>
                <w:lang w:val="en-US" w:eastAsia="zh-CN"/>
              </w:rPr>
              <w:t>1.2</w:t>
            </w:r>
            <w:r>
              <w:rPr>
                <w:rFonts w:ascii="Times New Roman" w:hAnsi="Times New Roman" w:eastAsia="宋体" w:cs="Times New Roman"/>
                <w:b/>
                <w:bCs/>
                <w:sz w:val="24"/>
                <w:highlight w:val="none"/>
              </w:rPr>
              <w:t>一般工业固废</w:t>
            </w:r>
          </w:p>
          <w:p>
            <w:pPr>
              <w:adjustRightInd w:val="0"/>
              <w:snapToGrid w:val="0"/>
              <w:spacing w:line="360" w:lineRule="auto"/>
              <w:ind w:firstLine="480" w:firstLineChars="200"/>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eastAsia="zh-CN"/>
              </w:rPr>
              <w:t>）</w:t>
            </w:r>
            <w:r>
              <w:rPr>
                <w:rFonts w:hint="eastAsia" w:cs="Times New Roman"/>
                <w:bCs/>
                <w:sz w:val="24"/>
                <w:highlight w:val="none"/>
                <w:lang w:val="en-US" w:eastAsia="zh-CN"/>
              </w:rPr>
              <w:t>酒糟</w:t>
            </w:r>
            <w:r>
              <w:rPr>
                <w:rFonts w:ascii="Times New Roman" w:hAnsi="Times New Roman" w:eastAsia="宋体" w:cs="Times New Roman"/>
                <w:bCs/>
                <w:sz w:val="24"/>
                <w:highlight w:val="none"/>
              </w:rPr>
              <w:t>：</w:t>
            </w:r>
            <w:r>
              <w:rPr>
                <w:rFonts w:hint="eastAsia" w:cs="Times New Roman"/>
                <w:bCs/>
                <w:sz w:val="24"/>
                <w:highlight w:val="none"/>
                <w:lang w:val="en-US" w:eastAsia="zh-CN"/>
              </w:rPr>
              <w:t>参考《排放源统计调查产排污核算方法和系数手册》中1512白酒制造行业（续9），米香型白酒一般固体废物产污系数0.029t/千升-65°原酒，本项目年产150t60°的米香型白酒，折算至原酒约为154.26 千升。则酒糟（纯物质）产生量为4.474t/a，馏酒后的酒糟含水率为80%，则本项目酒糟产生量为22.368t/a。根据《固体废物分类与代码目录》（生态环境部公告2024年第4号）酒糟固废代码为151-002-S13。</w:t>
            </w:r>
            <w:r>
              <w:rPr>
                <w:rFonts w:ascii="Times New Roman" w:hAnsi="Times New Roman" w:eastAsia="宋体" w:cs="Times New Roman"/>
                <w:bCs/>
                <w:sz w:val="24"/>
                <w:highlight w:val="none"/>
              </w:rPr>
              <w:t xml:space="preserve"> </w:t>
            </w:r>
            <w:r>
              <w:rPr>
                <w:rFonts w:hint="eastAsia" w:cs="Times New Roman"/>
                <w:bCs/>
                <w:sz w:val="24"/>
                <w:highlight w:val="none"/>
                <w:lang w:val="en-US" w:eastAsia="zh-CN"/>
              </w:rPr>
              <w:t>集中收集后外售。</w:t>
            </w:r>
          </w:p>
          <w:p>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eastAsia="宋体" w:cs="Times New Roman"/>
                <w:bCs/>
                <w:sz w:val="24"/>
                <w:highlight w:val="none"/>
                <w:lang w:eastAsia="zh-CN"/>
              </w:rPr>
              <w:t>（</w:t>
            </w:r>
            <w:r>
              <w:rPr>
                <w:rFonts w:hint="eastAsia" w:eastAsia="宋体" w:cs="Times New Roman"/>
                <w:bCs/>
                <w:sz w:val="24"/>
                <w:highlight w:val="none"/>
                <w:lang w:val="en-US" w:eastAsia="zh-CN"/>
              </w:rPr>
              <w:t>2</w:t>
            </w:r>
            <w:r>
              <w:rPr>
                <w:rFonts w:hint="eastAsia" w:eastAsia="宋体" w:cs="Times New Roman"/>
                <w:bCs/>
                <w:sz w:val="24"/>
                <w:highlight w:val="none"/>
                <w:lang w:eastAsia="zh-CN"/>
              </w:rPr>
              <w:t>）</w:t>
            </w:r>
            <w:r>
              <w:rPr>
                <w:rFonts w:hint="eastAsia" w:cs="Times New Roman"/>
                <w:bCs/>
                <w:sz w:val="24"/>
                <w:highlight w:val="none"/>
                <w:lang w:val="en-US" w:eastAsia="zh-CN"/>
              </w:rPr>
              <w:t>废包装袋</w:t>
            </w:r>
            <w:r>
              <w:rPr>
                <w:rFonts w:ascii="Times New Roman" w:hAnsi="Times New Roman" w:eastAsia="宋体" w:cs="Times New Roman"/>
                <w:bCs/>
                <w:sz w:val="24"/>
                <w:highlight w:val="none"/>
              </w:rPr>
              <w:t>：</w:t>
            </w:r>
            <w:r>
              <w:rPr>
                <w:rFonts w:hint="eastAsia" w:cs="Times New Roman"/>
                <w:bCs/>
                <w:sz w:val="24"/>
                <w:highlight w:val="none"/>
                <w:lang w:val="en-US" w:eastAsia="zh-CN"/>
              </w:rPr>
              <w:t>本项目使用的粮食均为袋装，废包装袋产生量约为2t/a，集中收集后交由一般固废处置单位进行处置。固废代码为：900-003-S17。</w:t>
            </w:r>
          </w:p>
          <w:p>
            <w:pPr>
              <w:adjustRightInd w:val="0"/>
              <w:snapToGrid w:val="0"/>
              <w:spacing w:line="360" w:lineRule="auto"/>
              <w:ind w:firstLine="480" w:firstLineChars="200"/>
              <w:rPr>
                <w:rFonts w:hint="eastAsia" w:cs="Times New Roman"/>
                <w:bCs/>
                <w:sz w:val="24"/>
                <w:highlight w:val="none"/>
                <w:lang w:val="en-US" w:eastAsia="zh-CN"/>
              </w:rPr>
            </w:pPr>
            <w:r>
              <w:rPr>
                <w:rFonts w:hint="eastAsia" w:eastAsia="宋体" w:cs="Times New Roman"/>
                <w:bCs/>
                <w:sz w:val="24"/>
                <w:highlight w:val="none"/>
                <w:lang w:eastAsia="zh-CN"/>
              </w:rPr>
              <w:t>（</w:t>
            </w:r>
            <w:r>
              <w:rPr>
                <w:rFonts w:hint="eastAsia" w:eastAsia="宋体" w:cs="Times New Roman"/>
                <w:bCs/>
                <w:sz w:val="24"/>
                <w:highlight w:val="none"/>
                <w:lang w:val="en-US" w:eastAsia="zh-CN"/>
              </w:rPr>
              <w:t>3</w:t>
            </w:r>
            <w:r>
              <w:rPr>
                <w:rFonts w:hint="eastAsia" w:eastAsia="宋体" w:cs="Times New Roman"/>
                <w:bCs/>
                <w:sz w:val="24"/>
                <w:highlight w:val="none"/>
                <w:lang w:eastAsia="zh-CN"/>
              </w:rPr>
              <w:t>）</w:t>
            </w:r>
            <w:r>
              <w:rPr>
                <w:rFonts w:hint="eastAsia" w:cs="Times New Roman"/>
                <w:bCs/>
                <w:sz w:val="24"/>
                <w:highlight w:val="none"/>
                <w:lang w:val="en-US" w:eastAsia="zh-CN"/>
              </w:rPr>
              <w:t>废过滤材料：本项目净水设备采用一级石英砂过滤+二级活性炭过滤+反渗透膜工艺，使用的废过滤材料需定期进行更换，废石英砂产生量0.01t/a、废活性炭产生量0.01t/a、废滤膜0.02t/a，集中收集后定期交由一般固废处置单位进行处置。固废代码为900-009-S59。</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（4）破损酒瓶：本项目灌装过程中会产生破损瓶子，产生量约为 0.1t/a，集中收集后定期交由一般固废处置单位进行处置。固废代码为900-004-S17。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（5）污泥：根据2010年修订的《集中式污染治理设施产排污系数手册》，设施污泥产生量按以下公式计算：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S=K1Q+0.7K2P+K3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式中：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S：污水处理设施含水80%污泥产量，单位：吨/年；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K1：物理污泥产生系数，单位：吨/万吨污水，本工艺取2.0，校核系数2.0~5.0；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K2：生化污泥产生系数，单位：吨/吨化学需氧量去除量，本工艺1.25；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K3：化学污泥产生系数，单位：吨/吨絮凝剂用量；本设施按0计；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Q：污水处理总量，单位：万吨/年；0.183万吨；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sz w:val="24"/>
                <w:highlight w:val="none"/>
                <w:lang w:val="en-US" w:eastAsia="zh-CN"/>
              </w:rPr>
            </w:pPr>
            <w:r>
              <w:rPr>
                <w:rFonts w:hint="eastAsia" w:cs="Times New Roman"/>
                <w:bCs/>
                <w:sz w:val="24"/>
                <w:highlight w:val="none"/>
                <w:lang w:val="en-US" w:eastAsia="zh-CN"/>
              </w:rPr>
              <w:t>P：化学需氧量去除总量，单位：吨/年；9.834吨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Cs/>
                <w:sz w:val="24"/>
                <w:highlight w:val="none"/>
                <w:lang w:val="en-US" w:eastAsia="zh-CN"/>
              </w:rPr>
            </w:pPr>
            <w:r>
              <w:rPr>
                <w:rFonts w:hint="eastAsia" w:cs="Times New Roman"/>
                <w:bCs/>
                <w:sz w:val="24"/>
                <w:highlight w:val="none"/>
                <w:lang w:val="en-US" w:eastAsia="zh-CN"/>
              </w:rPr>
              <w:t>根据计算，污水处理站含水率为80%的污泥产生量为：8.971t/a，本项目设计处理后的污泥含水率达到60%以下，则污泥产生量为4.486t/a。</w:t>
            </w:r>
          </w:p>
          <w:p>
            <w:pPr>
              <w:adjustRightInd w:val="0"/>
              <w:snapToGrid w:val="0"/>
              <w:spacing w:line="360" w:lineRule="auto"/>
              <w:ind w:firstLine="480" w:firstLineChars="200"/>
              <w:rPr>
                <w:rFonts w:ascii="Times New Roman" w:hAnsi="Times New Roman" w:eastAsia="宋体" w:cs="Times New Roman"/>
                <w:szCs w:val="21"/>
                <w:highlight w:val="none"/>
              </w:rPr>
            </w:pPr>
            <w:r>
              <w:rPr>
                <w:rFonts w:ascii="Times New Roman" w:hAnsi="Times New Roman" w:eastAsia="宋体" w:cs="Times New Roman"/>
                <w:bCs/>
                <w:sz w:val="24"/>
                <w:highlight w:val="none"/>
              </w:rPr>
              <w:t>综上，本项目固废产生情况见下表：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b/>
                <w:szCs w:val="21"/>
                <w:highlight w:val="none"/>
              </w:rPr>
            </w:pPr>
            <w:r>
              <w:rPr>
                <w:rFonts w:ascii="Times New Roman" w:hAnsi="Times New Roman" w:eastAsia="宋体" w:cs="Times New Roman"/>
                <w:b/>
                <w:szCs w:val="21"/>
                <w:highlight w:val="none"/>
              </w:rPr>
              <w:t>表4-</w:t>
            </w:r>
            <w:r>
              <w:rPr>
                <w:rFonts w:hint="eastAsia" w:cs="Times New Roman"/>
                <w:b/>
                <w:szCs w:val="21"/>
                <w:highlight w:val="none"/>
                <w:lang w:val="en-US" w:eastAsia="zh-CN"/>
              </w:rPr>
              <w:t>17</w:t>
            </w:r>
            <w:r>
              <w:rPr>
                <w:rFonts w:ascii="Times New Roman" w:hAnsi="Times New Roman" w:eastAsia="宋体" w:cs="Times New Roman"/>
                <w:b/>
                <w:szCs w:val="21"/>
                <w:highlight w:val="none"/>
              </w:rPr>
              <w:t xml:space="preserve">   项目固体废物产生情况一览表</w:t>
            </w:r>
          </w:p>
          <w:tbl>
            <w:tblPr>
              <w:tblStyle w:val="33"/>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582"/>
              <w:gridCol w:w="843"/>
              <w:gridCol w:w="788"/>
              <w:gridCol w:w="1314"/>
              <w:gridCol w:w="633"/>
              <w:gridCol w:w="1017"/>
              <w:gridCol w:w="582"/>
              <w:gridCol w:w="1017"/>
              <w:gridCol w:w="110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restar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工序/生产线</w:t>
                  </w:r>
                </w:p>
              </w:tc>
              <w:tc>
                <w:tcPr>
                  <w:tcW w:w="341" w:type="pct"/>
                  <w:vMerge w:val="restar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装置</w:t>
                  </w:r>
                </w:p>
              </w:tc>
              <w:tc>
                <w:tcPr>
                  <w:tcW w:w="494" w:type="pct"/>
                  <w:vMerge w:val="restar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固体废物名称</w:t>
                  </w:r>
                </w:p>
              </w:tc>
              <w:tc>
                <w:tcPr>
                  <w:tcW w:w="462" w:type="pct"/>
                  <w:vMerge w:val="restar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固废属性废浆料</w:t>
                  </w:r>
                </w:p>
              </w:tc>
              <w:tc>
                <w:tcPr>
                  <w:tcW w:w="770" w:type="pct"/>
                  <w:vMerge w:val="restar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固废代码</w:t>
                  </w:r>
                </w:p>
              </w:tc>
              <w:tc>
                <w:tcPr>
                  <w:tcW w:w="967" w:type="pct"/>
                  <w:gridSpan w:val="2"/>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产生情况</w:t>
                  </w:r>
                </w:p>
              </w:tc>
              <w:tc>
                <w:tcPr>
                  <w:tcW w:w="937" w:type="pct"/>
                  <w:gridSpan w:val="2"/>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处置措施</w:t>
                  </w:r>
                </w:p>
              </w:tc>
              <w:tc>
                <w:tcPr>
                  <w:tcW w:w="645" w:type="pct"/>
                  <w:vMerge w:val="restar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最终去向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341"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494"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462"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770"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37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核算方法</w:t>
                  </w:r>
                </w:p>
              </w:tc>
              <w:tc>
                <w:tcPr>
                  <w:tcW w:w="596"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产生量/（t/a）</w:t>
                  </w:r>
                </w:p>
              </w:tc>
              <w:tc>
                <w:tcPr>
                  <w:tcW w:w="34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工艺</w:t>
                  </w:r>
                </w:p>
              </w:tc>
              <w:tc>
                <w:tcPr>
                  <w:tcW w:w="596"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处置量/（t/a）</w:t>
                  </w:r>
                </w:p>
              </w:tc>
              <w:tc>
                <w:tcPr>
                  <w:tcW w:w="645"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办公生活</w:t>
                  </w:r>
                </w:p>
              </w:tc>
              <w:tc>
                <w:tcPr>
                  <w:tcW w:w="34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w:t>
                  </w:r>
                </w:p>
              </w:tc>
              <w:tc>
                <w:tcPr>
                  <w:tcW w:w="494"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生活垃圾</w:t>
                  </w:r>
                </w:p>
              </w:tc>
              <w:tc>
                <w:tcPr>
                  <w:tcW w:w="462"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生活垃圾</w:t>
                  </w:r>
                </w:p>
              </w:tc>
              <w:tc>
                <w:tcPr>
                  <w:tcW w:w="770"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w:t>
                  </w:r>
                </w:p>
              </w:tc>
              <w:tc>
                <w:tcPr>
                  <w:tcW w:w="37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产污系数法</w:t>
                  </w:r>
                </w:p>
              </w:tc>
              <w:tc>
                <w:tcPr>
                  <w:tcW w:w="596"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bidi="ar"/>
                    </w:rPr>
                    <w:t>161.44</w:t>
                  </w:r>
                </w:p>
              </w:tc>
              <w:tc>
                <w:tcPr>
                  <w:tcW w:w="34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委托处置</w:t>
                  </w:r>
                </w:p>
              </w:tc>
              <w:tc>
                <w:tcPr>
                  <w:tcW w:w="596"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hint="eastAsia" w:cs="Times New Roman"/>
                      <w:b w:val="0"/>
                      <w:bCs w:val="0"/>
                      <w:kern w:val="0"/>
                      <w:sz w:val="21"/>
                      <w:szCs w:val="21"/>
                      <w:highlight w:val="none"/>
                      <w:lang w:val="en-US" w:eastAsia="zh-CN" w:bidi="ar"/>
                    </w:rPr>
                    <w:t>161.44</w:t>
                  </w:r>
                </w:p>
              </w:tc>
              <w:tc>
                <w:tcPr>
                  <w:tcW w:w="645"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垃圾填埋/焚烧场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restart"/>
                  <w:tcBorders>
                    <w:tl2br w:val="nil"/>
                    <w:tr2bl w:val="nil"/>
                  </w:tcBorders>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eastAsia="zh-CN"/>
                    </w:rPr>
                  </w:pPr>
                  <w:r>
                    <w:rPr>
                      <w:rFonts w:hint="eastAsia" w:cs="Times New Roman"/>
                      <w:b w:val="0"/>
                      <w:bCs w:val="0"/>
                      <w:kern w:val="0"/>
                      <w:sz w:val="21"/>
                      <w:szCs w:val="21"/>
                      <w:highlight w:val="none"/>
                      <w:lang w:val="en-US" w:eastAsia="zh-CN" w:bidi="ar"/>
                    </w:rPr>
                    <w:t>酿酒</w:t>
                  </w:r>
                </w:p>
              </w:tc>
              <w:tc>
                <w:tcPr>
                  <w:tcW w:w="341" w:type="pct"/>
                  <w:tcBorders>
                    <w:tl2br w:val="nil"/>
                    <w:tr2bl w:val="nil"/>
                  </w:tcBorders>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馏酒</w:t>
                  </w:r>
                </w:p>
              </w:tc>
              <w:tc>
                <w:tcPr>
                  <w:tcW w:w="494" w:type="pct"/>
                  <w:tcBorders>
                    <w:tl2br w:val="nil"/>
                    <w:tr2bl w:val="nil"/>
                  </w:tcBorders>
                  <w:noWrap/>
                  <w:vAlign w:val="center"/>
                </w:tcPr>
                <w:p>
                  <w:pPr>
                    <w:widowControl/>
                    <w:jc w:val="center"/>
                    <w:textAlignment w:val="center"/>
                    <w:rPr>
                      <w:rFonts w:hint="eastAsia" w:ascii="Times New Roman" w:hAnsi="Times New Roman" w:eastAsia="宋体" w:cs="Times New Roman"/>
                      <w:b w:val="0"/>
                      <w:bCs w:val="0"/>
                      <w:kern w:val="0"/>
                      <w:sz w:val="21"/>
                      <w:szCs w:val="21"/>
                      <w:highlight w:val="none"/>
                      <w:lang w:eastAsia="zh-CN"/>
                    </w:rPr>
                  </w:pPr>
                  <w:r>
                    <w:rPr>
                      <w:rFonts w:hint="eastAsia" w:cs="Times New Roman"/>
                      <w:b w:val="0"/>
                      <w:bCs w:val="0"/>
                      <w:kern w:val="0"/>
                      <w:sz w:val="21"/>
                      <w:szCs w:val="21"/>
                      <w:highlight w:val="none"/>
                      <w:lang w:val="en-US" w:eastAsia="zh-CN" w:bidi="ar"/>
                    </w:rPr>
                    <w:t>酒糟</w:t>
                  </w:r>
                </w:p>
              </w:tc>
              <w:tc>
                <w:tcPr>
                  <w:tcW w:w="462" w:type="pct"/>
                  <w:vMerge w:val="restar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一般工业固体废物</w:t>
                  </w:r>
                </w:p>
              </w:tc>
              <w:tc>
                <w:tcPr>
                  <w:tcW w:w="770"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151-002-S13</w:t>
                  </w:r>
                </w:p>
              </w:tc>
              <w:tc>
                <w:tcPr>
                  <w:tcW w:w="37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类比法</w:t>
                  </w:r>
                </w:p>
              </w:tc>
              <w:tc>
                <w:tcPr>
                  <w:tcW w:w="596"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bidi="ar"/>
                    </w:rPr>
                    <w:t>22.368</w:t>
                  </w:r>
                </w:p>
              </w:tc>
              <w:tc>
                <w:tcPr>
                  <w:tcW w:w="34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委托利用</w:t>
                  </w:r>
                </w:p>
              </w:tc>
              <w:tc>
                <w:tcPr>
                  <w:tcW w:w="596"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22.368</w:t>
                  </w:r>
                </w:p>
              </w:tc>
              <w:tc>
                <w:tcPr>
                  <w:tcW w:w="645" w:type="pct"/>
                  <w:tcBorders>
                    <w:tl2br w:val="nil"/>
                    <w:tr2bl w:val="nil"/>
                  </w:tcBorders>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
                    </w:rPr>
                  </w:pPr>
                  <w:r>
                    <w:rPr>
                      <w:rFonts w:hint="eastAsia" w:cs="Times New Roman"/>
                      <w:b w:val="0"/>
                      <w:bCs w:val="0"/>
                      <w:kern w:val="0"/>
                      <w:sz w:val="21"/>
                      <w:szCs w:val="21"/>
                      <w:highlight w:val="none"/>
                      <w:lang w:val="en-US" w:eastAsia="zh-CN" w:bidi="ar"/>
                    </w:rPr>
                    <w:t>外售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341"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蒸粮</w:t>
                  </w:r>
                </w:p>
              </w:tc>
              <w:tc>
                <w:tcPr>
                  <w:tcW w:w="494" w:type="pct"/>
                  <w:tcBorders>
                    <w:tl2br w:val="nil"/>
                    <w:tr2bl w:val="nil"/>
                  </w:tcBorders>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废包装袋</w:t>
                  </w:r>
                </w:p>
              </w:tc>
              <w:tc>
                <w:tcPr>
                  <w:tcW w:w="462"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770"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highlight w:val="none"/>
                      <w:lang w:val="en-US" w:eastAsia="zh-CN"/>
                    </w:rPr>
                    <w:t>900-003-S17</w:t>
                  </w:r>
                </w:p>
              </w:tc>
              <w:tc>
                <w:tcPr>
                  <w:tcW w:w="37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类比法</w:t>
                  </w:r>
                </w:p>
              </w:tc>
              <w:tc>
                <w:tcPr>
                  <w:tcW w:w="596"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2</w:t>
                  </w:r>
                </w:p>
              </w:tc>
              <w:tc>
                <w:tcPr>
                  <w:tcW w:w="34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委托利用</w:t>
                  </w:r>
                </w:p>
              </w:tc>
              <w:tc>
                <w:tcPr>
                  <w:tcW w:w="596" w:type="pct"/>
                  <w:tcBorders>
                    <w:tl2br w:val="nil"/>
                    <w:tr2bl w:val="nil"/>
                  </w:tcBorders>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highlight w:val="none"/>
                      <w:lang w:val="en-US" w:eastAsia="zh-CN"/>
                    </w:rPr>
                    <w:t>2</w:t>
                  </w:r>
                </w:p>
              </w:tc>
              <w:tc>
                <w:tcPr>
                  <w:tcW w:w="645" w:type="pct"/>
                  <w:vMerge w:val="restart"/>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r>
                    <w:rPr>
                      <w:rFonts w:hint="eastAsia" w:ascii="Times New Roman" w:hAnsi="Times New Roman" w:eastAsia="宋体" w:cs="Times New Roman"/>
                      <w:b w:val="0"/>
                      <w:bCs w:val="0"/>
                      <w:kern w:val="0"/>
                      <w:sz w:val="21"/>
                      <w:szCs w:val="21"/>
                      <w:highlight w:val="none"/>
                      <w:lang w:val="en-US" w:eastAsia="zh-CN"/>
                    </w:rPr>
                    <w:t>交由一般固废处置单位进行处理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341"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bidi="ar"/>
                    </w:rPr>
                    <w:t>净水设备</w:t>
                  </w:r>
                </w:p>
              </w:tc>
              <w:tc>
                <w:tcPr>
                  <w:tcW w:w="494" w:type="pct"/>
                  <w:tcBorders>
                    <w:tl2br w:val="nil"/>
                    <w:tr2bl w:val="nil"/>
                  </w:tcBorders>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eastAsia="zh-CN"/>
                    </w:rPr>
                  </w:pPr>
                  <w:r>
                    <w:rPr>
                      <w:rFonts w:hint="eastAsia" w:cs="Times New Roman"/>
                      <w:b w:val="0"/>
                      <w:bCs w:val="0"/>
                      <w:kern w:val="0"/>
                      <w:sz w:val="21"/>
                      <w:szCs w:val="21"/>
                      <w:highlight w:val="none"/>
                      <w:lang w:val="en-US" w:eastAsia="zh-CN" w:bidi="ar"/>
                    </w:rPr>
                    <w:t>废石英砂</w:t>
                  </w:r>
                </w:p>
              </w:tc>
              <w:tc>
                <w:tcPr>
                  <w:tcW w:w="462"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770"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hint="eastAsia" w:cs="Times New Roman"/>
                      <w:bCs/>
                      <w:sz w:val="21"/>
                      <w:szCs w:val="21"/>
                      <w:highlight w:val="none"/>
                      <w:lang w:val="en-US" w:eastAsia="zh-CN"/>
                    </w:rPr>
                    <w:t>900-009-S59</w:t>
                  </w:r>
                </w:p>
              </w:tc>
              <w:tc>
                <w:tcPr>
                  <w:tcW w:w="37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类比法</w:t>
                  </w:r>
                </w:p>
              </w:tc>
              <w:tc>
                <w:tcPr>
                  <w:tcW w:w="596" w:type="pct"/>
                  <w:tcBorders>
                    <w:tl2br w:val="nil"/>
                    <w:tr2bl w:val="nil"/>
                  </w:tcBorders>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0.01</w:t>
                  </w:r>
                </w:p>
              </w:tc>
              <w:tc>
                <w:tcPr>
                  <w:tcW w:w="341" w:type="pct"/>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rPr>
                  </w:pPr>
                  <w:r>
                    <w:rPr>
                      <w:rFonts w:ascii="Times New Roman" w:hAnsi="Times New Roman" w:eastAsia="宋体" w:cs="Times New Roman"/>
                      <w:b w:val="0"/>
                      <w:bCs w:val="0"/>
                      <w:kern w:val="0"/>
                      <w:sz w:val="21"/>
                      <w:szCs w:val="21"/>
                      <w:highlight w:val="none"/>
                      <w:lang w:bidi="ar"/>
                    </w:rPr>
                    <w:t>委托利用</w:t>
                  </w:r>
                </w:p>
              </w:tc>
              <w:tc>
                <w:tcPr>
                  <w:tcW w:w="59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rPr>
                    <w:t>0.01</w:t>
                  </w:r>
                </w:p>
              </w:tc>
              <w:tc>
                <w:tcPr>
                  <w:tcW w:w="645"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341" w:type="pct"/>
                  <w:vMerge w:val="continue"/>
                  <w:tcBorders>
                    <w:tl2br w:val="nil"/>
                    <w:tr2bl w:val="nil"/>
                  </w:tcBorders>
                  <w:shd w:val="clear" w:color="auto" w:fill="auto"/>
                  <w:noWrap w:val="0"/>
                  <w:vAlign w:val="center"/>
                </w:tcPr>
                <w:p>
                  <w:pPr>
                    <w:widowControl/>
                    <w:jc w:val="center"/>
                    <w:textAlignment w:val="center"/>
                    <w:rPr>
                      <w:rFonts w:ascii="Times New Roman" w:hAnsi="Times New Roman" w:eastAsia="宋体" w:cs="Times New Roman"/>
                      <w:b w:val="0"/>
                      <w:bCs w:val="0"/>
                      <w:kern w:val="0"/>
                      <w:sz w:val="21"/>
                      <w:szCs w:val="21"/>
                      <w:highlight w:val="none"/>
                      <w:lang w:val="en-US" w:eastAsia="zh-CN" w:bidi="ar-SA"/>
                    </w:rPr>
                  </w:pPr>
                </w:p>
              </w:tc>
              <w:tc>
                <w:tcPr>
                  <w:tcW w:w="494"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废活性炭</w:t>
                  </w:r>
                </w:p>
              </w:tc>
              <w:tc>
                <w:tcPr>
                  <w:tcW w:w="462" w:type="pct"/>
                  <w:vMerge w:val="continue"/>
                  <w:tcBorders>
                    <w:tl2br w:val="nil"/>
                    <w:tr2bl w:val="nil"/>
                  </w:tcBorders>
                  <w:shd w:val="clear" w:color="auto" w:fill="auto"/>
                  <w:noWrap w:val="0"/>
                  <w:vAlign w:val="center"/>
                </w:tcPr>
                <w:p>
                  <w:pPr>
                    <w:widowControl/>
                    <w:jc w:val="center"/>
                    <w:textAlignment w:val="center"/>
                    <w:rPr>
                      <w:rFonts w:ascii="Times New Roman" w:hAnsi="Times New Roman" w:eastAsia="宋体" w:cs="Times New Roman"/>
                      <w:b w:val="0"/>
                      <w:bCs w:val="0"/>
                      <w:kern w:val="0"/>
                      <w:sz w:val="21"/>
                      <w:szCs w:val="21"/>
                      <w:highlight w:val="none"/>
                      <w:lang w:val="en-US" w:eastAsia="zh-CN" w:bidi="ar-SA"/>
                    </w:rPr>
                  </w:pPr>
                </w:p>
              </w:tc>
              <w:tc>
                <w:tcPr>
                  <w:tcW w:w="770" w:type="pct"/>
                  <w:tcBorders>
                    <w:tl2br w:val="nil"/>
                    <w:tr2bl w:val="nil"/>
                  </w:tcBorders>
                  <w:shd w:val="clear" w:color="auto" w:fill="auto"/>
                  <w:noWrap w:val="0"/>
                  <w:vAlign w:val="center"/>
                </w:tcPr>
                <w:p>
                  <w:pPr>
                    <w:jc w:val="center"/>
                    <w:rPr>
                      <w:rFonts w:hint="eastAsia" w:ascii="Times New Roman" w:hAnsi="Times New Roman" w:eastAsia="宋体" w:cs="Times New Roman"/>
                      <w:b w:val="0"/>
                      <w:bCs w:val="0"/>
                      <w:kern w:val="0"/>
                      <w:sz w:val="21"/>
                      <w:szCs w:val="21"/>
                      <w:highlight w:val="none"/>
                      <w:lang w:val="en-US" w:eastAsia="zh-CN" w:bidi="ar-SA"/>
                    </w:rPr>
                  </w:pPr>
                  <w:r>
                    <w:rPr>
                      <w:rFonts w:hint="eastAsia" w:cs="Times New Roman"/>
                      <w:bCs/>
                      <w:sz w:val="21"/>
                      <w:szCs w:val="21"/>
                      <w:highlight w:val="none"/>
                      <w:lang w:val="en-US" w:eastAsia="zh-CN"/>
                    </w:rPr>
                    <w:t>900-009-S59</w:t>
                  </w:r>
                </w:p>
              </w:tc>
              <w:tc>
                <w:tcPr>
                  <w:tcW w:w="371" w:type="pct"/>
                  <w:tcBorders>
                    <w:tl2br w:val="nil"/>
                    <w:tr2bl w:val="nil"/>
                  </w:tcBorders>
                  <w:shd w:val="clear" w:color="auto" w:fill="auto"/>
                  <w:noWrap w:val="0"/>
                  <w:vAlign w:val="center"/>
                </w:tcPr>
                <w:p>
                  <w:pPr>
                    <w:jc w:val="center"/>
                    <w:rPr>
                      <w:rFonts w:hint="eastAsia" w:ascii="Times New Roman" w:hAnsi="Times New Roman" w:eastAsia="宋体" w:cs="Times New Roman"/>
                      <w:b w:val="0"/>
                      <w:bCs w:val="0"/>
                      <w:kern w:val="0"/>
                      <w:sz w:val="21"/>
                      <w:szCs w:val="21"/>
                      <w:highlight w:val="none"/>
                      <w:lang w:val="en-US" w:eastAsia="zh-CN" w:bidi="ar-SA"/>
                    </w:rPr>
                  </w:pPr>
                  <w:r>
                    <w:rPr>
                      <w:rFonts w:hint="eastAsia" w:ascii="Times New Roman" w:hAnsi="Times New Roman" w:eastAsia="宋体" w:cs="Times New Roman"/>
                      <w:b w:val="0"/>
                      <w:bCs w:val="0"/>
                      <w:kern w:val="0"/>
                      <w:sz w:val="21"/>
                      <w:szCs w:val="21"/>
                      <w:highlight w:val="none"/>
                      <w:lang w:val="en-US" w:eastAsia="zh-CN" w:bidi="ar-SA"/>
                    </w:rPr>
                    <w:t>类比法</w:t>
                  </w:r>
                </w:p>
              </w:tc>
              <w:tc>
                <w:tcPr>
                  <w:tcW w:w="59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0.01</w:t>
                  </w:r>
                </w:p>
              </w:tc>
              <w:tc>
                <w:tcPr>
                  <w:tcW w:w="341"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bidi="ar"/>
                    </w:rPr>
                    <w:t>委托利用</w:t>
                  </w:r>
                </w:p>
              </w:tc>
              <w:tc>
                <w:tcPr>
                  <w:tcW w:w="59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0.01</w:t>
                  </w:r>
                </w:p>
              </w:tc>
              <w:tc>
                <w:tcPr>
                  <w:tcW w:w="645" w:type="pct"/>
                  <w:vMerge w:val="continue"/>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341" w:type="pct"/>
                  <w:vMerge w:val="continue"/>
                  <w:tcBorders>
                    <w:tl2br w:val="nil"/>
                    <w:tr2bl w:val="nil"/>
                  </w:tcBorders>
                  <w:shd w:val="clear" w:color="auto" w:fill="auto"/>
                  <w:noWrap w:val="0"/>
                  <w:vAlign w:val="center"/>
                </w:tcPr>
                <w:p>
                  <w:pPr>
                    <w:widowControl/>
                    <w:jc w:val="center"/>
                    <w:textAlignment w:val="center"/>
                    <w:rPr>
                      <w:rFonts w:ascii="Times New Roman" w:hAnsi="Times New Roman" w:eastAsia="宋体" w:cs="Times New Roman"/>
                      <w:b w:val="0"/>
                      <w:bCs w:val="0"/>
                      <w:kern w:val="0"/>
                      <w:sz w:val="21"/>
                      <w:szCs w:val="21"/>
                      <w:highlight w:val="none"/>
                      <w:lang w:val="en-US" w:eastAsia="zh-CN" w:bidi="ar-SA"/>
                    </w:rPr>
                  </w:pPr>
                </w:p>
              </w:tc>
              <w:tc>
                <w:tcPr>
                  <w:tcW w:w="494"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废滤膜</w:t>
                  </w:r>
                </w:p>
              </w:tc>
              <w:tc>
                <w:tcPr>
                  <w:tcW w:w="462"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770"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hint="eastAsia" w:cs="Times New Roman"/>
                      <w:bCs/>
                      <w:sz w:val="21"/>
                      <w:szCs w:val="21"/>
                      <w:highlight w:val="none"/>
                      <w:lang w:val="en-US" w:eastAsia="zh-CN"/>
                    </w:rPr>
                    <w:t>900-009-S59</w:t>
                  </w:r>
                </w:p>
              </w:tc>
              <w:tc>
                <w:tcPr>
                  <w:tcW w:w="371"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bidi="ar"/>
                    </w:rPr>
                    <w:t>产污系数法</w:t>
                  </w:r>
                </w:p>
              </w:tc>
              <w:tc>
                <w:tcPr>
                  <w:tcW w:w="596" w:type="pct"/>
                  <w:tcBorders>
                    <w:tl2br w:val="nil"/>
                    <w:tr2bl w:val="nil"/>
                  </w:tcBorders>
                  <w:shd w:val="clear" w:color="auto" w:fill="auto"/>
                  <w:noWrap w:val="0"/>
                  <w:vAlign w:val="center"/>
                </w:tcPr>
                <w:p>
                  <w:pPr>
                    <w:jc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0.02</w:t>
                  </w:r>
                </w:p>
              </w:tc>
              <w:tc>
                <w:tcPr>
                  <w:tcW w:w="341"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bidi="ar"/>
                    </w:rPr>
                    <w:t>委托处置</w:t>
                  </w:r>
                </w:p>
              </w:tc>
              <w:tc>
                <w:tcPr>
                  <w:tcW w:w="596" w:type="pct"/>
                  <w:tcBorders>
                    <w:tl2br w:val="nil"/>
                    <w:tr2bl w:val="nil"/>
                  </w:tcBorders>
                  <w:shd w:val="clear" w:color="auto" w:fill="auto"/>
                  <w:noWrap w:val="0"/>
                  <w:vAlign w:val="center"/>
                </w:tcPr>
                <w:p>
                  <w:pPr>
                    <w:jc w:val="center"/>
                    <w:rPr>
                      <w:rFonts w:hint="eastAsia"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0.02</w:t>
                  </w:r>
                </w:p>
              </w:tc>
              <w:tc>
                <w:tcPr>
                  <w:tcW w:w="645" w:type="pct"/>
                  <w:vMerge w:val="continue"/>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341"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灌装</w:t>
                  </w:r>
                </w:p>
              </w:tc>
              <w:tc>
                <w:tcPr>
                  <w:tcW w:w="494"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破损酒瓶</w:t>
                  </w:r>
                </w:p>
              </w:tc>
              <w:tc>
                <w:tcPr>
                  <w:tcW w:w="462"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770"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hint="eastAsia" w:ascii="Times New Roman" w:hAnsi="Times New Roman" w:eastAsia="宋体" w:cs="Times New Roman"/>
                      <w:b w:val="0"/>
                      <w:bCs w:val="0"/>
                      <w:kern w:val="0"/>
                      <w:sz w:val="21"/>
                      <w:szCs w:val="21"/>
                      <w:highlight w:val="none"/>
                      <w:lang w:val="en-US" w:eastAsia="zh-CN"/>
                    </w:rPr>
                    <w:t>900-009-S59</w:t>
                  </w:r>
                </w:p>
              </w:tc>
              <w:tc>
                <w:tcPr>
                  <w:tcW w:w="371"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hint="eastAsia" w:ascii="Times New Roman" w:hAnsi="Times New Roman" w:eastAsia="宋体" w:cs="Times New Roman"/>
                      <w:b w:val="0"/>
                      <w:bCs w:val="0"/>
                      <w:kern w:val="0"/>
                      <w:sz w:val="21"/>
                      <w:szCs w:val="21"/>
                      <w:highlight w:val="none"/>
                      <w:lang w:val="en-US" w:eastAsia="zh-CN" w:bidi="ar"/>
                    </w:rPr>
                    <w:t>类比法</w:t>
                  </w:r>
                </w:p>
              </w:tc>
              <w:tc>
                <w:tcPr>
                  <w:tcW w:w="59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0.1</w:t>
                  </w:r>
                </w:p>
              </w:tc>
              <w:tc>
                <w:tcPr>
                  <w:tcW w:w="341"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bidi="ar"/>
                    </w:rPr>
                    <w:t>委托处置</w:t>
                  </w:r>
                </w:p>
              </w:tc>
              <w:tc>
                <w:tcPr>
                  <w:tcW w:w="596"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0.1</w:t>
                  </w:r>
                </w:p>
              </w:tc>
              <w:tc>
                <w:tcPr>
                  <w:tcW w:w="645" w:type="pct"/>
                  <w:vMerge w:val="continue"/>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80" w:type="pct"/>
                  <w:tcBorders>
                    <w:tl2br w:val="nil"/>
                    <w:tr2bl w:val="nil"/>
                  </w:tcBorders>
                  <w:noWrap w:val="0"/>
                  <w:vAlign w:val="center"/>
                </w:tcPr>
                <w:p>
                  <w:pPr>
                    <w:jc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污水处理站</w:t>
                  </w:r>
                </w:p>
              </w:tc>
              <w:tc>
                <w:tcPr>
                  <w:tcW w:w="341" w:type="pct"/>
                  <w:tcBorders>
                    <w:tl2br w:val="nil"/>
                    <w:tr2bl w:val="nil"/>
                  </w:tcBorders>
                  <w:shd w:val="clear" w:color="auto" w:fill="auto"/>
                  <w:noWrap w:val="0"/>
                  <w:vAlign w:val="center"/>
                </w:tcPr>
                <w:p>
                  <w:pPr>
                    <w:widowControl/>
                    <w:jc w:val="center"/>
                    <w:textAlignment w:val="center"/>
                    <w:rPr>
                      <w:rFonts w:hint="default" w:cs="Times New Roman"/>
                      <w:b w:val="0"/>
                      <w:bCs w:val="0"/>
                      <w:kern w:val="0"/>
                      <w:sz w:val="21"/>
                      <w:szCs w:val="21"/>
                      <w:highlight w:val="none"/>
                      <w:lang w:val="en-US" w:eastAsia="zh-CN" w:bidi="ar"/>
                    </w:rPr>
                  </w:pPr>
                  <w:r>
                    <w:rPr>
                      <w:rFonts w:hint="eastAsia" w:cs="Times New Roman"/>
                      <w:b w:val="0"/>
                      <w:bCs w:val="0"/>
                      <w:kern w:val="0"/>
                      <w:sz w:val="21"/>
                      <w:szCs w:val="21"/>
                      <w:highlight w:val="none"/>
                      <w:lang w:val="en-US" w:eastAsia="zh-CN" w:bidi="ar"/>
                    </w:rPr>
                    <w:t>污水处理</w:t>
                  </w:r>
                </w:p>
              </w:tc>
              <w:tc>
                <w:tcPr>
                  <w:tcW w:w="494" w:type="pct"/>
                  <w:tcBorders>
                    <w:tl2br w:val="nil"/>
                    <w:tr2bl w:val="nil"/>
                  </w:tcBorders>
                  <w:shd w:val="clear" w:color="auto" w:fill="auto"/>
                  <w:noWrap w:val="0"/>
                  <w:vAlign w:val="center"/>
                </w:tcPr>
                <w:p>
                  <w:pPr>
                    <w:widowControl/>
                    <w:jc w:val="center"/>
                    <w:textAlignment w:val="center"/>
                    <w:rPr>
                      <w:rFonts w:hint="default" w:cs="Times New Roman"/>
                      <w:b w:val="0"/>
                      <w:bCs w:val="0"/>
                      <w:kern w:val="0"/>
                      <w:sz w:val="21"/>
                      <w:szCs w:val="21"/>
                      <w:highlight w:val="none"/>
                      <w:lang w:val="en-US" w:eastAsia="zh-CN" w:bidi="ar"/>
                    </w:rPr>
                  </w:pPr>
                  <w:r>
                    <w:rPr>
                      <w:rFonts w:hint="eastAsia" w:cs="Times New Roman"/>
                      <w:b w:val="0"/>
                      <w:bCs w:val="0"/>
                      <w:kern w:val="0"/>
                      <w:sz w:val="21"/>
                      <w:szCs w:val="21"/>
                      <w:highlight w:val="none"/>
                      <w:lang w:val="en-US" w:eastAsia="zh-CN" w:bidi="ar"/>
                    </w:rPr>
                    <w:t>污泥</w:t>
                  </w:r>
                </w:p>
              </w:tc>
              <w:tc>
                <w:tcPr>
                  <w:tcW w:w="462" w:type="pct"/>
                  <w:vMerge w:val="continue"/>
                  <w:tcBorders>
                    <w:tl2br w:val="nil"/>
                    <w:tr2bl w:val="nil"/>
                  </w:tcBorders>
                  <w:noWrap w:val="0"/>
                  <w:vAlign w:val="center"/>
                </w:tcPr>
                <w:p>
                  <w:pPr>
                    <w:jc w:val="center"/>
                    <w:rPr>
                      <w:rFonts w:ascii="Times New Roman" w:hAnsi="Times New Roman" w:eastAsia="宋体" w:cs="Times New Roman"/>
                      <w:b w:val="0"/>
                      <w:bCs w:val="0"/>
                      <w:kern w:val="0"/>
                      <w:sz w:val="21"/>
                      <w:szCs w:val="21"/>
                      <w:highlight w:val="none"/>
                    </w:rPr>
                  </w:pPr>
                </w:p>
              </w:tc>
              <w:tc>
                <w:tcPr>
                  <w:tcW w:w="770"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rPr>
                  </w:pPr>
                  <w:r>
                    <w:rPr>
                      <w:rFonts w:hint="eastAsia" w:cs="Times New Roman"/>
                      <w:b w:val="0"/>
                      <w:bCs w:val="0"/>
                      <w:kern w:val="0"/>
                      <w:sz w:val="21"/>
                      <w:szCs w:val="21"/>
                      <w:highlight w:val="none"/>
                      <w:lang w:val="en-US" w:eastAsia="zh-CN"/>
                    </w:rPr>
                    <w:t>150-001-S07</w:t>
                  </w:r>
                </w:p>
              </w:tc>
              <w:tc>
                <w:tcPr>
                  <w:tcW w:w="371"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
                    </w:rPr>
                  </w:pPr>
                  <w:r>
                    <w:rPr>
                      <w:rFonts w:hint="eastAsia" w:ascii="Times New Roman" w:hAnsi="Times New Roman" w:eastAsia="宋体" w:cs="Times New Roman"/>
                      <w:b w:val="0"/>
                      <w:bCs w:val="0"/>
                      <w:kern w:val="0"/>
                      <w:sz w:val="21"/>
                      <w:szCs w:val="21"/>
                      <w:highlight w:val="none"/>
                      <w:lang w:val="en-US" w:eastAsia="zh-CN" w:bidi="ar"/>
                    </w:rPr>
                    <w:t>类比法</w:t>
                  </w:r>
                </w:p>
              </w:tc>
              <w:tc>
                <w:tcPr>
                  <w:tcW w:w="596" w:type="pct"/>
                  <w:tcBorders>
                    <w:tl2br w:val="nil"/>
                    <w:tr2bl w:val="nil"/>
                  </w:tcBorders>
                  <w:shd w:val="clear" w:color="auto" w:fill="auto"/>
                  <w:noWrap w:val="0"/>
                  <w:vAlign w:val="center"/>
                </w:tcPr>
                <w:p>
                  <w:pPr>
                    <w:widowControl/>
                    <w:jc w:val="center"/>
                    <w:textAlignment w:val="center"/>
                    <w:rPr>
                      <w:rFonts w:hint="default" w:cs="Times New Roman"/>
                      <w:b w:val="0"/>
                      <w:bCs w:val="0"/>
                      <w:kern w:val="0"/>
                      <w:sz w:val="21"/>
                      <w:szCs w:val="21"/>
                      <w:highlight w:val="none"/>
                      <w:lang w:val="en-US" w:eastAsia="zh-CN" w:bidi="ar"/>
                    </w:rPr>
                  </w:pPr>
                  <w:r>
                    <w:rPr>
                      <w:rFonts w:hint="eastAsia" w:cs="Times New Roman"/>
                      <w:b w:val="0"/>
                      <w:bCs w:val="0"/>
                      <w:kern w:val="0"/>
                      <w:sz w:val="21"/>
                      <w:szCs w:val="21"/>
                      <w:highlight w:val="none"/>
                      <w:lang w:val="en-US" w:eastAsia="zh-CN" w:bidi="ar"/>
                    </w:rPr>
                    <w:t>4.486</w:t>
                  </w:r>
                </w:p>
              </w:tc>
              <w:tc>
                <w:tcPr>
                  <w:tcW w:w="341" w:type="pct"/>
                  <w:tcBorders>
                    <w:tl2br w:val="nil"/>
                    <w:tr2bl w:val="nil"/>
                  </w:tcBorders>
                  <w:shd w:val="clear" w:color="auto" w:fill="auto"/>
                  <w:noWrap w:val="0"/>
                  <w:vAlign w:val="center"/>
                </w:tcPr>
                <w:p>
                  <w:pPr>
                    <w:widowControl/>
                    <w:jc w:val="center"/>
                    <w:textAlignment w:val="center"/>
                    <w:rPr>
                      <w:rFonts w:ascii="Times New Roman" w:hAnsi="Times New Roman" w:eastAsia="宋体" w:cs="Times New Roman"/>
                      <w:b w:val="0"/>
                      <w:bCs w:val="0"/>
                      <w:kern w:val="0"/>
                      <w:sz w:val="21"/>
                      <w:szCs w:val="21"/>
                      <w:highlight w:val="none"/>
                      <w:lang w:bidi="ar"/>
                    </w:rPr>
                  </w:pPr>
                  <w:r>
                    <w:rPr>
                      <w:rFonts w:ascii="Times New Roman" w:hAnsi="Times New Roman" w:eastAsia="宋体" w:cs="Times New Roman"/>
                      <w:b w:val="0"/>
                      <w:bCs w:val="0"/>
                      <w:kern w:val="0"/>
                      <w:sz w:val="21"/>
                      <w:szCs w:val="21"/>
                      <w:highlight w:val="none"/>
                      <w:lang w:bidi="ar"/>
                    </w:rPr>
                    <w:t>委托处置</w:t>
                  </w:r>
                </w:p>
              </w:tc>
              <w:tc>
                <w:tcPr>
                  <w:tcW w:w="596" w:type="pct"/>
                  <w:tcBorders>
                    <w:tl2br w:val="nil"/>
                    <w:tr2bl w:val="nil"/>
                  </w:tcBorders>
                  <w:shd w:val="clear" w:color="auto" w:fill="auto"/>
                  <w:noWrap w:val="0"/>
                  <w:vAlign w:val="center"/>
                </w:tcPr>
                <w:p>
                  <w:pPr>
                    <w:widowControl/>
                    <w:jc w:val="center"/>
                    <w:textAlignment w:val="center"/>
                    <w:rPr>
                      <w:rFonts w:hint="default" w:cs="Times New Roman"/>
                      <w:b w:val="0"/>
                      <w:bCs w:val="0"/>
                      <w:kern w:val="0"/>
                      <w:sz w:val="21"/>
                      <w:szCs w:val="21"/>
                      <w:highlight w:val="none"/>
                      <w:lang w:val="en-US" w:eastAsia="zh-CN" w:bidi="ar"/>
                    </w:rPr>
                  </w:pPr>
                  <w:r>
                    <w:rPr>
                      <w:rFonts w:hint="eastAsia" w:cs="Times New Roman"/>
                      <w:b w:val="0"/>
                      <w:bCs w:val="0"/>
                      <w:kern w:val="0"/>
                      <w:sz w:val="21"/>
                      <w:szCs w:val="21"/>
                      <w:highlight w:val="none"/>
                      <w:lang w:val="en-US" w:eastAsia="zh-CN" w:bidi="ar"/>
                    </w:rPr>
                    <w:t>4.486</w:t>
                  </w:r>
                </w:p>
              </w:tc>
              <w:tc>
                <w:tcPr>
                  <w:tcW w:w="645" w:type="pct"/>
                  <w:vMerge w:val="continue"/>
                  <w:tcBorders>
                    <w:tl2br w:val="nil"/>
                    <w:tr2bl w:val="nil"/>
                  </w:tcBorders>
                  <w:noWrap w:val="0"/>
                  <w:vAlign w:val="center"/>
                </w:tcPr>
                <w:p>
                  <w:pPr>
                    <w:widowControl/>
                    <w:jc w:val="center"/>
                    <w:textAlignment w:val="center"/>
                    <w:rPr>
                      <w:rFonts w:ascii="Times New Roman" w:hAnsi="Times New Roman" w:eastAsia="宋体" w:cs="Times New Roman"/>
                      <w:b w:val="0"/>
                      <w:bCs w:val="0"/>
                      <w:kern w:val="0"/>
                      <w:sz w:val="21"/>
                      <w:szCs w:val="21"/>
                      <w:highlight w:val="none"/>
                      <w:lang w:bidi="ar"/>
                    </w:rPr>
                  </w:pPr>
                </w:p>
              </w:tc>
            </w:tr>
          </w:tbl>
          <w:p>
            <w:pPr>
              <w:adjustRightInd w:val="0"/>
              <w:snapToGrid w:val="0"/>
              <w:spacing w:line="360" w:lineRule="auto"/>
              <w:ind w:firstLine="480"/>
              <w:rPr>
                <w:rFonts w:hint="default"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环境管理要求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一般固废暂存和管理要求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①本项目一般固废执行《中华人民共和国固体废物污染环境防治法》中的要求，做到防粉尘、防雨、防流失、防渗等措施，确保固废不会流入外环境，雨水不进入临时贮存场。</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②本环评对一般固废提出台账管理要求如下：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一般工业固体废物管理台账制定指南（试行）》对一般工业固体废物管理台账实施分级管理。主要记录固体废物的基础信息及流向信息按指南填写附表1为一般工业固体废物产生清单（年度），应当结合环境影响评价、排污许可等材料，根据实际生产运营情况记录固体废物产生信息，生产工艺发生重大变动等原因导致固体废物产生种类等发生变化的，应当及时另行填写附表1一般工业固体废物产生清单（年度），附表2为一般工业固体废物流向汇总表，按月填写，记录固体废物的产生、贮存、利用、处置数量和利用、处置方式等信息；附表3为一般工业固体废物出厂环节记录表，按批次填写，每一批次固体废物的出厂以及转移信息均应当如实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产废单位填写台账记录表时，应当根据自身固体废物产生情况，从附表8一般工业固体废物分类表中选择对应的固体废物种类和代码，并根据固体废物种类确定固体废物的具体名称。台账记录表各表单的负责人对记录信息的真实性、完整性和规范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产废单位应当设立专人负责台账的管理与归档，一般工业固体废物管理台账保存期限不少于5年。鼓励有条件的产废单位在固体废物产生场所、贮存场所及磅秤位置等关键点位设置视频监控，提高台账记录信息的准确性。</w:t>
            </w:r>
          </w:p>
          <w:p>
            <w:pPr>
              <w:pStyle w:val="9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五、</w:t>
            </w:r>
            <w:r>
              <w:rPr>
                <w:rFonts w:hint="default" w:ascii="Times New Roman" w:hAnsi="Times New Roman" w:eastAsia="宋体" w:cs="Times New Roman"/>
                <w:b/>
                <w:bCs w:val="0"/>
                <w:color w:val="auto"/>
                <w:sz w:val="24"/>
                <w:szCs w:val="24"/>
                <w:highlight w:val="none"/>
                <w:lang w:val="en-US" w:eastAsia="zh-CN"/>
              </w:rPr>
              <w:t>地下水</w:t>
            </w:r>
            <w:r>
              <w:rPr>
                <w:rFonts w:hint="eastAsia" w:ascii="Times New Roman" w:hAnsi="Times New Roman" w:eastAsia="宋体"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土壤</w:t>
            </w:r>
            <w:r>
              <w:rPr>
                <w:rFonts w:hint="eastAsia" w:ascii="Times New Roman" w:hAnsi="Times New Roman" w:eastAsia="宋体" w:cs="Times New Roman"/>
                <w:b/>
                <w:bCs w:val="0"/>
                <w:color w:val="auto"/>
                <w:sz w:val="24"/>
                <w:szCs w:val="24"/>
                <w:highlight w:val="none"/>
                <w:lang w:val="en-US" w:eastAsia="zh-CN"/>
              </w:rPr>
              <w:t>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本项目正常工况下不存在污染途径，非正常工况下可能对地下水、土壤环境产生影响</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项目在生产、储运、输送过程中涉及有害物质，这些污染物的跑、冒、滴、漏均有可能污染地下水及土壤。因此，本项目建设过程中必须考虑地下水和土壤的保护问题，对</w:t>
            </w:r>
            <w:r>
              <w:rPr>
                <w:rFonts w:hint="eastAsia" w:cs="Times New Roman"/>
                <w:color w:val="auto"/>
                <w:sz w:val="24"/>
                <w:szCs w:val="24"/>
                <w:highlight w:val="none"/>
                <w:lang w:val="en-US" w:eastAsia="zh-CN"/>
              </w:rPr>
              <w:t>生产车间、发酵车间、晾晒场、污水处理站</w:t>
            </w:r>
            <w:r>
              <w:rPr>
                <w:rFonts w:hint="default" w:ascii="Times New Roman" w:hAnsi="Times New Roman" w:eastAsia="宋体" w:cs="Times New Roman"/>
                <w:color w:val="auto"/>
                <w:sz w:val="24"/>
                <w:szCs w:val="24"/>
                <w:highlight w:val="none"/>
                <w:lang w:val="en-US" w:eastAsia="zh-CN"/>
              </w:rPr>
              <w:t>等场地必须采取防渗措施，建设防渗地坪，对厂区污水收集及输送管线所在区域各构筑物均必须采取防渗措施。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防治措施</w:t>
            </w:r>
            <w:r>
              <w:rPr>
                <w:rFonts w:hint="eastAsia" w:eastAsia="宋体"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本项目针对土壤及地下水防护采取防护措施，具体为：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①源头控制措施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A.积极推行实施清洁生产，实现各类废物循环利用，减少污染物的排放量； </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B.项目应根据国家现行相关规范加强环境管理，采取防止和降低污染物跑、冒、滴、漏的措施。正常生产过程中应加强巡检及时处理污染物跑、冒、滴、漏，同时应加强对防渗工程的检查，若发现防渗密封材料老化或损坏，应及时维修更换。</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②分区防渗措施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1"/>
                <w:szCs w:val="21"/>
                <w:highlight w:val="none"/>
                <w:lang w:val="en-US" w:eastAsia="zh-CN"/>
              </w:rPr>
              <w:t>原则：地下水污染防治</w:t>
            </w:r>
            <w:r>
              <w:rPr>
                <w:rFonts w:hint="eastAsia" w:ascii="Times New Roman" w:hAnsi="Times New Roman" w:eastAsia="宋体" w:cs="Times New Roman"/>
                <w:color w:val="auto"/>
                <w:sz w:val="24"/>
                <w:szCs w:val="24"/>
                <w:highlight w:val="none"/>
                <w:lang w:val="en-US" w:eastAsia="zh-CN"/>
              </w:rPr>
              <w:t>措施坚持“源头控制、末端防治、污染监控、应急响应相结合”的原则，即采取主动控制和被动控制相结合的措施。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A.主动控制即从源头控制措施，主要包括在工艺、管道、设备、污水储存及处理构筑物采取相应措施，防止和降低污染物跑、冒、滴、漏，将污染物泄漏的环境风险事故降到最低程度；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B.被动控制即末端控制措施，主要包括厂内污染区地面的防渗措施和泄漏、渗漏污染物收集措施，即在污染区地面进行防渗处理，防止洒落地面的污染物渗入地下，并把滞留在地面的污染物</w:t>
            </w:r>
            <w:r>
              <w:rPr>
                <w:rFonts w:hint="eastAsia" w:eastAsia="宋体" w:cs="Times New Roman"/>
                <w:color w:val="auto"/>
                <w:sz w:val="24"/>
                <w:szCs w:val="24"/>
                <w:highlight w:val="none"/>
                <w:lang w:val="en-US" w:eastAsia="zh-CN"/>
              </w:rPr>
              <w:t>进行</w:t>
            </w:r>
            <w:r>
              <w:rPr>
                <w:rFonts w:hint="eastAsia" w:ascii="Times New Roman" w:hAnsi="Times New Roman" w:eastAsia="宋体" w:cs="Times New Roman"/>
                <w:color w:val="auto"/>
                <w:sz w:val="24"/>
                <w:szCs w:val="24"/>
                <w:highlight w:val="none"/>
                <w:lang w:val="en-US" w:eastAsia="zh-CN"/>
              </w:rPr>
              <w:t>收集；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C.应急响应措施，包括一旦发现地下水污染事故，立即启动应急预案、采取应急措施控制地下水污染，并使污染得到治理。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污染防治分区</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lang w:val="en-US" w:eastAsia="zh-CN"/>
              </w:rPr>
              <w:t>重点区域防渗措施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不涉及持久性有机物及重金属污染物，故不设计重点防渗区。</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eastAsia="zh-CN"/>
              </w:rPr>
              <w:t>一般区域防渗措施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highlight w:val="none"/>
                <w:lang w:val="en-US" w:eastAsia="zh-CN"/>
              </w:rPr>
              <w:t>对生产车间、发酵车间、晾晒场、污水处理站</w:t>
            </w:r>
            <w:r>
              <w:rPr>
                <w:rFonts w:hint="eastAsia" w:cs="Times New Roman"/>
                <w:color w:val="auto"/>
                <w:sz w:val="24"/>
                <w:szCs w:val="24"/>
                <w:highlight w:val="none"/>
                <w:lang w:val="en-US" w:eastAsia="zh-CN"/>
              </w:rPr>
              <w:t>、产品库</w:t>
            </w:r>
            <w:r>
              <w:rPr>
                <w:rFonts w:hint="eastAsia" w:ascii="Times New Roman" w:hAnsi="Times New Roman" w:eastAsia="宋体" w:cs="Times New Roman"/>
                <w:color w:val="auto"/>
                <w:sz w:val="24"/>
                <w:szCs w:val="24"/>
                <w:highlight w:val="none"/>
                <w:lang w:val="en-US" w:eastAsia="zh-CN"/>
              </w:rPr>
              <w:t>等防渗措施参照《一般工业固体废物贮存和填埋污染控制标准》（GB18599-2020）要求。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根据标准要求，当天然基础层的渗透系数大于1.0×10</w:t>
            </w:r>
            <w:r>
              <w:rPr>
                <w:rFonts w:hint="eastAsia" w:ascii="Times New Roman" w:hAnsi="Times New Roman" w:eastAsia="宋体" w:cs="Times New Roman"/>
                <w:color w:val="auto"/>
                <w:sz w:val="24"/>
                <w:szCs w:val="24"/>
                <w:highlight w:val="none"/>
                <w:vertAlign w:val="superscript"/>
                <w:lang w:val="en-US" w:eastAsia="zh-CN"/>
              </w:rPr>
              <w:t>-7</w:t>
            </w:r>
            <w:r>
              <w:rPr>
                <w:rFonts w:hint="eastAsia" w:ascii="Times New Roman" w:hAnsi="Times New Roman" w:eastAsia="宋体" w:cs="Times New Roman"/>
                <w:color w:val="auto"/>
                <w:sz w:val="24"/>
                <w:szCs w:val="24"/>
                <w:highlight w:val="none"/>
                <w:lang w:val="en-US" w:eastAsia="zh-CN"/>
              </w:rPr>
              <w:t>cm/s时，应采用天然或人工材料构筑防渗层，防渗层的厚度应相当于渗透系数1.0×10</w:t>
            </w:r>
            <w:r>
              <w:rPr>
                <w:rFonts w:hint="eastAsia" w:ascii="Times New Roman" w:hAnsi="Times New Roman" w:eastAsia="宋体" w:cs="Times New Roman"/>
                <w:color w:val="auto"/>
                <w:sz w:val="24"/>
                <w:szCs w:val="24"/>
                <w:highlight w:val="none"/>
                <w:vertAlign w:val="superscript"/>
                <w:lang w:val="en-US" w:eastAsia="zh-CN"/>
              </w:rPr>
              <w:t>-7</w:t>
            </w:r>
            <w:r>
              <w:rPr>
                <w:rFonts w:hint="eastAsia" w:ascii="Times New Roman" w:hAnsi="Times New Roman" w:eastAsia="宋体" w:cs="Times New Roman"/>
                <w:color w:val="auto"/>
                <w:sz w:val="24"/>
                <w:szCs w:val="24"/>
                <w:highlight w:val="none"/>
                <w:lang w:val="en-US" w:eastAsia="zh-CN"/>
              </w:rPr>
              <w:t>cm/s和厚度1.5m的粘土层的防渗性能。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b/>
                <w:color w:val="auto"/>
                <w:kern w:val="0"/>
                <w:sz w:val="24"/>
                <w:szCs w:val="24"/>
                <w:highlight w:val="none"/>
                <w:lang w:val="en-US" w:eastAsia="zh-CN" w:bidi="ar-SA"/>
              </w:rPr>
            </w:pPr>
            <w:r>
              <w:rPr>
                <w:rFonts w:hint="default" w:ascii="Times New Roman" w:hAnsi="Times New Roman" w:eastAsia="Times New Roman" w:cs="Times New Roman"/>
                <w:b/>
                <w:color w:val="auto"/>
                <w:kern w:val="0"/>
                <w:sz w:val="24"/>
                <w:szCs w:val="24"/>
                <w:highlight w:val="none"/>
                <w:lang w:val="en-US" w:eastAsia="zh-CN" w:bidi="ar-SA"/>
              </w:rPr>
              <w:t>表</w:t>
            </w:r>
            <w:r>
              <w:rPr>
                <w:rFonts w:hint="eastAsia" w:ascii="Times New Roman" w:hAnsi="Times New Roman" w:eastAsia="Times New Roman" w:cs="Times New Roman"/>
                <w:b/>
                <w:color w:val="auto"/>
                <w:kern w:val="0"/>
                <w:sz w:val="24"/>
                <w:szCs w:val="24"/>
                <w:highlight w:val="none"/>
                <w:lang w:val="en-US" w:eastAsia="zh-CN" w:bidi="ar-SA"/>
              </w:rPr>
              <w:t>4-</w:t>
            </w:r>
            <w:r>
              <w:rPr>
                <w:rFonts w:hint="eastAsia" w:eastAsia="Times New Roman" w:cs="Times New Roman"/>
                <w:b/>
                <w:color w:val="auto"/>
                <w:kern w:val="0"/>
                <w:sz w:val="24"/>
                <w:szCs w:val="24"/>
                <w:highlight w:val="none"/>
                <w:lang w:val="en-US" w:eastAsia="zh-CN" w:bidi="ar-SA"/>
              </w:rPr>
              <w:t xml:space="preserve">18          </w:t>
            </w:r>
            <w:r>
              <w:rPr>
                <w:rFonts w:hint="default" w:ascii="Times New Roman" w:hAnsi="Times New Roman" w:eastAsia="Times New Roman" w:cs="Times New Roman"/>
                <w:b/>
                <w:color w:val="auto"/>
                <w:kern w:val="0"/>
                <w:sz w:val="24"/>
                <w:szCs w:val="24"/>
                <w:highlight w:val="none"/>
                <w:lang w:val="en-US" w:eastAsia="zh-CN" w:bidi="ar-SA"/>
              </w:rPr>
              <w:t xml:space="preserve"> 地下水分区防渗情况一览表</w:t>
            </w:r>
          </w:p>
          <w:tbl>
            <w:tblPr>
              <w:tblStyle w:val="33"/>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47"/>
              <w:gridCol w:w="716"/>
              <w:gridCol w:w="58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8"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eastAsia="宋体"/>
                      <w:b w:val="0"/>
                      <w:bCs w:val="0"/>
                      <w:color w:val="000000"/>
                      <w:spacing w:val="0"/>
                      <w:kern w:val="0"/>
                      <w:sz w:val="21"/>
                      <w:szCs w:val="21"/>
                      <w:highlight w:val="none"/>
                    </w:rPr>
                  </w:pPr>
                  <w:r>
                    <w:rPr>
                      <w:rFonts w:eastAsia="宋体"/>
                      <w:b w:val="0"/>
                      <w:bCs w:val="0"/>
                      <w:color w:val="000000"/>
                      <w:spacing w:val="0"/>
                      <w:kern w:val="0"/>
                      <w:sz w:val="21"/>
                      <w:szCs w:val="21"/>
                      <w:highlight w:val="none"/>
                    </w:rPr>
                    <w:t>序号</w:t>
                  </w:r>
                </w:p>
              </w:tc>
              <w:tc>
                <w:tcPr>
                  <w:tcW w:w="907"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eastAsia="宋体"/>
                      <w:b w:val="0"/>
                      <w:bCs w:val="0"/>
                      <w:color w:val="000000"/>
                      <w:spacing w:val="0"/>
                      <w:kern w:val="0"/>
                      <w:sz w:val="21"/>
                      <w:szCs w:val="21"/>
                      <w:highlight w:val="none"/>
                    </w:rPr>
                  </w:pPr>
                  <w:r>
                    <w:rPr>
                      <w:rFonts w:eastAsia="宋体"/>
                      <w:b w:val="0"/>
                      <w:bCs w:val="0"/>
                      <w:color w:val="000000"/>
                      <w:spacing w:val="0"/>
                      <w:kern w:val="0"/>
                      <w:sz w:val="21"/>
                      <w:szCs w:val="21"/>
                      <w:highlight w:val="none"/>
                    </w:rPr>
                    <w:t>区域名称</w:t>
                  </w:r>
                </w:p>
              </w:tc>
              <w:tc>
                <w:tcPr>
                  <w:tcW w:w="420"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eastAsia="宋体"/>
                      <w:b w:val="0"/>
                      <w:bCs w:val="0"/>
                      <w:color w:val="000000"/>
                      <w:spacing w:val="0"/>
                      <w:kern w:val="0"/>
                      <w:sz w:val="21"/>
                      <w:szCs w:val="21"/>
                      <w:highlight w:val="none"/>
                    </w:rPr>
                  </w:pPr>
                  <w:r>
                    <w:rPr>
                      <w:rFonts w:eastAsia="宋体"/>
                      <w:b w:val="0"/>
                      <w:bCs w:val="0"/>
                      <w:color w:val="000000"/>
                      <w:spacing w:val="0"/>
                      <w:kern w:val="0"/>
                      <w:sz w:val="21"/>
                      <w:szCs w:val="21"/>
                      <w:highlight w:val="none"/>
                    </w:rPr>
                    <w:t>分区类别</w:t>
                  </w:r>
                </w:p>
              </w:tc>
              <w:tc>
                <w:tcPr>
                  <w:tcW w:w="3403"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eastAsia="宋体"/>
                      <w:b w:val="0"/>
                      <w:bCs w:val="0"/>
                      <w:color w:val="000000"/>
                      <w:spacing w:val="0"/>
                      <w:kern w:val="0"/>
                      <w:sz w:val="21"/>
                      <w:szCs w:val="21"/>
                      <w:highlight w:val="none"/>
                    </w:rPr>
                  </w:pPr>
                  <w:r>
                    <w:rPr>
                      <w:rFonts w:eastAsia="宋体"/>
                      <w:b w:val="0"/>
                      <w:bCs w:val="0"/>
                      <w:color w:val="000000"/>
                      <w:spacing w:val="0"/>
                      <w:kern w:val="0"/>
                      <w:sz w:val="21"/>
                      <w:szCs w:val="21"/>
                      <w:highlight w:val="none"/>
                    </w:rPr>
                    <w:t>防渗措施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8"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hint="eastAsia" w:eastAsia="宋体"/>
                      <w:b w:val="0"/>
                      <w:bCs w:val="0"/>
                      <w:color w:val="000000"/>
                      <w:spacing w:val="0"/>
                      <w:kern w:val="0"/>
                      <w:sz w:val="21"/>
                      <w:szCs w:val="21"/>
                      <w:highlight w:val="none"/>
                      <w:lang w:eastAsia="zh-CN"/>
                    </w:rPr>
                  </w:pPr>
                  <w:r>
                    <w:rPr>
                      <w:rFonts w:hint="eastAsia"/>
                      <w:b w:val="0"/>
                      <w:bCs w:val="0"/>
                      <w:color w:val="000000"/>
                      <w:spacing w:val="0"/>
                      <w:kern w:val="0"/>
                      <w:sz w:val="21"/>
                      <w:szCs w:val="21"/>
                      <w:highlight w:val="none"/>
                      <w:lang w:val="en-US" w:eastAsia="zh-CN"/>
                    </w:rPr>
                    <w:t>1</w:t>
                  </w:r>
                </w:p>
              </w:tc>
              <w:tc>
                <w:tcPr>
                  <w:tcW w:w="907"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hint="default" w:eastAsia="宋体"/>
                      <w:b w:val="0"/>
                      <w:bCs w:val="0"/>
                      <w:color w:val="000000"/>
                      <w:spacing w:val="0"/>
                      <w:kern w:val="0"/>
                      <w:sz w:val="21"/>
                      <w:szCs w:val="21"/>
                      <w:highlight w:val="none"/>
                      <w:lang w:val="en-US"/>
                    </w:rPr>
                  </w:pPr>
                  <w:r>
                    <w:rPr>
                      <w:rFonts w:hint="eastAsia" w:eastAsia="宋体"/>
                      <w:b w:val="0"/>
                      <w:bCs w:val="0"/>
                      <w:color w:val="000000"/>
                      <w:spacing w:val="0"/>
                      <w:kern w:val="0"/>
                      <w:sz w:val="21"/>
                      <w:szCs w:val="21"/>
                      <w:highlight w:val="none"/>
                      <w:lang w:val="en-US" w:eastAsia="zh-CN"/>
                    </w:rPr>
                    <w:t>生产车间、发酵车间、晾晒场、污水处理站</w:t>
                  </w:r>
                  <w:r>
                    <w:rPr>
                      <w:rFonts w:hint="eastAsia"/>
                      <w:b w:val="0"/>
                      <w:bCs w:val="0"/>
                      <w:color w:val="000000"/>
                      <w:spacing w:val="0"/>
                      <w:kern w:val="0"/>
                      <w:sz w:val="21"/>
                      <w:szCs w:val="21"/>
                      <w:highlight w:val="none"/>
                      <w:lang w:val="en-US" w:eastAsia="zh-CN"/>
                    </w:rPr>
                    <w:t>、产品库</w:t>
                  </w:r>
                </w:p>
              </w:tc>
              <w:tc>
                <w:tcPr>
                  <w:tcW w:w="420"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eastAsia="宋体"/>
                      <w:b w:val="0"/>
                      <w:bCs w:val="0"/>
                      <w:color w:val="000000"/>
                      <w:spacing w:val="0"/>
                      <w:kern w:val="0"/>
                      <w:sz w:val="21"/>
                      <w:szCs w:val="21"/>
                      <w:highlight w:val="none"/>
                    </w:rPr>
                  </w:pPr>
                  <w:r>
                    <w:rPr>
                      <w:rFonts w:eastAsia="宋体"/>
                      <w:b w:val="0"/>
                      <w:bCs w:val="0"/>
                      <w:color w:val="000000"/>
                      <w:spacing w:val="0"/>
                      <w:kern w:val="0"/>
                      <w:sz w:val="21"/>
                      <w:szCs w:val="21"/>
                      <w:highlight w:val="none"/>
                    </w:rPr>
                    <w:t>一般防渗区</w:t>
                  </w:r>
                </w:p>
              </w:tc>
              <w:tc>
                <w:tcPr>
                  <w:tcW w:w="3403"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hint="eastAsia" w:eastAsia="宋体"/>
                      <w:b w:val="0"/>
                      <w:bCs w:val="0"/>
                      <w:color w:val="000000"/>
                      <w:spacing w:val="0"/>
                      <w:kern w:val="0"/>
                      <w:sz w:val="21"/>
                      <w:szCs w:val="21"/>
                      <w:highlight w:val="none"/>
                    </w:rPr>
                  </w:pPr>
                  <w:r>
                    <w:rPr>
                      <w:rFonts w:eastAsia="宋体"/>
                      <w:b w:val="0"/>
                      <w:bCs w:val="0"/>
                      <w:color w:val="000000"/>
                      <w:spacing w:val="0"/>
                      <w:kern w:val="0"/>
                      <w:sz w:val="21"/>
                      <w:szCs w:val="21"/>
                      <w:highlight w:val="none"/>
                    </w:rPr>
                    <w:t>防渗</w:t>
                  </w:r>
                  <w:r>
                    <w:rPr>
                      <w:rFonts w:hint="eastAsia" w:eastAsia="宋体"/>
                      <w:b w:val="0"/>
                      <w:bCs w:val="0"/>
                      <w:color w:val="000000"/>
                      <w:spacing w:val="0"/>
                      <w:kern w:val="0"/>
                      <w:sz w:val="21"/>
                      <w:szCs w:val="21"/>
                      <w:highlight w:val="none"/>
                      <w:lang w:eastAsia="zh-CN"/>
                    </w:rPr>
                    <w:t>混凝土</w:t>
                  </w:r>
                  <w:r>
                    <w:rPr>
                      <w:rFonts w:eastAsia="宋体"/>
                      <w:b w:val="0"/>
                      <w:bCs w:val="0"/>
                      <w:color w:val="000000"/>
                      <w:spacing w:val="0"/>
                      <w:kern w:val="0"/>
                      <w:sz w:val="21"/>
                      <w:szCs w:val="21"/>
                      <w:highlight w:val="none"/>
                    </w:rPr>
                    <w:t>表层防渗</w:t>
                  </w:r>
                  <w:r>
                    <w:rPr>
                      <w:rFonts w:hint="eastAsia" w:eastAsia="宋体"/>
                      <w:b w:val="0"/>
                      <w:bCs w:val="0"/>
                      <w:color w:val="000000"/>
                      <w:spacing w:val="0"/>
                      <w:kern w:val="0"/>
                      <w:sz w:val="21"/>
                      <w:szCs w:val="21"/>
                      <w:highlight w:val="none"/>
                    </w:rPr>
                    <w:t>，一般防渗区域的等效黏土防渗层Mb≥1.5m，渗透系数K≤1×10</w:t>
                  </w:r>
                  <w:r>
                    <w:rPr>
                      <w:rFonts w:hint="eastAsia" w:eastAsia="宋体"/>
                      <w:b w:val="0"/>
                      <w:bCs w:val="0"/>
                      <w:color w:val="000000"/>
                      <w:spacing w:val="0"/>
                      <w:kern w:val="0"/>
                      <w:sz w:val="21"/>
                      <w:szCs w:val="21"/>
                      <w:highlight w:val="none"/>
                      <w:vertAlign w:val="superscript"/>
                    </w:rPr>
                    <w:t>-7</w:t>
                  </w:r>
                  <w:r>
                    <w:rPr>
                      <w:rFonts w:hint="eastAsia" w:eastAsia="宋体"/>
                      <w:b w:val="0"/>
                      <w:bCs w:val="0"/>
                      <w:color w:val="000000"/>
                      <w:spacing w:val="0"/>
                      <w:kern w:val="0"/>
                      <w:sz w:val="21"/>
                      <w:szCs w:val="21"/>
                      <w:highlight w:val="none"/>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8"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hint="default"/>
                      <w:b w:val="0"/>
                      <w:bCs w:val="0"/>
                      <w:color w:val="000000"/>
                      <w:spacing w:val="0"/>
                      <w:kern w:val="0"/>
                      <w:sz w:val="21"/>
                      <w:szCs w:val="21"/>
                      <w:highlight w:val="none"/>
                      <w:lang w:val="en-US" w:eastAsia="zh-CN"/>
                    </w:rPr>
                  </w:pPr>
                  <w:r>
                    <w:rPr>
                      <w:rFonts w:hint="eastAsia"/>
                      <w:b w:val="0"/>
                      <w:bCs w:val="0"/>
                      <w:color w:val="000000"/>
                      <w:spacing w:val="0"/>
                      <w:kern w:val="0"/>
                      <w:sz w:val="21"/>
                      <w:szCs w:val="21"/>
                      <w:highlight w:val="none"/>
                      <w:lang w:val="en-US" w:eastAsia="zh-CN"/>
                    </w:rPr>
                    <w:t>2</w:t>
                  </w:r>
                </w:p>
              </w:tc>
              <w:tc>
                <w:tcPr>
                  <w:tcW w:w="907"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hint="default" w:eastAsia="宋体"/>
                      <w:b w:val="0"/>
                      <w:bCs w:val="0"/>
                      <w:color w:val="000000"/>
                      <w:spacing w:val="0"/>
                      <w:kern w:val="0"/>
                      <w:sz w:val="21"/>
                      <w:szCs w:val="21"/>
                      <w:highlight w:val="none"/>
                      <w:lang w:val="en-US" w:eastAsia="zh-CN"/>
                    </w:rPr>
                  </w:pPr>
                  <w:r>
                    <w:rPr>
                      <w:rFonts w:hint="eastAsia"/>
                      <w:b w:val="0"/>
                      <w:bCs w:val="0"/>
                      <w:color w:val="000000"/>
                      <w:spacing w:val="0"/>
                      <w:kern w:val="0"/>
                      <w:sz w:val="21"/>
                      <w:szCs w:val="21"/>
                      <w:highlight w:val="none"/>
                      <w:lang w:val="en-US" w:eastAsia="zh-CN"/>
                    </w:rPr>
                    <w:t>其他</w:t>
                  </w:r>
                </w:p>
              </w:tc>
              <w:tc>
                <w:tcPr>
                  <w:tcW w:w="420"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hint="default" w:eastAsia="宋体"/>
                      <w:b w:val="0"/>
                      <w:bCs w:val="0"/>
                      <w:color w:val="000000"/>
                      <w:spacing w:val="0"/>
                      <w:kern w:val="0"/>
                      <w:sz w:val="21"/>
                      <w:szCs w:val="21"/>
                      <w:highlight w:val="none"/>
                      <w:lang w:val="en-US" w:eastAsia="zh-CN"/>
                    </w:rPr>
                  </w:pPr>
                  <w:r>
                    <w:rPr>
                      <w:rFonts w:hint="eastAsia"/>
                      <w:b w:val="0"/>
                      <w:bCs w:val="0"/>
                      <w:color w:val="000000"/>
                      <w:spacing w:val="0"/>
                      <w:kern w:val="0"/>
                      <w:sz w:val="21"/>
                      <w:szCs w:val="21"/>
                      <w:highlight w:val="none"/>
                      <w:lang w:val="en-US" w:eastAsia="zh-CN"/>
                    </w:rPr>
                    <w:t>简单防渗</w:t>
                  </w:r>
                </w:p>
              </w:tc>
              <w:tc>
                <w:tcPr>
                  <w:tcW w:w="3403" w:type="pct"/>
                  <w:tcBorders>
                    <w:tl2br w:val="nil"/>
                    <w:tr2bl w:val="nil"/>
                  </w:tcBorders>
                  <w:noWrap w:val="0"/>
                  <w:vAlign w:val="center"/>
                </w:tcPr>
                <w:p>
                  <w:pPr>
                    <w:keepNext/>
                    <w:keepLines/>
                    <w:pageBreakBefore w:val="0"/>
                    <w:widowControl/>
                    <w:kinsoku/>
                    <w:wordWrap/>
                    <w:overflowPunct/>
                    <w:topLinePunct w:val="0"/>
                    <w:autoSpaceDE w:val="0"/>
                    <w:autoSpaceDN w:val="0"/>
                    <w:bidi w:val="0"/>
                    <w:adjustRightInd w:val="0"/>
                    <w:snapToGrid w:val="0"/>
                    <w:spacing w:line="240" w:lineRule="auto"/>
                    <w:ind w:left="0" w:leftChars="0" w:right="0"/>
                    <w:jc w:val="center"/>
                    <w:rPr>
                      <w:rFonts w:hint="default" w:eastAsia="宋体"/>
                      <w:b w:val="0"/>
                      <w:bCs w:val="0"/>
                      <w:color w:val="000000"/>
                      <w:spacing w:val="0"/>
                      <w:kern w:val="0"/>
                      <w:sz w:val="21"/>
                      <w:szCs w:val="21"/>
                      <w:highlight w:val="none"/>
                      <w:lang w:val="en-US" w:eastAsia="zh-CN"/>
                    </w:rPr>
                  </w:pPr>
                  <w:r>
                    <w:rPr>
                      <w:rFonts w:hint="eastAsia"/>
                      <w:b w:val="0"/>
                      <w:bCs w:val="0"/>
                      <w:color w:val="000000"/>
                      <w:spacing w:val="0"/>
                      <w:kern w:val="0"/>
                      <w:sz w:val="21"/>
                      <w:szCs w:val="21"/>
                      <w:highlight w:val="none"/>
                      <w:lang w:val="en-US" w:eastAsia="zh-CN"/>
                    </w:rPr>
                    <w:t>地面硬化</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六</w:t>
            </w:r>
            <w:r>
              <w:rPr>
                <w:rFonts w:hint="eastAsia" w:eastAsia="宋体"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eastAsia="zh-CN"/>
              </w:rPr>
              <w:t>环境风险</w:t>
            </w:r>
          </w:p>
          <w:p>
            <w:pPr>
              <w:spacing w:line="360" w:lineRule="auto"/>
              <w:ind w:firstLine="482"/>
              <w:rPr>
                <w:rFonts w:hint="eastAsia" w:ascii="Times New Roman" w:hAnsi="Times New Roman" w:eastAsia="宋体" w:cs="Times New Roman"/>
                <w:b/>
                <w:bCs/>
                <w:color w:val="auto"/>
                <w:sz w:val="24"/>
                <w:szCs w:val="22"/>
                <w:highlight w:val="none"/>
                <w:lang w:val="en-US" w:eastAsia="zh-CN"/>
              </w:rPr>
            </w:pPr>
            <w:r>
              <w:rPr>
                <w:rFonts w:hint="eastAsia" w:ascii="Times New Roman" w:hAnsi="Times New Roman" w:eastAsia="宋体" w:cs="Times New Roman"/>
                <w:b/>
                <w:bCs/>
                <w:color w:val="auto"/>
                <w:sz w:val="24"/>
                <w:szCs w:val="22"/>
                <w:highlight w:val="none"/>
                <w:lang w:val="en-US" w:eastAsia="zh-CN"/>
              </w:rPr>
              <w:t>1</w:t>
            </w:r>
            <w:r>
              <w:rPr>
                <w:rFonts w:hint="eastAsia" w:cs="Times New Roman"/>
                <w:b/>
                <w:bCs/>
                <w:color w:val="auto"/>
                <w:sz w:val="24"/>
                <w:szCs w:val="22"/>
                <w:highlight w:val="none"/>
                <w:lang w:val="en-US" w:eastAsia="zh-CN"/>
              </w:rPr>
              <w:t>、</w:t>
            </w:r>
            <w:r>
              <w:rPr>
                <w:rFonts w:hint="eastAsia" w:ascii="Times New Roman" w:hAnsi="Times New Roman" w:eastAsia="宋体" w:cs="Times New Roman"/>
                <w:b/>
                <w:bCs/>
                <w:color w:val="auto"/>
                <w:sz w:val="24"/>
                <w:szCs w:val="22"/>
                <w:highlight w:val="none"/>
                <w:lang w:val="en-US" w:eastAsia="zh-CN"/>
              </w:rPr>
              <w:t>环境风险物质识别</w:t>
            </w:r>
          </w:p>
          <w:p>
            <w:pPr>
              <w:spacing w:line="360" w:lineRule="auto"/>
              <w:ind w:firstLine="482"/>
              <w:rPr>
                <w:rFonts w:hint="eastAsia"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根据《建设项目环境风险评价技术导则》（HJ 169-2018），本项目对原辅材料进行危险性识别。本项目</w:t>
            </w:r>
            <w:r>
              <w:rPr>
                <w:rFonts w:hint="eastAsia" w:cs="Times New Roman"/>
                <w:color w:val="auto"/>
                <w:sz w:val="24"/>
                <w:szCs w:val="22"/>
                <w:highlight w:val="none"/>
                <w:lang w:val="en-US" w:eastAsia="zh-CN"/>
              </w:rPr>
              <w:t>不</w:t>
            </w:r>
            <w:r>
              <w:rPr>
                <w:rFonts w:hint="eastAsia" w:ascii="Times New Roman" w:hAnsi="Times New Roman" w:eastAsia="宋体" w:cs="Times New Roman"/>
                <w:color w:val="auto"/>
                <w:sz w:val="24"/>
                <w:szCs w:val="22"/>
                <w:highlight w:val="none"/>
                <w:lang w:val="en-US" w:eastAsia="zh-CN"/>
              </w:rPr>
              <w:t>涉及</w:t>
            </w:r>
            <w:r>
              <w:rPr>
                <w:rFonts w:hint="eastAsia" w:cs="Times New Roman"/>
                <w:color w:val="auto"/>
                <w:sz w:val="24"/>
                <w:szCs w:val="22"/>
                <w:highlight w:val="none"/>
                <w:lang w:val="en-US" w:eastAsia="zh-CN"/>
              </w:rPr>
              <w:t>附录B中的环境风险物质，参考《企业突发环境事件风险分级方法》附录 A“突发环境事件风险物质及临界量清单”对项目涉及的原辅料及产品等进行危险性识别，本项目涉及的风险物质主要为成品酒，风险类别均属于“第四部分 易燃液态物质 ”乙醇。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Times New Roman" w:cs="Times New Roman"/>
                <w:b/>
                <w:color w:val="auto"/>
                <w:kern w:val="0"/>
                <w:sz w:val="24"/>
                <w:szCs w:val="24"/>
                <w:highlight w:val="none"/>
                <w:lang w:val="en-US" w:eastAsia="zh-CN" w:bidi="ar-SA"/>
              </w:rPr>
            </w:pPr>
            <w:r>
              <w:rPr>
                <w:rFonts w:hint="eastAsia" w:ascii="Times New Roman" w:hAnsi="Times New Roman" w:eastAsia="Times New Roman" w:cs="Times New Roman"/>
                <w:b/>
                <w:color w:val="auto"/>
                <w:kern w:val="0"/>
                <w:sz w:val="24"/>
                <w:szCs w:val="24"/>
                <w:highlight w:val="none"/>
                <w:lang w:val="en-US" w:eastAsia="zh-CN" w:bidi="ar-SA"/>
              </w:rPr>
              <w:t xml:space="preserve">表 </w:t>
            </w:r>
            <w:r>
              <w:rPr>
                <w:rFonts w:hint="eastAsia" w:eastAsia="Times New Roman" w:cs="Times New Roman"/>
                <w:b/>
                <w:color w:val="auto"/>
                <w:kern w:val="0"/>
                <w:sz w:val="24"/>
                <w:szCs w:val="24"/>
                <w:highlight w:val="none"/>
                <w:lang w:val="en-US" w:eastAsia="zh-CN" w:bidi="ar-SA"/>
              </w:rPr>
              <w:t>4-19</w:t>
            </w:r>
            <w:r>
              <w:rPr>
                <w:rFonts w:hint="eastAsia" w:ascii="Times New Roman" w:hAnsi="Times New Roman" w:eastAsia="Times New Roman" w:cs="Times New Roman"/>
                <w:b/>
                <w:color w:val="auto"/>
                <w:kern w:val="0"/>
                <w:sz w:val="24"/>
                <w:szCs w:val="24"/>
                <w:highlight w:val="none"/>
                <w:lang w:val="en-US" w:eastAsia="zh-CN" w:bidi="ar-SA"/>
              </w:rPr>
              <w:t xml:space="preserve"> 项目危险物质危险特性及分布情况</w:t>
            </w:r>
          </w:p>
          <w:tbl>
            <w:tblPr>
              <w:tblStyle w:val="117"/>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89"/>
              <w:gridCol w:w="339"/>
              <w:gridCol w:w="294"/>
              <w:gridCol w:w="681"/>
              <w:gridCol w:w="383"/>
              <w:gridCol w:w="294"/>
              <w:gridCol w:w="623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序号</w:t>
                  </w:r>
                </w:p>
              </w:tc>
              <w:tc>
                <w:tcPr>
                  <w:tcW w:w="63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危险物质</w:t>
                  </w:r>
                </w:p>
              </w:tc>
              <w:tc>
                <w:tcPr>
                  <w:tcW w:w="6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原辅料最大储存量t</w:t>
                  </w:r>
                </w:p>
              </w:tc>
              <w:tc>
                <w:tcPr>
                  <w:tcW w:w="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风险单元</w:t>
                  </w:r>
                </w:p>
              </w:tc>
              <w:tc>
                <w:tcPr>
                  <w:tcW w:w="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相态</w:t>
                  </w:r>
                </w:p>
              </w:tc>
              <w:tc>
                <w:tcPr>
                  <w:tcW w:w="6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危险特征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cs="Times New Roman"/>
                      <w:color w:val="auto"/>
                      <w:sz w:val="24"/>
                      <w:szCs w:val="22"/>
                      <w:highlight w:val="none"/>
                      <w:lang w:val="en-US" w:eastAsia="zh-CN"/>
                    </w:rPr>
                    <w:t>1</w:t>
                  </w:r>
                </w:p>
              </w:tc>
              <w:tc>
                <w:tcPr>
                  <w:tcW w:w="3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成品酒</w:t>
                  </w:r>
                </w:p>
              </w:tc>
              <w:tc>
                <w:tcPr>
                  <w:tcW w:w="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乙醇</w:t>
                  </w:r>
                </w:p>
              </w:tc>
              <w:tc>
                <w:tcPr>
                  <w:tcW w:w="6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cs="Times New Roman"/>
                      <w:color w:val="auto"/>
                      <w:sz w:val="24"/>
                      <w:szCs w:val="22"/>
                      <w:highlight w:val="none"/>
                      <w:lang w:val="en-US" w:eastAsia="zh-CN"/>
                    </w:rPr>
                    <w:t>15</w:t>
                  </w:r>
                  <w:r>
                    <w:rPr>
                      <w:rFonts w:hint="eastAsia" w:ascii="Times New Roman" w:hAnsi="Times New Roman" w:eastAsia="宋体" w:cs="Times New Roman"/>
                      <w:color w:val="auto"/>
                      <w:sz w:val="24"/>
                      <w:szCs w:val="22"/>
                      <w:highlight w:val="none"/>
                      <w:lang w:val="en-US" w:eastAsia="zh-CN"/>
                    </w:rPr>
                    <w:t>0</w:t>
                  </w:r>
                </w:p>
              </w:tc>
              <w:tc>
                <w:tcPr>
                  <w:tcW w:w="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成品库</w:t>
                  </w:r>
                </w:p>
              </w:tc>
              <w:tc>
                <w:tcPr>
                  <w:tcW w:w="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液态</w:t>
                  </w:r>
                </w:p>
              </w:tc>
              <w:tc>
                <w:tcPr>
                  <w:tcW w:w="6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危险性：乙醇易燃，具刺激性。其蒸气与空气可形成爆炸性混合物，遇明火、高热能引起燃烧爆炸。与氧化剂接触发生化学反应或引起燃烧。在火场中受热的容器有爆炸危险。其蒸气比空气重，能在较低处扩散到相当远的地方，遇火源会着火回燃。健康危害：本品为中枢神经系统抑制剂。首先引起兴奋，随后抑制。急性中毒：急性中毒多发生于口服。一般可分为兴奋、催眠、麻醉、窒息四阶段。患者进入第三或第四阶段，出现意识丧失、瞳孔扩大、呼吸不畅。</w:t>
                  </w:r>
                </w:p>
              </w:tc>
            </w:tr>
          </w:tbl>
          <w:p>
            <w:pPr>
              <w:spacing w:line="360" w:lineRule="auto"/>
              <w:ind w:firstLine="482"/>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根据《建设项目环境风险评价技术导则》（HJ169-2018）及《企业突发环境事件风险分级方法》附录 A“突发环境事件风险物质及临界量清单”对项目涉及的原辅料及产品等进行危险性识别</w:t>
            </w:r>
            <w:r>
              <w:rPr>
                <w:rFonts w:hint="eastAsia" w:cs="Times New Roman"/>
                <w:color w:val="auto"/>
                <w:sz w:val="24"/>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Times New Roman" w:cs="Times New Roman"/>
                <w:b/>
                <w:color w:val="auto"/>
                <w:kern w:val="0"/>
                <w:sz w:val="24"/>
                <w:szCs w:val="24"/>
                <w:highlight w:val="none"/>
                <w:lang w:val="en-US" w:eastAsia="zh-CN" w:bidi="ar-SA"/>
              </w:rPr>
            </w:pPr>
            <w:r>
              <w:rPr>
                <w:rFonts w:hint="eastAsia" w:ascii="Times New Roman" w:hAnsi="Times New Roman" w:eastAsia="Times New Roman" w:cs="Times New Roman"/>
                <w:b/>
                <w:color w:val="auto"/>
                <w:kern w:val="0"/>
                <w:sz w:val="24"/>
                <w:szCs w:val="24"/>
                <w:highlight w:val="none"/>
                <w:lang w:val="en-US" w:eastAsia="zh-CN" w:bidi="ar-SA"/>
              </w:rPr>
              <w:t>表</w:t>
            </w:r>
            <w:r>
              <w:rPr>
                <w:rFonts w:hint="eastAsia" w:eastAsia="Times New Roman" w:cs="Times New Roman"/>
                <w:b/>
                <w:color w:val="auto"/>
                <w:kern w:val="0"/>
                <w:sz w:val="24"/>
                <w:szCs w:val="24"/>
                <w:highlight w:val="none"/>
                <w:lang w:val="en-US" w:eastAsia="zh-CN" w:bidi="ar-SA"/>
              </w:rPr>
              <w:t>4-20</w:t>
            </w:r>
            <w:r>
              <w:rPr>
                <w:rFonts w:hint="eastAsia" w:ascii="Times New Roman" w:hAnsi="Times New Roman" w:eastAsia="Times New Roman" w:cs="Times New Roman"/>
                <w:b/>
                <w:color w:val="auto"/>
                <w:kern w:val="0"/>
                <w:sz w:val="24"/>
                <w:szCs w:val="24"/>
                <w:highlight w:val="none"/>
                <w:lang w:val="en-US" w:eastAsia="zh-CN" w:bidi="ar-SA"/>
              </w:rPr>
              <w:t xml:space="preserve">     危险性识别</w:t>
            </w:r>
          </w:p>
          <w:tbl>
            <w:tblPr>
              <w:tblStyle w:val="117"/>
              <w:tblW w:w="4998" w:type="pct"/>
              <w:tblInd w:w="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14"/>
              <w:gridCol w:w="612"/>
              <w:gridCol w:w="973"/>
              <w:gridCol w:w="1604"/>
              <w:gridCol w:w="2209"/>
              <w:gridCol w:w="1220"/>
              <w:gridCol w:w="98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9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风险物质</w:t>
                  </w:r>
                </w:p>
              </w:tc>
              <w:tc>
                <w:tcPr>
                  <w:tcW w:w="5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CAS号</w:t>
                  </w: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临界量（t）</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最大贮存量（t）</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储存位置</w:t>
                  </w:r>
                </w:p>
              </w:tc>
              <w:tc>
                <w:tcPr>
                  <w:tcW w:w="5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qi/Qi</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成品酒</w:t>
                  </w:r>
                </w:p>
              </w:tc>
              <w:tc>
                <w:tcPr>
                  <w:tcW w:w="3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乙醇</w:t>
                  </w:r>
                </w:p>
              </w:tc>
              <w:tc>
                <w:tcPr>
                  <w:tcW w:w="5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64-17-5</w:t>
                  </w:r>
                </w:p>
              </w:tc>
              <w:tc>
                <w:tcPr>
                  <w:tcW w:w="9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500</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cs="Times New Roman"/>
                      <w:color w:val="auto"/>
                      <w:sz w:val="24"/>
                      <w:szCs w:val="22"/>
                      <w:highlight w:val="none"/>
                      <w:lang w:val="en-US" w:eastAsia="zh-CN"/>
                    </w:rPr>
                    <w:t>15</w:t>
                  </w:r>
                  <w:r>
                    <w:rPr>
                      <w:rFonts w:hint="eastAsia" w:ascii="Times New Roman" w:hAnsi="Times New Roman" w:eastAsia="宋体" w:cs="Times New Roman"/>
                      <w:color w:val="auto"/>
                      <w:sz w:val="24"/>
                      <w:szCs w:val="22"/>
                      <w:highlight w:val="none"/>
                      <w:lang w:val="en-US" w:eastAsia="zh-CN"/>
                    </w:rPr>
                    <w:t>0</w:t>
                  </w:r>
                </w:p>
              </w:tc>
              <w:tc>
                <w:tcPr>
                  <w:tcW w:w="7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成品库</w:t>
                  </w:r>
                </w:p>
              </w:tc>
              <w:tc>
                <w:tcPr>
                  <w:tcW w:w="5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4"/>
                      <w:szCs w:val="22"/>
                      <w:highlight w:val="none"/>
                      <w:lang w:val="en-US" w:eastAsia="zh-CN"/>
                    </w:rPr>
                  </w:pPr>
                  <w:r>
                    <w:rPr>
                      <w:rFonts w:hint="eastAsia" w:cs="Times New Roman"/>
                      <w:color w:val="auto"/>
                      <w:sz w:val="24"/>
                      <w:szCs w:val="22"/>
                      <w:highlight w:val="none"/>
                      <w:lang w:val="en-US" w:eastAsia="zh-CN"/>
                    </w:rPr>
                    <w:t>0.3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419" w:type="pct"/>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合计</w:t>
                  </w:r>
                </w:p>
              </w:tc>
              <w:tc>
                <w:tcPr>
                  <w:tcW w:w="5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0.</w:t>
                  </w:r>
                  <w:r>
                    <w:rPr>
                      <w:rFonts w:hint="eastAsia" w:cs="Times New Roman"/>
                      <w:color w:val="auto"/>
                      <w:sz w:val="24"/>
                      <w:szCs w:val="22"/>
                      <w:highlight w:val="none"/>
                      <w:lang w:val="en-US" w:eastAsia="zh-CN"/>
                    </w:rPr>
                    <w:t>3</w:t>
                  </w:r>
                </w:p>
              </w:tc>
            </w:tr>
          </w:tbl>
          <w:p>
            <w:pPr>
              <w:spacing w:line="360" w:lineRule="auto"/>
              <w:ind w:firstLine="482"/>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根据上表可知，本项目Q值小于1，按照“指南”要求开展本项目的环境风险评价。</w:t>
            </w:r>
          </w:p>
          <w:p>
            <w:pPr>
              <w:spacing w:line="360" w:lineRule="auto"/>
              <w:ind w:firstLine="482"/>
              <w:rPr>
                <w:rFonts w:hint="eastAsia" w:ascii="Times New Roman" w:hAnsi="Times New Roman" w:eastAsia="宋体" w:cs="Times New Roman"/>
                <w:b/>
                <w:bCs/>
                <w:color w:val="auto"/>
                <w:sz w:val="24"/>
                <w:szCs w:val="22"/>
                <w:highlight w:val="none"/>
                <w:lang w:val="en-US" w:eastAsia="zh-CN"/>
              </w:rPr>
            </w:pPr>
            <w:r>
              <w:rPr>
                <w:rFonts w:hint="eastAsia" w:ascii="Times New Roman" w:hAnsi="Times New Roman" w:eastAsia="宋体" w:cs="Times New Roman"/>
                <w:b/>
                <w:bCs/>
                <w:color w:val="auto"/>
                <w:sz w:val="24"/>
                <w:szCs w:val="22"/>
                <w:highlight w:val="none"/>
                <w:lang w:val="en-US" w:eastAsia="zh-CN"/>
              </w:rPr>
              <w:t>2、环境风险识别</w:t>
            </w:r>
          </w:p>
          <w:p>
            <w:pPr>
              <w:spacing w:line="360" w:lineRule="auto"/>
              <w:ind w:firstLine="482"/>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（1）环境风险物质及其分布情况</w:t>
            </w:r>
          </w:p>
          <w:p>
            <w:pPr>
              <w:spacing w:line="360" w:lineRule="auto"/>
              <w:ind w:firstLine="482"/>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本项目涉及的</w:t>
            </w:r>
            <w:r>
              <w:rPr>
                <w:rFonts w:hint="eastAsia" w:cs="Times New Roman"/>
                <w:color w:val="auto"/>
                <w:sz w:val="24"/>
                <w:szCs w:val="22"/>
                <w:highlight w:val="none"/>
                <w:lang w:val="en-US" w:eastAsia="zh-CN"/>
              </w:rPr>
              <w:t>风险</w:t>
            </w:r>
            <w:r>
              <w:rPr>
                <w:rFonts w:hint="eastAsia" w:ascii="Times New Roman" w:hAnsi="Times New Roman" w:eastAsia="宋体" w:cs="Times New Roman"/>
                <w:color w:val="auto"/>
                <w:sz w:val="24"/>
                <w:szCs w:val="22"/>
                <w:highlight w:val="none"/>
                <w:lang w:val="en-US" w:eastAsia="zh-CN"/>
              </w:rPr>
              <w:t>物质主要为成品酒。</w:t>
            </w:r>
          </w:p>
          <w:p>
            <w:pPr>
              <w:spacing w:line="360" w:lineRule="auto"/>
              <w:ind w:firstLine="482"/>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（2）可能影响环境的途径</w:t>
            </w:r>
          </w:p>
          <w:p>
            <w:pPr>
              <w:spacing w:line="360" w:lineRule="auto"/>
              <w:ind w:firstLine="482"/>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本项目环境风险类型为成品酒泄漏，以及成品酒遇明火引发火灾产</w:t>
            </w:r>
            <w:r>
              <w:rPr>
                <w:rFonts w:hint="eastAsia" w:cs="Times New Roman"/>
                <w:color w:val="auto"/>
                <w:sz w:val="24"/>
                <w:szCs w:val="22"/>
                <w:highlight w:val="none"/>
                <w:lang w:val="en-US" w:eastAsia="zh-CN"/>
              </w:rPr>
              <w:t>生的</w:t>
            </w:r>
            <w:r>
              <w:rPr>
                <w:rFonts w:hint="eastAsia" w:ascii="Times New Roman" w:hAnsi="Times New Roman" w:eastAsia="宋体" w:cs="Times New Roman"/>
                <w:color w:val="auto"/>
                <w:sz w:val="24"/>
                <w:szCs w:val="22"/>
                <w:highlight w:val="none"/>
                <w:lang w:val="en-US" w:eastAsia="zh-CN"/>
              </w:rPr>
              <w:t>伴生/次生污染物（烟雾、一氧化碳、有机气体）对周围环境造成污染；成品酒泄漏产生的异味以及发生火灾产生的一氧化碳、氮氧化物对周围大气环境造成污染。</w:t>
            </w:r>
          </w:p>
          <w:p>
            <w:pPr>
              <w:spacing w:line="360" w:lineRule="auto"/>
              <w:ind w:firstLine="482"/>
              <w:rPr>
                <w:rFonts w:hint="eastAsia"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本项目危险物质成品酒暂存在成品库，危险物质可能向环境转移的途径、可能影响的环境敏感目标情况见下表</w:t>
            </w:r>
            <w:r>
              <w:rPr>
                <w:rFonts w:hint="eastAsia" w:cs="Times New Roman"/>
                <w:color w:val="auto"/>
                <w:sz w:val="24"/>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Times New Roman" w:cs="Times New Roman"/>
                <w:b/>
                <w:color w:val="auto"/>
                <w:kern w:val="0"/>
                <w:sz w:val="24"/>
                <w:szCs w:val="24"/>
                <w:highlight w:val="none"/>
                <w:lang w:val="en-US" w:eastAsia="zh-CN" w:bidi="ar-SA"/>
              </w:rPr>
            </w:pPr>
            <w:r>
              <w:rPr>
                <w:rFonts w:hint="eastAsia" w:ascii="Times New Roman" w:hAnsi="Times New Roman" w:eastAsia="Times New Roman" w:cs="Times New Roman"/>
                <w:b/>
                <w:color w:val="auto"/>
                <w:kern w:val="0"/>
                <w:sz w:val="24"/>
                <w:szCs w:val="24"/>
                <w:highlight w:val="none"/>
                <w:lang w:val="en-US" w:eastAsia="zh-CN" w:bidi="ar-SA"/>
              </w:rPr>
              <w:t xml:space="preserve">表 </w:t>
            </w:r>
            <w:r>
              <w:rPr>
                <w:rFonts w:hint="eastAsia" w:eastAsia="Times New Roman" w:cs="Times New Roman"/>
                <w:b/>
                <w:color w:val="auto"/>
                <w:kern w:val="0"/>
                <w:sz w:val="24"/>
                <w:szCs w:val="24"/>
                <w:highlight w:val="none"/>
                <w:lang w:val="en-US" w:eastAsia="zh-CN" w:bidi="ar-SA"/>
              </w:rPr>
              <w:t>4-21</w:t>
            </w:r>
            <w:r>
              <w:rPr>
                <w:rFonts w:hint="eastAsia" w:ascii="Times New Roman" w:hAnsi="Times New Roman" w:eastAsia="Times New Roman" w:cs="Times New Roman"/>
                <w:b/>
                <w:color w:val="auto"/>
                <w:kern w:val="0"/>
                <w:sz w:val="24"/>
                <w:szCs w:val="24"/>
                <w:highlight w:val="none"/>
                <w:lang w:val="en-US" w:eastAsia="zh-CN" w:bidi="ar-SA"/>
              </w:rPr>
              <w:t xml:space="preserve">  本项目风险物质及影响途径表</w:t>
            </w:r>
          </w:p>
          <w:tbl>
            <w:tblPr>
              <w:tblStyle w:val="34"/>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483"/>
              <w:gridCol w:w="483"/>
              <w:gridCol w:w="490"/>
              <w:gridCol w:w="1076"/>
              <w:gridCol w:w="4307"/>
              <w:gridCol w:w="744"/>
              <w:gridCol w:w="4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6"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序号</w:t>
                  </w:r>
                </w:p>
              </w:tc>
              <w:tc>
                <w:tcPr>
                  <w:tcW w:w="283"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pacing w:val="0"/>
                      <w:kern w:val="21"/>
                      <w:position w:val="0"/>
                      <w:sz w:val="21"/>
                      <w:szCs w:val="21"/>
                    </w:rPr>
                  </w:pPr>
                  <w:r>
                    <w:rPr>
                      <w:spacing w:val="0"/>
                      <w:kern w:val="21"/>
                      <w:position w:val="0"/>
                      <w:sz w:val="21"/>
                      <w:szCs w:val="21"/>
                    </w:rPr>
                    <w:t>风险</w:t>
                  </w:r>
                </w:p>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单元</w:t>
                  </w:r>
                </w:p>
              </w:tc>
              <w:tc>
                <w:tcPr>
                  <w:tcW w:w="283"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风险源</w:t>
                  </w:r>
                </w:p>
              </w:tc>
              <w:tc>
                <w:tcPr>
                  <w:tcW w:w="287"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spacing w:val="0"/>
                      <w:kern w:val="21"/>
                      <w:position w:val="0"/>
                      <w:sz w:val="21"/>
                      <w:szCs w:val="21"/>
                    </w:rPr>
                  </w:pPr>
                  <w:r>
                    <w:rPr>
                      <w:spacing w:val="0"/>
                      <w:kern w:val="21"/>
                      <w:position w:val="0"/>
                      <w:sz w:val="21"/>
                      <w:szCs w:val="21"/>
                    </w:rPr>
                    <w:t>主要风</w:t>
                  </w:r>
                </w:p>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险物质</w:t>
                  </w:r>
                </w:p>
              </w:tc>
              <w:tc>
                <w:tcPr>
                  <w:tcW w:w="631"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环境风险类型</w:t>
                  </w:r>
                </w:p>
              </w:tc>
              <w:tc>
                <w:tcPr>
                  <w:tcW w:w="2525"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环境影响途径</w:t>
                  </w:r>
                </w:p>
              </w:tc>
              <w:tc>
                <w:tcPr>
                  <w:tcW w:w="436" w:type="pct"/>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环境要素</w:t>
                  </w:r>
                </w:p>
              </w:tc>
              <w:tc>
                <w:tcPr>
                  <w:tcW w:w="276" w:type="pct"/>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宋体" w:cs="Times New Roman"/>
                      <w:spacing w:val="0"/>
                      <w:kern w:val="21"/>
                      <w:position w:val="0"/>
                      <w:sz w:val="21"/>
                      <w:szCs w:val="21"/>
                      <w:lang w:val="en-US" w:eastAsia="zh-CN" w:bidi="ar-SA"/>
                    </w:rPr>
                  </w:pPr>
                  <w:r>
                    <w:rPr>
                      <w:rFonts w:hint="eastAsia" w:ascii="Times New Roman" w:hAnsi="Times New Roman" w:eastAsia="宋体" w:cs="Times New Roman"/>
                      <w:spacing w:val="0"/>
                      <w:kern w:val="21"/>
                      <w:position w:val="0"/>
                      <w:sz w:val="21"/>
                      <w:szCs w:val="21"/>
                      <w:lang w:val="en-US" w:eastAsia="zh-CN"/>
                    </w:rPr>
                    <w:t>1</w:t>
                  </w:r>
                </w:p>
              </w:tc>
              <w:tc>
                <w:tcPr>
                  <w:tcW w:w="283"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成品库</w:t>
                  </w:r>
                </w:p>
              </w:tc>
              <w:tc>
                <w:tcPr>
                  <w:tcW w:w="283"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成品酒</w:t>
                  </w:r>
                </w:p>
              </w:tc>
              <w:tc>
                <w:tcPr>
                  <w:tcW w:w="287" w:type="pct"/>
                  <w:tcBorders>
                    <w:tl2br w:val="nil"/>
                    <w:tr2bl w:val="nil"/>
                  </w:tcBorders>
                  <w:shd w:val="clear" w:color="auto" w:fill="auto"/>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乙醇</w:t>
                  </w:r>
                </w:p>
              </w:tc>
              <w:tc>
                <w:tcPr>
                  <w:tcW w:w="6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0"/>
                      <w:kern w:val="21"/>
                      <w:position w:val="0"/>
                      <w:sz w:val="21"/>
                      <w:szCs w:val="21"/>
                      <w:highlight w:val="none"/>
                      <w:vertAlign w:val="baseline"/>
                      <w:lang w:val="en-US" w:eastAsia="zh-CN"/>
                    </w:rPr>
                  </w:pPr>
                  <w:r>
                    <w:rPr>
                      <w:rFonts w:hint="eastAsia" w:cs="Times New Roman"/>
                      <w:color w:val="auto"/>
                      <w:spacing w:val="0"/>
                      <w:kern w:val="21"/>
                      <w:position w:val="0"/>
                      <w:sz w:val="21"/>
                      <w:szCs w:val="21"/>
                      <w:highlight w:val="none"/>
                      <w:vertAlign w:val="baseline"/>
                      <w:lang w:val="en-US" w:eastAsia="zh-CN"/>
                    </w:rPr>
                    <w:t>泄漏，以及火灾等引发的伴生/次生污染物排放</w:t>
                  </w:r>
                </w:p>
              </w:tc>
              <w:tc>
                <w:tcPr>
                  <w:tcW w:w="25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pacing w:val="0"/>
                      <w:kern w:val="21"/>
                      <w:position w:val="0"/>
                      <w:sz w:val="21"/>
                      <w:szCs w:val="21"/>
                      <w:highlight w:val="none"/>
                      <w:vertAlign w:val="baseline"/>
                      <w:lang w:val="en-US" w:eastAsia="zh-CN"/>
                    </w:rPr>
                  </w:pPr>
                  <w:r>
                    <w:rPr>
                      <w:rFonts w:hint="eastAsia" w:cs="Times New Roman"/>
                      <w:color w:val="auto"/>
                      <w:spacing w:val="0"/>
                      <w:kern w:val="21"/>
                      <w:position w:val="0"/>
                      <w:sz w:val="21"/>
                      <w:szCs w:val="21"/>
                      <w:highlight w:val="none"/>
                      <w:vertAlign w:val="baseline"/>
                      <w:lang w:val="en-US" w:eastAsia="zh-CN"/>
                    </w:rPr>
                    <w:t>①泄漏事故：生产车间及成品库地面硬化。泄漏后及时清理不会流出室外或下渗，故不会有地表水及地下水危害后果。在露天厂区内进行上述风险物质的搬运、装卸作业时发生泄漏，如处置不及时，可能会有少量进入雨水收集井。故最不利情形也是造成地表水局部的轻微污染，且短时间可恢复，不会造成明显的水生生态危害。②火灾事故：灭火过程中产生的消防废水可能混入风险物质，可能经雨水管网外排，进入雨水受纳的地表水环境，造成地表水污染。</w:t>
                  </w:r>
                </w:p>
              </w:tc>
              <w:tc>
                <w:tcPr>
                  <w:tcW w:w="436" w:type="pct"/>
                  <w:tcBorders>
                    <w:tl2br w:val="nil"/>
                    <w:tr2bl w:val="nil"/>
                  </w:tcBorders>
                  <w:vAlign w:val="center"/>
                </w:tcPr>
                <w:p>
                  <w:pPr>
                    <w:pStyle w:val="116"/>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hAnsi="宋体" w:eastAsia="宋体" w:cs="宋体"/>
                      <w:spacing w:val="0"/>
                      <w:kern w:val="21"/>
                      <w:position w:val="0"/>
                      <w:sz w:val="21"/>
                      <w:szCs w:val="21"/>
                      <w:lang w:val="en-US" w:eastAsia="zh-CN" w:bidi="ar-SA"/>
                    </w:rPr>
                  </w:pPr>
                  <w:r>
                    <w:rPr>
                      <w:spacing w:val="0"/>
                      <w:kern w:val="21"/>
                      <w:position w:val="0"/>
                      <w:sz w:val="21"/>
                      <w:szCs w:val="21"/>
                    </w:rPr>
                    <w:t>大气、地表水</w:t>
                  </w:r>
                </w:p>
              </w:tc>
              <w:tc>
                <w:tcPr>
                  <w:tcW w:w="2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center"/>
                    <w:textAlignment w:val="auto"/>
                    <w:rPr>
                      <w:rFonts w:hint="eastAsia" w:ascii="Times New Roman" w:hAnsi="Times New Roman" w:eastAsia="Times New Roman" w:cs="Times New Roman"/>
                      <w:spacing w:val="0"/>
                      <w:kern w:val="21"/>
                      <w:position w:val="0"/>
                      <w:sz w:val="21"/>
                      <w:szCs w:val="21"/>
                      <w:lang w:val="en-US" w:eastAsia="zh-CN" w:bidi="ar-SA"/>
                    </w:rPr>
                  </w:pPr>
                  <w:r>
                    <w:rPr>
                      <w:rFonts w:ascii="Times New Roman" w:hAnsi="Times New Roman" w:eastAsia="Times New Roman" w:cs="Times New Roman"/>
                      <w:spacing w:val="0"/>
                      <w:kern w:val="21"/>
                      <w:position w:val="0"/>
                      <w:sz w:val="21"/>
                      <w:szCs w:val="21"/>
                    </w:rPr>
                    <w:t>/</w:t>
                  </w:r>
                </w:p>
              </w:tc>
            </w:tr>
          </w:tbl>
          <w:p>
            <w:pPr>
              <w:spacing w:line="360" w:lineRule="auto"/>
              <w:ind w:firstLine="482"/>
              <w:rPr>
                <w:rFonts w:hint="eastAsia" w:ascii="Times New Roman" w:hAnsi="Times New Roman" w:eastAsia="宋体" w:cs="Times New Roman"/>
                <w:b/>
                <w:bCs/>
                <w:color w:val="auto"/>
                <w:sz w:val="24"/>
                <w:szCs w:val="22"/>
                <w:highlight w:val="none"/>
                <w:lang w:val="en-US" w:eastAsia="zh-CN"/>
              </w:rPr>
            </w:pPr>
            <w:r>
              <w:rPr>
                <w:rFonts w:hint="eastAsia" w:ascii="Times New Roman" w:hAnsi="Times New Roman" w:eastAsia="宋体" w:cs="Times New Roman"/>
                <w:b/>
                <w:bCs/>
                <w:color w:val="auto"/>
                <w:sz w:val="24"/>
                <w:szCs w:val="22"/>
                <w:highlight w:val="none"/>
                <w:lang w:val="en-US" w:eastAsia="zh-CN"/>
              </w:rPr>
              <w:t>3、环境风险防范、应急处理措施</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（1）环境风险防范措施</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①总平面布置根据功能分区布置。各功能区之间设有通道，有利于安全疏散和消防。厂区总平面布置须符合防范事故要求，有应急救援设施及救援通道、应急疏散及避难所。</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②厂区内及附近严禁烟火，设置明显的（严禁烟火）警戒板。厂区内及附近配备移动式灭火设备，按照《建筑灭火器配置设计规范》（GB50140-2005），配置一定数量不同类型、不同规格的移动式灭火器材，以便及时扑救初始零星火灾。厂区及原料区内应设置消防沙、铁锨、包装桶等收集工具，设置灭火器等灭火工具。便于发生突发环境事故时应急处理。</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③加强液体类原辅料的管理。液体类原辅料容器应整齐存放，容器下应设置泄漏收集托盘，在场区内主要污染源处，设置液体收集装置，并在厂房门口等处设置慢坡，防止泄漏液体通过漫流流出场区，进入地下水；制定好液体类原辅料容器意外倾倒、泄漏的应急处理措施，避免意外事故发生，做到发生事故及时处理，避免带进水体中。</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④建立健全并严格执行各试剂安全贮存、使用的各项规章制度和规程，加强日常的安全检查。建立危险物质定期汇总登记制度，登记汇总的危险物质种类和数量存档、备查。科学管理，应根据危险物质性能，分区、分类存放，各类危险物质不得与禁忌物料混合存放。</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⑤厂区内严禁吸烟，物料运输储存应严格遵守操作规程。厂区内必须配备常用医疗急救用品等。</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⑥当泄漏事故或火灾等发生时，应立即启动应急预案，估算泄漏量，一旦发现有污染物疑似进入地下水，应及时探明土壤和地下水污染深度、范围和污染程度，必要时进行修复。</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⑦定期进行安全环保宣传教育以及紧急事故模拟演习，提高事故应变能力。</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（2）环境风险应急措施</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①泄漏环境事故</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迅速撤离泄漏污染区人员至安全区，禁止无关人员进入污染区，并进行隔离，严格限制出入。现场人员佩戴口罩和手套，做好个人防护，迅速将包装袋倾斜，使破损处朝上，</w:t>
            </w:r>
            <w:r>
              <w:rPr>
                <w:rFonts w:hint="eastAsia" w:cs="Times New Roman"/>
                <w:b w:val="0"/>
                <w:bCs w:val="0"/>
                <w:sz w:val="24"/>
                <w:szCs w:val="24"/>
                <w:highlight w:val="none"/>
                <w:lang w:val="en-US" w:eastAsia="zh-CN"/>
              </w:rPr>
              <w:t>防止</w:t>
            </w:r>
            <w:r>
              <w:rPr>
                <w:rFonts w:hint="eastAsia" w:eastAsia="宋体" w:cs="Times New Roman"/>
                <w:b w:val="0"/>
                <w:bCs w:val="0"/>
                <w:sz w:val="24"/>
                <w:szCs w:val="24"/>
                <w:highlight w:val="none"/>
                <w:lang w:val="en-US" w:eastAsia="zh-CN"/>
              </w:rPr>
              <w:t>继续泄露，然后将其转移至完好的新包装袋内，对已经泄露的用清扫工具收集并妥善处理。</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风险物质包装破裂发生撒落时，及时收集废弃物委托专业机构处置，不能随意放置在一般固废或生活垃圾暂存区，避免带进水体中，污染水生生物。</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②火灾环境事故</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迅速撤离泄漏污染区人员至安全区，禁止无关人员进入污染区，并进行隔离，严格限制出入。由于物料存储量少，可使用干粉灭火器或泡沫灭火器从源头灭火，消防水起到间接冷却的作用。火灾发生后需要及时设置临时围堰，建设单位在仓库周围准备应急用沙土及相应器械，可用于防汛、火灾及化学品泄漏紧急情况的应急响应。在事故结束后，委托有资质单位对暂存的消防废水水质进行检测，若水质满足排放标准限值，用水泵及管道抽吸至转运桶内排放至污水管道排放至污水处理厂处理；若水质不能满足排放要求，将消防废水进入污水处理站处理达标排入管网或委托有资质单位处理。</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综上，本项目突发环境事件在严格采取事故防范、应急处理措施，环境风险控制在可接受范围内。</w:t>
            </w:r>
          </w:p>
          <w:p>
            <w:pPr>
              <w:pageBreakBefore w:val="0"/>
              <w:kinsoku/>
              <w:wordWrap/>
              <w:overflowPunct/>
              <w:topLinePunct w:val="0"/>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2"/>
                <w:highlight w:val="none"/>
                <w:lang w:val="en-US" w:eastAsia="zh-CN"/>
              </w:rPr>
            </w:pPr>
            <w:r>
              <w:rPr>
                <w:rFonts w:hint="eastAsia" w:ascii="Times New Roman" w:hAnsi="Times New Roman" w:eastAsia="宋体" w:cs="Times New Roman"/>
                <w:b/>
                <w:bCs/>
                <w:color w:val="auto"/>
                <w:sz w:val="24"/>
                <w:szCs w:val="22"/>
                <w:highlight w:val="none"/>
                <w:lang w:val="en-US" w:eastAsia="zh-CN"/>
              </w:rPr>
              <w:t>4、应急预案</w:t>
            </w:r>
          </w:p>
          <w:p>
            <w:pPr>
              <w:keepNext/>
              <w:keepLines/>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eastAsia="宋体" w:cs="Times New Roman"/>
                <w:b w:val="0"/>
                <w:bCs w:val="0"/>
                <w:sz w:val="24"/>
                <w:szCs w:val="24"/>
                <w:highlight w:val="none"/>
                <w:lang w:val="en-US" w:eastAsia="zh-CN"/>
              </w:rPr>
            </w:pPr>
            <w:r>
              <w:rPr>
                <w:rFonts w:hint="eastAsia" w:eastAsia="宋体" w:cs="Times New Roman"/>
                <w:b w:val="0"/>
                <w:bCs w:val="0"/>
                <w:sz w:val="24"/>
                <w:szCs w:val="24"/>
                <w:highlight w:val="none"/>
                <w:lang w:val="en-US" w:eastAsia="zh-CN"/>
              </w:rPr>
              <w:t>根据环保部《突发环境事件应急管理办法》（环境保护部令第34号）、《企业事业单位突发环境事件应急预案备案管理办法（试行）》（环发</w:t>
            </w:r>
            <w:r>
              <w:rPr>
                <w:rFonts w:hint="eastAsia" w:cs="Times New Roman"/>
                <w:b w:val="0"/>
                <w:bCs w:val="0"/>
                <w:sz w:val="24"/>
                <w:szCs w:val="24"/>
                <w:highlight w:val="none"/>
                <w:lang w:val="en-US" w:eastAsia="zh-CN"/>
              </w:rPr>
              <w:t>〔2015〕4号</w:t>
            </w:r>
            <w:r>
              <w:rPr>
                <w:rFonts w:hint="eastAsia" w:eastAsia="宋体" w:cs="Times New Roman"/>
                <w:b w:val="0"/>
                <w:bCs w:val="0"/>
                <w:sz w:val="24"/>
                <w:szCs w:val="24"/>
                <w:highlight w:val="none"/>
                <w:lang w:val="en-US" w:eastAsia="zh-CN"/>
              </w:rPr>
              <w:t>）、环保部《关于进一步加强环境影响评价管理防范环境风险的通知》（环发</w:t>
            </w:r>
            <w:r>
              <w:rPr>
                <w:rFonts w:hint="eastAsia" w:cs="Times New Roman"/>
                <w:b w:val="0"/>
                <w:bCs w:val="0"/>
                <w:sz w:val="24"/>
                <w:szCs w:val="24"/>
                <w:highlight w:val="none"/>
                <w:lang w:val="en-US" w:eastAsia="zh-CN"/>
              </w:rPr>
              <w:t>〔2012〕77号</w:t>
            </w:r>
            <w:r>
              <w:rPr>
                <w:rFonts w:hint="eastAsia" w:eastAsia="宋体" w:cs="Times New Roman"/>
                <w:b w:val="0"/>
                <w:bCs w:val="0"/>
                <w:sz w:val="24"/>
                <w:szCs w:val="24"/>
                <w:highlight w:val="none"/>
                <w:lang w:val="en-US" w:eastAsia="zh-CN"/>
              </w:rPr>
              <w:t>）、《企业突发环境事件风险分级方法》（HJ941-2018）等的规定和要求，建议企业投产前编制突发环境事件应急预案向企业所在地生态环境保护主管部门备案，同时注意编制的应急预案应与沿线各区域、各相关企业应急系统衔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b/>
                <w:bCs/>
                <w:sz w:val="24"/>
                <w:szCs w:val="24"/>
                <w:highlight w:val="none"/>
                <w:lang w:eastAsia="zh-CN"/>
              </w:rPr>
            </w:pPr>
            <w:r>
              <w:rPr>
                <w:rFonts w:hint="eastAsia" w:cs="Times New Roman"/>
                <w:b/>
                <w:bCs/>
                <w:sz w:val="24"/>
                <w:szCs w:val="24"/>
                <w:highlight w:val="none"/>
                <w:lang w:val="en-US" w:eastAsia="zh-CN"/>
              </w:rPr>
              <w:t>七</w:t>
            </w:r>
            <w:r>
              <w:rPr>
                <w:rFonts w:hint="eastAsia" w:eastAsia="宋体"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eastAsia="zh-CN"/>
              </w:rPr>
              <w:t>环保投资</w:t>
            </w:r>
          </w:p>
          <w:p>
            <w:pPr>
              <w:spacing w:line="360" w:lineRule="auto"/>
              <w:ind w:firstLine="480" w:firstLineChars="200"/>
              <w:rPr>
                <w:rFonts w:hint="eastAsia" w:eastAsia="宋体" w:cs="Times New Roman"/>
                <w:sz w:val="24"/>
                <w:szCs w:val="24"/>
                <w:highlight w:val="none"/>
                <w:lang w:val="en-US" w:eastAsia="zh-CN"/>
              </w:rPr>
            </w:pPr>
            <w:r>
              <w:rPr>
                <w:rFonts w:hint="default" w:ascii="Times New Roman" w:hAnsi="Times New Roman" w:eastAsia="宋体" w:cs="Times New Roman"/>
                <w:sz w:val="24"/>
                <w:szCs w:val="24"/>
                <w:highlight w:val="none"/>
              </w:rPr>
              <w:t>本项目总投资</w:t>
            </w:r>
            <w:r>
              <w:rPr>
                <w:rFonts w:hint="eastAsia" w:eastAsia="宋体" w:cs="Times New Roman"/>
                <w:sz w:val="24"/>
                <w:szCs w:val="24"/>
                <w:highlight w:val="none"/>
                <w:lang w:val="en-US" w:eastAsia="zh-CN"/>
              </w:rPr>
              <w:t>2618</w:t>
            </w:r>
            <w:r>
              <w:rPr>
                <w:rFonts w:hint="default" w:ascii="Times New Roman" w:hAnsi="Times New Roman" w:eastAsia="宋体" w:cs="Times New Roman"/>
                <w:sz w:val="24"/>
                <w:szCs w:val="24"/>
                <w:highlight w:val="none"/>
              </w:rPr>
              <w:t>万元，其中</w:t>
            </w:r>
            <w:r>
              <w:rPr>
                <w:rFonts w:hint="eastAsia" w:cs="Times New Roman"/>
                <w:sz w:val="24"/>
                <w:szCs w:val="24"/>
                <w:highlight w:val="none"/>
                <w:lang w:val="en-US" w:eastAsia="zh-CN"/>
              </w:rPr>
              <w:t>环</w:t>
            </w:r>
            <w:r>
              <w:rPr>
                <w:rFonts w:hint="default" w:ascii="Times New Roman" w:hAnsi="Times New Roman" w:eastAsia="宋体" w:cs="Times New Roman"/>
                <w:sz w:val="24"/>
                <w:szCs w:val="24"/>
                <w:highlight w:val="none"/>
              </w:rPr>
              <w:t>保投资为</w:t>
            </w:r>
            <w:r>
              <w:rPr>
                <w:rFonts w:hint="eastAsia" w:cs="Times New Roman"/>
                <w:sz w:val="24"/>
                <w:szCs w:val="24"/>
                <w:highlight w:val="none"/>
                <w:lang w:val="en-US" w:eastAsia="zh-CN"/>
              </w:rPr>
              <w:t>21.5</w:t>
            </w:r>
            <w:r>
              <w:rPr>
                <w:rFonts w:hint="default" w:ascii="Times New Roman" w:hAnsi="Times New Roman" w:eastAsia="宋体" w:cs="Times New Roman"/>
                <w:sz w:val="24"/>
                <w:szCs w:val="24"/>
                <w:highlight w:val="none"/>
              </w:rPr>
              <w:t>万元，占总投资的</w:t>
            </w:r>
            <w:r>
              <w:rPr>
                <w:rFonts w:hint="eastAsia" w:cs="Times New Roman"/>
                <w:sz w:val="24"/>
                <w:szCs w:val="24"/>
                <w:highlight w:val="none"/>
                <w:lang w:val="en-US" w:eastAsia="zh-CN"/>
              </w:rPr>
              <w:t>0.82</w:t>
            </w:r>
            <w:r>
              <w:rPr>
                <w:rFonts w:hint="default" w:ascii="Times New Roman" w:hAnsi="Times New Roman" w:eastAsia="宋体" w:cs="Times New Roman"/>
                <w:sz w:val="24"/>
                <w:szCs w:val="24"/>
                <w:highlight w:val="none"/>
              </w:rPr>
              <w:t>%。环保投资一览表见表</w:t>
            </w:r>
            <w:r>
              <w:rPr>
                <w:rFonts w:hint="default" w:ascii="Times New Roman" w:hAnsi="Times New Roman" w:eastAsia="宋体" w:cs="Times New Roman"/>
                <w:sz w:val="24"/>
                <w:szCs w:val="24"/>
                <w:highlight w:val="none"/>
                <w:lang w:val="en-US" w:eastAsia="zh-CN"/>
              </w:rPr>
              <w:t>4-</w:t>
            </w:r>
            <w:r>
              <w:rPr>
                <w:rFonts w:hint="eastAsia" w:eastAsia="宋体" w:cs="Times New Roman"/>
                <w:sz w:val="24"/>
                <w:szCs w:val="24"/>
                <w:highlight w:val="none"/>
                <w:lang w:val="en-US" w:eastAsia="zh-CN"/>
              </w:rPr>
              <w:t>2</w:t>
            </w:r>
            <w:r>
              <w:rPr>
                <w:rFonts w:hint="eastAsia" w:cs="Times New Roman"/>
                <w:sz w:val="24"/>
                <w:szCs w:val="24"/>
                <w:highlight w:val="none"/>
                <w:lang w:val="en-US" w:eastAsia="zh-CN"/>
              </w:rPr>
              <w:t>2</w:t>
            </w:r>
            <w:r>
              <w:rPr>
                <w:rFonts w:hint="default" w:ascii="Times New Roman" w:hAnsi="Times New Roman" w:eastAsia="宋体" w:cs="Times New Roman"/>
                <w:sz w:val="24"/>
                <w:szCs w:val="24"/>
                <w:highlight w:val="none"/>
              </w:rPr>
              <w:t>。</w:t>
            </w:r>
          </w:p>
          <w:p>
            <w:pPr>
              <w:spacing w:line="240" w:lineRule="auto"/>
              <w:jc w:val="center"/>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表4-</w:t>
            </w:r>
            <w:r>
              <w:rPr>
                <w:rFonts w:hint="eastAsia" w:ascii="Times New Roman" w:hAnsi="Times New Roman" w:eastAsia="宋体" w:cs="Times New Roman"/>
                <w:b/>
                <w:bCs/>
                <w:sz w:val="24"/>
                <w:szCs w:val="24"/>
                <w:highlight w:val="none"/>
                <w:lang w:val="en-US" w:eastAsia="zh-CN"/>
              </w:rPr>
              <w:t>2</w:t>
            </w:r>
            <w:r>
              <w:rPr>
                <w:rFonts w:hint="eastAsia" w:cs="Times New Roman"/>
                <w:b/>
                <w:bCs/>
                <w:sz w:val="24"/>
                <w:szCs w:val="24"/>
                <w:highlight w:val="none"/>
                <w:lang w:val="en-US" w:eastAsia="zh-CN"/>
              </w:rPr>
              <w:t>2</w:t>
            </w:r>
            <w:r>
              <w:rPr>
                <w:rFonts w:hint="eastAsia" w:eastAsia="宋体" w:cs="Times New Roman"/>
                <w:b/>
                <w:bCs/>
                <w:sz w:val="24"/>
                <w:szCs w:val="24"/>
                <w:highlight w:val="none"/>
                <w:lang w:val="en-US" w:eastAsia="zh-CN"/>
              </w:rPr>
              <w:t xml:space="preserve">                     </w:t>
            </w:r>
            <w:r>
              <w:rPr>
                <w:rFonts w:hint="default" w:ascii="Times New Roman" w:hAnsi="Times New Roman" w:eastAsia="宋体" w:cs="Times New Roman"/>
                <w:b/>
                <w:bCs/>
                <w:sz w:val="24"/>
                <w:szCs w:val="24"/>
                <w:highlight w:val="none"/>
                <w:lang w:val="en-US" w:eastAsia="zh-CN"/>
              </w:rPr>
              <w:t xml:space="preserve"> 环保投资一览表</w:t>
            </w:r>
            <w:r>
              <w:rPr>
                <w:rFonts w:hint="eastAsia" w:ascii="Times New Roman" w:hAnsi="Times New Roman" w:eastAsia="宋体" w:cs="Times New Roman"/>
                <w:b/>
                <w:bCs/>
                <w:sz w:val="24"/>
                <w:szCs w:val="24"/>
                <w:highlight w:val="none"/>
                <w:lang w:val="en-US" w:eastAsia="zh-CN"/>
              </w:rPr>
              <w:t xml:space="preserve">   </w:t>
            </w:r>
            <w:r>
              <w:rPr>
                <w:rFonts w:hint="eastAsia" w:eastAsia="宋体" w:cs="Times New Roman"/>
                <w:b/>
                <w:bCs/>
                <w:sz w:val="24"/>
                <w:szCs w:val="24"/>
                <w:highlight w:val="none"/>
                <w:lang w:val="en-US" w:eastAsia="zh-CN"/>
              </w:rPr>
              <w:t xml:space="preserve">         </w:t>
            </w:r>
            <w:r>
              <w:rPr>
                <w:rFonts w:hint="eastAsia" w:ascii="Times New Roman" w:hAnsi="Times New Roman" w:eastAsia="宋体" w:cs="Times New Roman"/>
                <w:b/>
                <w:bCs/>
                <w:sz w:val="24"/>
                <w:szCs w:val="24"/>
                <w:highlight w:val="none"/>
                <w:lang w:val="en-US" w:eastAsia="zh-CN"/>
              </w:rPr>
              <w:t xml:space="preserve"> 单位：万元</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813"/>
              <w:gridCol w:w="1722"/>
              <w:gridCol w:w="4691"/>
              <w:gridCol w:w="6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86" w:type="pct"/>
                  <w:gridSpan w:val="3"/>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项目</w:t>
                  </w:r>
                </w:p>
              </w:tc>
              <w:tc>
                <w:tcPr>
                  <w:tcW w:w="2751"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内容</w:t>
                  </w:r>
                </w:p>
              </w:tc>
              <w:tc>
                <w:tcPr>
                  <w:tcW w:w="362"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投资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restart"/>
                  <w:tcBorders>
                    <w:tl2br w:val="nil"/>
                    <w:tr2bl w:val="nil"/>
                  </w:tcBorders>
                  <w:noWrap w:val="0"/>
                  <w:vAlign w:val="center"/>
                </w:tcPr>
                <w:p>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施工期</w:t>
                  </w:r>
                </w:p>
              </w:tc>
              <w:tc>
                <w:tcPr>
                  <w:tcW w:w="1486" w:type="pct"/>
                  <w:gridSpan w:val="2"/>
                  <w:tcBorders>
                    <w:tl2br w:val="nil"/>
                    <w:tr2bl w:val="nil"/>
                  </w:tcBorders>
                  <w:noWrap w:val="0"/>
                  <w:vAlign w:val="center"/>
                </w:tcPr>
                <w:p>
                  <w:pPr>
                    <w:spacing w:line="240" w:lineRule="auto"/>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废气治理</w:t>
                  </w:r>
                </w:p>
              </w:tc>
              <w:tc>
                <w:tcPr>
                  <w:tcW w:w="2751" w:type="pct"/>
                  <w:tcBorders>
                    <w:tl2br w:val="nil"/>
                    <w:tr2bl w:val="nil"/>
                  </w:tcBorders>
                  <w:noWrap w:val="0"/>
                  <w:vAlign w:val="center"/>
                </w:tcPr>
                <w:p>
                  <w:pPr>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围挡、洒水</w:t>
                  </w:r>
                </w:p>
              </w:tc>
              <w:tc>
                <w:tcPr>
                  <w:tcW w:w="362" w:type="pct"/>
                  <w:tcBorders>
                    <w:tl2br w:val="nil"/>
                    <w:tr2bl w:val="nil"/>
                  </w:tcBorders>
                  <w:noWrap w:val="0"/>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86" w:type="pct"/>
                  <w:gridSpan w:val="2"/>
                  <w:tcBorders>
                    <w:tl2br w:val="nil"/>
                    <w:tr2bl w:val="nil"/>
                  </w:tcBorders>
                  <w:noWrap w:val="0"/>
                  <w:vAlign w:val="center"/>
                </w:tcPr>
                <w:p>
                  <w:pPr>
                    <w:spacing w:line="240" w:lineRule="auto"/>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废水治理</w:t>
                  </w:r>
                </w:p>
              </w:tc>
              <w:tc>
                <w:tcPr>
                  <w:tcW w:w="2751" w:type="pct"/>
                  <w:tcBorders>
                    <w:tl2br w:val="nil"/>
                    <w:tr2bl w:val="nil"/>
                  </w:tcBorders>
                  <w:noWrap w:val="0"/>
                  <w:vAlign w:val="center"/>
                </w:tcPr>
                <w:p>
                  <w:pPr>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沉淀池、环保水冲厕</w:t>
                  </w:r>
                </w:p>
              </w:tc>
              <w:tc>
                <w:tcPr>
                  <w:tcW w:w="362" w:type="pct"/>
                  <w:tcBorders>
                    <w:tl2br w:val="nil"/>
                    <w:tr2bl w:val="nil"/>
                  </w:tcBorders>
                  <w:noWrap w:val="0"/>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86" w:type="pct"/>
                  <w:gridSpan w:val="2"/>
                  <w:tcBorders>
                    <w:tl2br w:val="nil"/>
                    <w:tr2bl w:val="nil"/>
                  </w:tcBorders>
                  <w:noWrap w:val="0"/>
                  <w:vAlign w:val="center"/>
                </w:tcPr>
                <w:p>
                  <w:pPr>
                    <w:spacing w:line="240" w:lineRule="auto"/>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固废治理</w:t>
                  </w:r>
                </w:p>
              </w:tc>
              <w:tc>
                <w:tcPr>
                  <w:tcW w:w="2751" w:type="pct"/>
                  <w:tcBorders>
                    <w:tl2br w:val="nil"/>
                    <w:tr2bl w:val="nil"/>
                  </w:tcBorders>
                  <w:noWrap w:val="0"/>
                  <w:vAlign w:val="center"/>
                </w:tcPr>
                <w:p>
                  <w:pPr>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建筑垃圾清运</w:t>
                  </w:r>
                </w:p>
              </w:tc>
              <w:tc>
                <w:tcPr>
                  <w:tcW w:w="362" w:type="pct"/>
                  <w:tcBorders>
                    <w:tl2br w:val="nil"/>
                    <w:tr2bl w:val="nil"/>
                  </w:tcBorders>
                  <w:noWrap w:val="0"/>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运营期</w:t>
                  </w:r>
                </w:p>
              </w:tc>
              <w:tc>
                <w:tcPr>
                  <w:tcW w:w="477"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废气处理</w:t>
                  </w:r>
                </w:p>
              </w:tc>
              <w:tc>
                <w:tcPr>
                  <w:tcW w:w="1009"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锅炉废气</w:t>
                  </w:r>
                </w:p>
              </w:tc>
              <w:tc>
                <w:tcPr>
                  <w:tcW w:w="2751" w:type="pct"/>
                  <w:tcBorders>
                    <w:tl2br w:val="nil"/>
                    <w:tr2bl w:val="nil"/>
                  </w:tcBorders>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低氮燃烧器+8m排气筒</w:t>
                  </w:r>
                </w:p>
              </w:tc>
              <w:tc>
                <w:tcPr>
                  <w:tcW w:w="362"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7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09"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污水处理站</w:t>
                  </w:r>
                  <w:r>
                    <w:rPr>
                      <w:rFonts w:hint="eastAsia" w:eastAsia="宋体" w:cs="Times New Roman"/>
                      <w:color w:val="000000" w:themeColor="text1"/>
                      <w:sz w:val="21"/>
                      <w:szCs w:val="21"/>
                      <w:highlight w:val="none"/>
                      <w:lang w:val="en-US" w:eastAsia="zh-CN"/>
                      <w14:textFill>
                        <w14:solidFill>
                          <w14:schemeClr w14:val="tx1"/>
                        </w14:solidFill>
                      </w14:textFill>
                    </w:rPr>
                    <w:t>废气</w:t>
                  </w:r>
                </w:p>
              </w:tc>
              <w:tc>
                <w:tcPr>
                  <w:tcW w:w="2751" w:type="pct"/>
                  <w:tcBorders>
                    <w:tl2br w:val="nil"/>
                    <w:tr2bl w:val="nil"/>
                  </w:tcBorders>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加盖密闭，定期投撒除臭剂</w:t>
                  </w:r>
                </w:p>
              </w:tc>
              <w:tc>
                <w:tcPr>
                  <w:tcW w:w="362"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7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09" w:type="pct"/>
                  <w:tcBorders>
                    <w:tl2br w:val="nil"/>
                    <w:tr2bl w:val="nil"/>
                  </w:tcBorders>
                  <w:noWrap w:val="0"/>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酒糟废气</w:t>
                  </w:r>
                </w:p>
              </w:tc>
              <w:tc>
                <w:tcPr>
                  <w:tcW w:w="2751" w:type="pct"/>
                  <w:tcBorders>
                    <w:tl2br w:val="nil"/>
                    <w:tr2bl w:val="nil"/>
                  </w:tcBorders>
                  <w:noWrap w:val="0"/>
                  <w:vAlign w:val="center"/>
                </w:tcPr>
                <w:p>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防尘网苫盖、定期喷洒生物除臭剂</w:t>
                  </w:r>
                </w:p>
              </w:tc>
              <w:tc>
                <w:tcPr>
                  <w:tcW w:w="362" w:type="pct"/>
                  <w:tcBorders>
                    <w:tl2br w:val="nil"/>
                    <w:tr2bl w:val="nil"/>
                  </w:tcBorders>
                  <w:noWrap w:val="0"/>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eastAsia" w:eastAsia="宋体" w:cs="Times New Roman"/>
                      <w:color w:val="000000" w:themeColor="text1"/>
                      <w:sz w:val="21"/>
                      <w:szCs w:val="21"/>
                      <w:highlight w:val="none"/>
                      <w:lang w:val="en-US" w:eastAsia="zh-CN"/>
                      <w14:textFill>
                        <w14:solidFill>
                          <w14:schemeClr w14:val="tx1"/>
                        </w14:solidFill>
                      </w14:textFill>
                    </w:rPr>
                  </w:pPr>
                </w:p>
              </w:tc>
              <w:tc>
                <w:tcPr>
                  <w:tcW w:w="477" w:type="pct"/>
                  <w:vMerge w:val="restart"/>
                  <w:tcBorders>
                    <w:tl2br w:val="nil"/>
                    <w:tr2bl w:val="nil"/>
                  </w:tcBorders>
                  <w:noWrap w:val="0"/>
                  <w:vAlign w:val="center"/>
                </w:tcPr>
                <w:p>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废水治理</w:t>
                  </w:r>
                </w:p>
              </w:tc>
              <w:tc>
                <w:tcPr>
                  <w:tcW w:w="1009"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锅底水</w:t>
                  </w:r>
                </w:p>
              </w:tc>
              <w:tc>
                <w:tcPr>
                  <w:tcW w:w="2751" w:type="pct"/>
                  <w:vMerge w:val="restart"/>
                  <w:tcBorders>
                    <w:tl2br w:val="nil"/>
                    <w:tr2bl w:val="nil"/>
                  </w:tcBorders>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进入厂区污水处理站，处理规模</w:t>
                  </w:r>
                  <w:r>
                    <w:rPr>
                      <w:rFonts w:hint="eastAsia" w:cs="Times New Roman"/>
                      <w:color w:val="000000" w:themeColor="text1"/>
                      <w:sz w:val="21"/>
                      <w:szCs w:val="21"/>
                      <w:highlight w:val="none"/>
                      <w:lang w:val="en-US" w:eastAsia="zh-CN"/>
                      <w14:textFill>
                        <w14:solidFill>
                          <w14:schemeClr w14:val="tx1"/>
                        </w14:solidFill>
                      </w14:textFill>
                    </w:rPr>
                    <w:t>8</w:t>
                  </w:r>
                  <w:r>
                    <w:rPr>
                      <w:rFonts w:hint="eastAsia" w:eastAsia="宋体" w:cs="Times New Roman"/>
                      <w:color w:val="000000" w:themeColor="text1"/>
                      <w:sz w:val="21"/>
                      <w:szCs w:val="21"/>
                      <w:highlight w:val="none"/>
                      <w:lang w:val="en-US" w:eastAsia="zh-CN"/>
                      <w14:textFill>
                        <w14:solidFill>
                          <w14:schemeClr w14:val="tx1"/>
                        </w14:solidFill>
                      </w14:textFill>
                    </w:rPr>
                    <w:t>m</w:t>
                  </w:r>
                  <w:r>
                    <w:rPr>
                      <w:rFonts w:hint="eastAsia" w:eastAsia="宋体" w:cs="Times New Roman"/>
                      <w:color w:val="000000" w:themeColor="text1"/>
                      <w:sz w:val="21"/>
                      <w:szCs w:val="21"/>
                      <w:highlight w:val="none"/>
                      <w:vertAlign w:val="superscript"/>
                      <w:lang w:val="en-US" w:eastAsia="zh-CN"/>
                      <w14:textFill>
                        <w14:solidFill>
                          <w14:schemeClr w14:val="tx1"/>
                        </w14:solidFill>
                      </w14:textFill>
                    </w:rPr>
                    <w:t>3</w:t>
                  </w:r>
                  <w:r>
                    <w:rPr>
                      <w:rFonts w:hint="eastAsia" w:eastAsia="宋体" w:cs="Times New Roman"/>
                      <w:color w:val="000000" w:themeColor="text1"/>
                      <w:sz w:val="21"/>
                      <w:szCs w:val="21"/>
                      <w:highlight w:val="none"/>
                      <w:lang w:val="en-US" w:eastAsia="zh-CN"/>
                      <w14:textFill>
                        <w14:solidFill>
                          <w14:schemeClr w14:val="tx1"/>
                        </w14:solidFill>
                      </w14:textFill>
                    </w:rPr>
                    <w:t>/d，处理工艺：</w:t>
                  </w:r>
                  <w:r>
                    <w:rPr>
                      <w:rFonts w:hint="eastAsia" w:cs="Times New Roman"/>
                      <w:color w:val="000000" w:themeColor="text1"/>
                      <w:sz w:val="21"/>
                      <w:szCs w:val="21"/>
                      <w:highlight w:val="none"/>
                      <w:lang w:val="en-US" w:eastAsia="zh-CN"/>
                      <w14:textFill>
                        <w14:solidFill>
                          <w14:schemeClr w14:val="tx1"/>
                        </w14:solidFill>
                      </w14:textFill>
                    </w:rPr>
                    <w:t>格栅+调节池+气浮+UASB+AO</w:t>
                  </w:r>
                </w:p>
              </w:tc>
              <w:tc>
                <w:tcPr>
                  <w:tcW w:w="362"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7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09"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浓水</w:t>
                  </w:r>
                </w:p>
              </w:tc>
              <w:tc>
                <w:tcPr>
                  <w:tcW w:w="2751" w:type="pct"/>
                  <w:vMerge w:val="continue"/>
                  <w:tcBorders>
                    <w:tl2br w:val="nil"/>
                    <w:tr2bl w:val="nil"/>
                  </w:tcBorders>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62" w:type="pct"/>
                  <w:vMerge w:val="continue"/>
                  <w:tcBorders>
                    <w:tl2br w:val="nil"/>
                    <w:tr2bl w:val="nil"/>
                  </w:tcBorders>
                  <w:noWrap w:val="0"/>
                  <w:vAlign w:val="center"/>
                </w:tcPr>
                <w:p>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7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09" w:type="pct"/>
                  <w:tcBorders>
                    <w:tl2br w:val="nil"/>
                    <w:tr2bl w:val="nil"/>
                  </w:tcBorders>
                  <w:noWrap w:val="0"/>
                  <w:vAlign w:val="center"/>
                </w:tcPr>
                <w:p>
                  <w:pPr>
                    <w:spacing w:line="240" w:lineRule="auto"/>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洗瓶废水</w:t>
                  </w:r>
                </w:p>
              </w:tc>
              <w:tc>
                <w:tcPr>
                  <w:tcW w:w="2751" w:type="pct"/>
                  <w:vMerge w:val="continue"/>
                  <w:tcBorders>
                    <w:tl2br w:val="nil"/>
                    <w:tr2bl w:val="nil"/>
                  </w:tcBorders>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62" w:type="pct"/>
                  <w:vMerge w:val="continue"/>
                  <w:tcBorders>
                    <w:tl2br w:val="nil"/>
                    <w:tr2bl w:val="nil"/>
                  </w:tcBorders>
                  <w:noWrap w:val="0"/>
                  <w:vAlign w:val="center"/>
                </w:tcPr>
                <w:p>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77"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09" w:type="pct"/>
                  <w:tcBorders>
                    <w:tl2br w:val="nil"/>
                    <w:tr2bl w:val="nil"/>
                  </w:tcBorders>
                  <w:noWrap w:val="0"/>
                  <w:vAlign w:val="center"/>
                </w:tcPr>
                <w:p>
                  <w:pPr>
                    <w:spacing w:line="240" w:lineRule="auto"/>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车间地面及设备冲洗废水</w:t>
                  </w:r>
                </w:p>
              </w:tc>
              <w:tc>
                <w:tcPr>
                  <w:tcW w:w="2751" w:type="pct"/>
                  <w:vMerge w:val="continue"/>
                  <w:tcBorders>
                    <w:tl2br w:val="nil"/>
                    <w:tr2bl w:val="nil"/>
                  </w:tcBorders>
                  <w:noWrap w:val="0"/>
                  <w:vAlign w:val="center"/>
                </w:tcPr>
                <w:p>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62" w:type="pct"/>
                  <w:vMerge w:val="continue"/>
                  <w:tcBorders>
                    <w:tl2br w:val="nil"/>
                    <w:tr2bl w:val="nil"/>
                  </w:tcBorders>
                  <w:noWrap w:val="0"/>
                  <w:vAlign w:val="center"/>
                </w:tcPr>
                <w:p>
                  <w:pPr>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86" w:type="pct"/>
                  <w:gridSpan w:val="2"/>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噪声治理</w:t>
                  </w:r>
                </w:p>
              </w:tc>
              <w:tc>
                <w:tcPr>
                  <w:tcW w:w="2751" w:type="pct"/>
                  <w:tcBorders>
                    <w:tl2br w:val="nil"/>
                    <w:tr2bl w:val="nil"/>
                  </w:tcBorders>
                  <w:noWrap w:val="0"/>
                  <w:vAlign w:val="center"/>
                </w:tcPr>
                <w:p>
                  <w:pPr>
                    <w:spacing w:line="240" w:lineRule="auto"/>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选用低噪声设备，对设备进行基础减震、隔声等措施</w:t>
                  </w:r>
                </w:p>
              </w:tc>
              <w:tc>
                <w:tcPr>
                  <w:tcW w:w="362"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86" w:type="pct"/>
                  <w:gridSpan w:val="2"/>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固废治理</w:t>
                  </w:r>
                </w:p>
              </w:tc>
              <w:tc>
                <w:tcPr>
                  <w:tcW w:w="2751" w:type="pct"/>
                  <w:tcBorders>
                    <w:tl2br w:val="nil"/>
                    <w:tr2bl w:val="nil"/>
                  </w:tcBorders>
                  <w:noWrap w:val="0"/>
                  <w:vAlign w:val="center"/>
                </w:tcPr>
                <w:p>
                  <w:pPr>
                    <w:spacing w:line="240" w:lineRule="auto"/>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收集至一般固废暂存间定期交由一般固废处置单位进行处置</w:t>
                  </w:r>
                </w:p>
              </w:tc>
              <w:tc>
                <w:tcPr>
                  <w:tcW w:w="362" w:type="pct"/>
                  <w:tcBorders>
                    <w:tl2br w:val="nil"/>
                    <w:tr2bl w:val="nil"/>
                  </w:tcBorders>
                  <w:noWrap w:val="0"/>
                  <w:vAlign w:val="center"/>
                </w:tcPr>
                <w:p>
                  <w:pPr>
                    <w:spacing w:line="240" w:lineRule="auto"/>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37" w:type="pct"/>
                  <w:gridSpan w:val="4"/>
                  <w:tcBorders>
                    <w:tl2br w:val="nil"/>
                    <w:tr2bl w:val="nil"/>
                  </w:tcBorders>
                  <w:noWrap w:val="0"/>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合计</w:t>
                  </w:r>
                </w:p>
              </w:tc>
              <w:tc>
                <w:tcPr>
                  <w:tcW w:w="362" w:type="pct"/>
                  <w:tcBorders>
                    <w:tl2br w:val="nil"/>
                    <w:tr2bl w:val="nil"/>
                  </w:tcBorders>
                  <w:noWrap w:val="0"/>
                  <w:vAlign w:val="center"/>
                </w:tcPr>
                <w:p>
                  <w:pPr>
                    <w:spacing w:line="240" w:lineRule="auto"/>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21.5</w:t>
                  </w:r>
                </w:p>
              </w:tc>
            </w:tr>
          </w:tbl>
          <w:p>
            <w:pPr>
              <w:spacing w:line="360" w:lineRule="auto"/>
              <w:rPr>
                <w:rFonts w:hint="default" w:ascii="Times New Roman" w:hAnsi="Times New Roman" w:eastAsia="宋体" w:cs="Times New Roman"/>
                <w:b/>
                <w:bCs w:val="0"/>
                <w:color w:val="000000"/>
                <w:spacing w:val="0"/>
                <w:kern w:val="0"/>
                <w:sz w:val="24"/>
                <w:szCs w:val="24"/>
                <w:lang w:val="en-US" w:eastAsia="zh-CN"/>
              </w:rPr>
            </w:pPr>
            <w:r>
              <w:rPr>
                <w:rFonts w:hint="eastAsia" w:ascii="Times New Roman" w:hAnsi="Times New Roman" w:eastAsia="宋体" w:cs="Times New Roman"/>
                <w:b/>
                <w:bCs w:val="0"/>
                <w:color w:val="000000"/>
                <w:spacing w:val="0"/>
                <w:kern w:val="0"/>
                <w:sz w:val="24"/>
                <w:szCs w:val="24"/>
                <w:lang w:val="en-US" w:eastAsia="zh-CN"/>
              </w:rPr>
              <w:t>八</w:t>
            </w:r>
            <w:r>
              <w:rPr>
                <w:rFonts w:hint="default" w:ascii="Times New Roman" w:hAnsi="Times New Roman" w:eastAsia="宋体" w:cs="Times New Roman"/>
                <w:b/>
                <w:bCs w:val="0"/>
                <w:color w:val="000000"/>
                <w:spacing w:val="0"/>
                <w:kern w:val="0"/>
                <w:sz w:val="24"/>
                <w:szCs w:val="24"/>
                <w:lang w:val="en-US" w:eastAsia="zh-CN"/>
              </w:rPr>
              <w:t>、排污许可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eastAsia" w:ascii="Times New Roman" w:hAnsi="Times New Roman" w:eastAsia="宋体" w:cs="Times New Roman"/>
                <w:bCs/>
                <w:color w:val="000000"/>
                <w:spacing w:val="0"/>
                <w:kern w:val="0"/>
                <w:sz w:val="24"/>
                <w:szCs w:val="24"/>
                <w:lang w:val="en-US" w:eastAsia="zh-CN"/>
              </w:rPr>
              <w:t>（1）排污许可证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排污许可管理条例》（中华人民共和国第736号）规定依照法律规定实行排污许可管理的企业事业单位和其他生产经营者（以下称排污单位），应当依照本条例规定申请取得排污许可证；未取得排污许可证的，不得排放污染物。根据污染物产生量、排放量、对环境的影响程度等因素，对排污单位实行排污许可分类管理：污染物产生量、排放量或者对环境的影响程度较大的排污单位，实行排污许可重点管理；污染物产生量、排放量和对环境的影响程度都较小的排污单位，实行排污许可简化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对照《固定污染源排污许可分类管理名录（2019年版）》，本项目属于“十、酒、饮料和精制茶制造业</w:t>
            </w:r>
            <w:r>
              <w:rPr>
                <w:rFonts w:hint="eastAsia" w:ascii="Times New Roman" w:hAnsi="Times New Roman" w:eastAsia="宋体" w:cs="Times New Roman"/>
                <w:bCs/>
                <w:color w:val="000000"/>
                <w:spacing w:val="0"/>
                <w:kern w:val="0"/>
                <w:sz w:val="24"/>
                <w:szCs w:val="24"/>
                <w:lang w:val="en-US" w:eastAsia="zh-CN"/>
              </w:rPr>
              <w:t>-21酒的制造-有发酵工艺的年生产能力5000千升以下的白酒、啤酒、黄酒、葡萄酒、其他酒制造</w:t>
            </w:r>
            <w:r>
              <w:rPr>
                <w:rFonts w:hint="default" w:ascii="Times New Roman" w:hAnsi="Times New Roman" w:eastAsia="宋体" w:cs="Times New Roman"/>
                <w:bCs/>
                <w:color w:val="000000"/>
                <w:spacing w:val="0"/>
                <w:kern w:val="0"/>
                <w:sz w:val="24"/>
                <w:szCs w:val="24"/>
                <w:lang w:val="en-US" w:eastAsia="zh-CN"/>
              </w:rPr>
              <w:t>”，</w:t>
            </w:r>
            <w:r>
              <w:rPr>
                <w:rFonts w:hint="eastAsia" w:ascii="Times New Roman" w:hAnsi="Times New Roman" w:eastAsia="宋体" w:cs="Times New Roman"/>
                <w:bCs/>
                <w:color w:val="000000"/>
                <w:spacing w:val="0"/>
                <w:kern w:val="0"/>
                <w:sz w:val="24"/>
                <w:szCs w:val="24"/>
                <w:lang w:val="en-US" w:eastAsia="zh-CN"/>
              </w:rPr>
              <w:t>本项目年产150t白酒，排污许可</w:t>
            </w:r>
            <w:r>
              <w:rPr>
                <w:rFonts w:hint="default" w:ascii="Times New Roman" w:hAnsi="Times New Roman" w:eastAsia="宋体" w:cs="Times New Roman"/>
                <w:bCs/>
                <w:color w:val="000000"/>
                <w:spacing w:val="0"/>
                <w:kern w:val="0"/>
                <w:sz w:val="24"/>
                <w:szCs w:val="24"/>
                <w:lang w:val="en-US" w:eastAsia="zh-CN"/>
              </w:rPr>
              <w:t>实施</w:t>
            </w:r>
            <w:r>
              <w:rPr>
                <w:rFonts w:hint="eastAsia" w:ascii="Times New Roman" w:hAnsi="Times New Roman" w:eastAsia="宋体" w:cs="Times New Roman"/>
                <w:bCs/>
                <w:color w:val="000000"/>
                <w:spacing w:val="0"/>
                <w:kern w:val="0"/>
                <w:sz w:val="24"/>
                <w:szCs w:val="24"/>
                <w:lang w:val="en-US" w:eastAsia="zh-CN"/>
              </w:rPr>
              <w:t>简化</w:t>
            </w:r>
            <w:r>
              <w:rPr>
                <w:rFonts w:hint="default" w:ascii="Times New Roman" w:hAnsi="Times New Roman" w:eastAsia="宋体" w:cs="Times New Roman"/>
                <w:bCs/>
                <w:color w:val="000000"/>
                <w:spacing w:val="0"/>
                <w:kern w:val="0"/>
                <w:sz w:val="24"/>
                <w:szCs w:val="24"/>
                <w:lang w:val="en-US" w:eastAsia="zh-CN"/>
              </w:rPr>
              <w:t>管理，因此本项目建设单位在产生排污行为之前应当</w:t>
            </w:r>
            <w:r>
              <w:rPr>
                <w:rFonts w:hint="eastAsia" w:ascii="Times New Roman" w:hAnsi="Times New Roman" w:eastAsia="宋体" w:cs="Times New Roman"/>
                <w:bCs/>
                <w:color w:val="000000"/>
                <w:spacing w:val="0"/>
                <w:kern w:val="0"/>
                <w:sz w:val="24"/>
                <w:szCs w:val="24"/>
                <w:lang w:val="en-US" w:eastAsia="zh-CN"/>
              </w:rPr>
              <w:t>申请排污许可证。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根据《排污许可管理条例》，在排污许可证有效期内，排污单位有下列情形之一的，应当重新申请取得排污许可证：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（一）新建、改建、扩建排放污染物的项目；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（二）生产经营场所、污染物排放口位置或者污染物排放方式、排放去向发生变化；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（三）污染物排放口数量或者污染物排放种类、排放量、排放浓度增加。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w:t>
            </w:r>
            <w:r>
              <w:rPr>
                <w:rFonts w:hint="eastAsia" w:ascii="Times New Roman" w:hAnsi="Times New Roman" w:eastAsia="宋体" w:cs="Times New Roman"/>
                <w:bCs/>
                <w:color w:val="000000"/>
                <w:spacing w:val="0"/>
                <w:kern w:val="0"/>
                <w:sz w:val="24"/>
                <w:szCs w:val="24"/>
                <w:lang w:val="en-US" w:eastAsia="zh-CN"/>
              </w:rPr>
              <w:t>2</w:t>
            </w:r>
            <w:r>
              <w:rPr>
                <w:rFonts w:hint="default" w:ascii="Times New Roman" w:hAnsi="Times New Roman" w:eastAsia="宋体" w:cs="Times New Roman"/>
                <w:bCs/>
                <w:color w:val="000000"/>
                <w:spacing w:val="0"/>
                <w:kern w:val="0"/>
                <w:sz w:val="24"/>
                <w:szCs w:val="24"/>
                <w:lang w:val="en-US" w:eastAsia="zh-CN"/>
              </w:rPr>
              <w:t>）排污口管理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建设单位应在各个排污口</w:t>
            </w:r>
            <w:r>
              <w:rPr>
                <w:rFonts w:hint="eastAsia" w:ascii="Times New Roman" w:hAnsi="Times New Roman" w:eastAsia="宋体" w:cs="Times New Roman"/>
                <w:bCs/>
                <w:color w:val="000000"/>
                <w:spacing w:val="0"/>
                <w:kern w:val="0"/>
                <w:sz w:val="24"/>
                <w:szCs w:val="24"/>
                <w:lang w:val="en-US" w:eastAsia="zh-CN"/>
              </w:rPr>
              <w:t>处竖立</w:t>
            </w:r>
            <w:r>
              <w:rPr>
                <w:rFonts w:hint="default" w:ascii="Times New Roman" w:hAnsi="Times New Roman" w:eastAsia="宋体" w:cs="Times New Roman"/>
                <w:bCs/>
                <w:color w:val="000000"/>
                <w:spacing w:val="0"/>
                <w:kern w:val="0"/>
                <w:sz w:val="24"/>
                <w:szCs w:val="24"/>
                <w:lang w:val="en-US" w:eastAsia="zh-CN"/>
              </w:rPr>
              <w:t>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spacing w:val="0"/>
                <w:kern w:val="0"/>
                <w:sz w:val="24"/>
                <w:szCs w:val="24"/>
                <w:lang w:val="en-US" w:eastAsia="zh-CN"/>
              </w:rPr>
            </w:pPr>
            <w:r>
              <w:rPr>
                <w:rFonts w:hint="default" w:ascii="Times New Roman" w:hAnsi="Times New Roman" w:eastAsia="宋体" w:cs="Times New Roman"/>
                <w:bCs/>
                <w:color w:val="000000"/>
                <w:spacing w:val="0"/>
                <w:kern w:val="0"/>
                <w:sz w:val="24"/>
                <w:szCs w:val="24"/>
                <w:lang w:val="en-US" w:eastAsia="zh-CN"/>
              </w:rPr>
              <w:t>（</w:t>
            </w:r>
            <w:r>
              <w:rPr>
                <w:rFonts w:hint="eastAsia" w:ascii="Times New Roman" w:hAnsi="Times New Roman" w:eastAsia="宋体" w:cs="Times New Roman"/>
                <w:bCs/>
                <w:color w:val="000000"/>
                <w:spacing w:val="0"/>
                <w:kern w:val="0"/>
                <w:sz w:val="24"/>
                <w:szCs w:val="24"/>
                <w:lang w:val="en-US" w:eastAsia="zh-CN"/>
              </w:rPr>
              <w:t>3</w:t>
            </w:r>
            <w:r>
              <w:rPr>
                <w:rFonts w:hint="default" w:ascii="Times New Roman" w:hAnsi="Times New Roman" w:eastAsia="宋体" w:cs="Times New Roman"/>
                <w:bCs/>
                <w:color w:val="000000"/>
                <w:spacing w:val="0"/>
                <w:kern w:val="0"/>
                <w:sz w:val="24"/>
                <w:szCs w:val="24"/>
                <w:lang w:val="en-US" w:eastAsia="zh-CN"/>
              </w:rPr>
              <w:t>）环境保护图形标志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val="0"/>
                <w:color w:val="000000"/>
                <w:spacing w:val="0"/>
                <w:kern w:val="0"/>
                <w:sz w:val="21"/>
                <w:szCs w:val="18"/>
                <w:lang w:val="en-US" w:eastAsia="zh-CN"/>
              </w:rPr>
            </w:pPr>
            <w:r>
              <w:rPr>
                <w:rFonts w:hint="default" w:ascii="Times New Roman" w:hAnsi="Times New Roman" w:eastAsia="宋体" w:cs="Times New Roman"/>
                <w:bCs/>
                <w:color w:val="000000"/>
                <w:spacing w:val="0"/>
                <w:kern w:val="0"/>
                <w:sz w:val="24"/>
                <w:szCs w:val="24"/>
                <w:lang w:val="en-US" w:eastAsia="zh-CN"/>
              </w:rPr>
              <w:t>在固体废物贮存处置场、噪声产生点应设置环境保护图形标志，图形符号分为提示图形和警告图形符号两种，分别按《</w:t>
            </w:r>
            <w:r>
              <w:rPr>
                <w:rFonts w:hint="default" w:ascii="Times New Roman" w:hAnsi="Times New Roman" w:eastAsia="宋体" w:cs="Times New Roman"/>
                <w:bCs/>
                <w:color w:val="000000"/>
                <w:spacing w:val="0"/>
                <w:kern w:val="0"/>
                <w:sz w:val="24"/>
                <w:szCs w:val="24"/>
                <w:lang w:val="en-US" w:eastAsia="zh-CN"/>
              </w:rPr>
              <w:fldChar w:fldCharType="begin"/>
            </w:r>
            <w:r>
              <w:rPr>
                <w:rFonts w:hint="default" w:ascii="Times New Roman" w:hAnsi="Times New Roman" w:eastAsia="宋体" w:cs="Times New Roman"/>
                <w:bCs/>
                <w:color w:val="000000"/>
                <w:spacing w:val="0"/>
                <w:kern w:val="0"/>
                <w:sz w:val="24"/>
                <w:szCs w:val="24"/>
                <w:lang w:val="en-US" w:eastAsia="zh-CN"/>
              </w:rPr>
              <w:instrText xml:space="preserve"> HYPERLINK "http://std.sacinfo.org.cn/home/javascript:;" </w:instrText>
            </w:r>
            <w:r>
              <w:rPr>
                <w:rFonts w:hint="default" w:ascii="Times New Roman" w:hAnsi="Times New Roman" w:eastAsia="宋体" w:cs="Times New Roman"/>
                <w:bCs/>
                <w:color w:val="000000"/>
                <w:spacing w:val="0"/>
                <w:kern w:val="0"/>
                <w:sz w:val="24"/>
                <w:szCs w:val="24"/>
                <w:lang w:val="en-US" w:eastAsia="zh-CN"/>
              </w:rPr>
              <w:fldChar w:fldCharType="separate"/>
            </w:r>
            <w:r>
              <w:rPr>
                <w:rFonts w:hint="default" w:ascii="Times New Roman" w:hAnsi="Times New Roman" w:eastAsia="宋体" w:cs="Times New Roman"/>
                <w:bCs/>
                <w:color w:val="000000"/>
                <w:spacing w:val="0"/>
                <w:kern w:val="0"/>
                <w:sz w:val="24"/>
                <w:szCs w:val="24"/>
                <w:lang w:val="en-US" w:eastAsia="zh-CN"/>
              </w:rPr>
              <w:t>环境保护图形标志 排放口（源）</w:t>
            </w:r>
            <w:r>
              <w:rPr>
                <w:rFonts w:hint="default" w:ascii="Times New Roman" w:hAnsi="Times New Roman" w:eastAsia="宋体" w:cs="Times New Roman"/>
                <w:bCs/>
                <w:color w:val="000000"/>
                <w:spacing w:val="0"/>
                <w:kern w:val="0"/>
                <w:sz w:val="24"/>
                <w:szCs w:val="24"/>
                <w:lang w:val="en-US" w:eastAsia="zh-CN"/>
              </w:rPr>
              <w:fldChar w:fldCharType="end"/>
            </w:r>
            <w:r>
              <w:rPr>
                <w:rFonts w:hint="default" w:ascii="Times New Roman" w:hAnsi="Times New Roman" w:eastAsia="宋体" w:cs="Times New Roman"/>
                <w:bCs/>
                <w:color w:val="000000"/>
                <w:spacing w:val="0"/>
                <w:kern w:val="0"/>
                <w:sz w:val="24"/>
                <w:szCs w:val="24"/>
                <w:lang w:val="en-US" w:eastAsia="zh-CN"/>
              </w:rPr>
              <w:t>》（GB15562.1-1995）、《</w:t>
            </w:r>
            <w:r>
              <w:rPr>
                <w:rFonts w:hint="default" w:ascii="Times New Roman" w:hAnsi="Times New Roman" w:eastAsia="宋体" w:cs="Times New Roman"/>
                <w:bCs/>
                <w:color w:val="000000"/>
                <w:spacing w:val="0"/>
                <w:kern w:val="0"/>
                <w:sz w:val="24"/>
                <w:szCs w:val="24"/>
                <w:lang w:val="en-US" w:eastAsia="zh-CN"/>
              </w:rPr>
              <w:fldChar w:fldCharType="begin"/>
            </w:r>
            <w:r>
              <w:rPr>
                <w:rFonts w:hint="default" w:ascii="Times New Roman" w:hAnsi="Times New Roman" w:eastAsia="宋体" w:cs="Times New Roman"/>
                <w:bCs/>
                <w:color w:val="000000"/>
                <w:spacing w:val="0"/>
                <w:kern w:val="0"/>
                <w:sz w:val="24"/>
                <w:szCs w:val="24"/>
                <w:lang w:val="en-US" w:eastAsia="zh-CN"/>
              </w:rPr>
              <w:instrText xml:space="preserve"> HYPERLINK "http://std.sacinfo.org.cn/home/javascript:;" </w:instrText>
            </w:r>
            <w:r>
              <w:rPr>
                <w:rFonts w:hint="default" w:ascii="Times New Roman" w:hAnsi="Times New Roman" w:eastAsia="宋体" w:cs="Times New Roman"/>
                <w:bCs/>
                <w:color w:val="000000"/>
                <w:spacing w:val="0"/>
                <w:kern w:val="0"/>
                <w:sz w:val="24"/>
                <w:szCs w:val="24"/>
                <w:lang w:val="en-US" w:eastAsia="zh-CN"/>
              </w:rPr>
              <w:fldChar w:fldCharType="separate"/>
            </w:r>
            <w:r>
              <w:rPr>
                <w:rFonts w:hint="default" w:ascii="Times New Roman" w:hAnsi="Times New Roman" w:eastAsia="宋体" w:cs="Times New Roman"/>
                <w:bCs/>
                <w:color w:val="000000"/>
                <w:spacing w:val="0"/>
                <w:kern w:val="0"/>
                <w:sz w:val="24"/>
                <w:szCs w:val="24"/>
                <w:lang w:val="en-US" w:eastAsia="zh-CN"/>
              </w:rPr>
              <w:t>环境保护图形标志固体废物堆放（填埋）场</w:t>
            </w:r>
            <w:r>
              <w:rPr>
                <w:rFonts w:hint="default" w:ascii="Times New Roman" w:hAnsi="Times New Roman" w:eastAsia="宋体" w:cs="Times New Roman"/>
                <w:bCs/>
                <w:color w:val="000000"/>
                <w:spacing w:val="0"/>
                <w:kern w:val="0"/>
                <w:sz w:val="24"/>
                <w:szCs w:val="24"/>
                <w:lang w:val="en-US" w:eastAsia="zh-CN"/>
              </w:rPr>
              <w:fldChar w:fldCharType="end"/>
            </w:r>
            <w:r>
              <w:rPr>
                <w:rFonts w:hint="default" w:ascii="Times New Roman" w:hAnsi="Times New Roman" w:eastAsia="宋体" w:cs="Times New Roman"/>
                <w:bCs/>
                <w:color w:val="000000"/>
                <w:spacing w:val="0"/>
                <w:kern w:val="0"/>
                <w:sz w:val="24"/>
                <w:szCs w:val="24"/>
                <w:lang w:val="en-US" w:eastAsia="zh-CN"/>
              </w:rPr>
              <w:t>》（GB15562.2-1995）修改单执行。环境保护图形符号见表</w:t>
            </w:r>
            <w:r>
              <w:rPr>
                <w:rFonts w:hint="eastAsia" w:ascii="Times New Roman" w:hAnsi="Times New Roman" w:eastAsia="宋体" w:cs="Times New Roman"/>
                <w:bCs/>
                <w:color w:val="000000"/>
                <w:spacing w:val="0"/>
                <w:kern w:val="0"/>
                <w:sz w:val="24"/>
                <w:szCs w:val="24"/>
                <w:lang w:val="en-US" w:eastAsia="zh-CN"/>
              </w:rPr>
              <w:t>4-23</w:t>
            </w:r>
            <w:r>
              <w:rPr>
                <w:rFonts w:hint="default" w:ascii="Times New Roman" w:hAnsi="Times New Roman" w:eastAsia="宋体" w:cs="Times New Roman"/>
                <w:bCs/>
                <w:color w:val="000000"/>
                <w:spacing w:val="0"/>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宋体" w:cs="Times New Roman"/>
                <w:b/>
                <w:bCs w:val="0"/>
                <w:color w:val="000000"/>
                <w:spacing w:val="0"/>
                <w:kern w:val="0"/>
                <w:sz w:val="21"/>
                <w:szCs w:val="18"/>
                <w:lang w:val="en-US" w:eastAsia="zh-CN"/>
              </w:rPr>
            </w:pPr>
            <w:r>
              <w:rPr>
                <w:rFonts w:hint="default" w:ascii="Times New Roman" w:hAnsi="Times New Roman" w:eastAsia="宋体" w:cs="Times New Roman"/>
                <w:b/>
                <w:bCs w:val="0"/>
                <w:color w:val="000000"/>
                <w:spacing w:val="0"/>
                <w:kern w:val="0"/>
                <w:sz w:val="21"/>
                <w:szCs w:val="18"/>
                <w:lang w:val="en-US" w:eastAsia="zh-CN"/>
              </w:rPr>
              <w:t>表</w:t>
            </w:r>
            <w:r>
              <w:rPr>
                <w:rFonts w:hint="eastAsia" w:ascii="Times New Roman" w:hAnsi="Times New Roman" w:eastAsia="宋体" w:cs="Times New Roman"/>
                <w:b/>
                <w:bCs w:val="0"/>
                <w:color w:val="000000"/>
                <w:spacing w:val="0"/>
                <w:kern w:val="0"/>
                <w:sz w:val="21"/>
                <w:szCs w:val="18"/>
                <w:lang w:val="en-US" w:eastAsia="zh-CN"/>
              </w:rPr>
              <w:t>4-23</w:t>
            </w:r>
            <w:r>
              <w:rPr>
                <w:rFonts w:hint="default" w:ascii="Times New Roman" w:hAnsi="Times New Roman" w:eastAsia="宋体" w:cs="Times New Roman"/>
                <w:b/>
                <w:bCs w:val="0"/>
                <w:color w:val="000000"/>
                <w:spacing w:val="0"/>
                <w:kern w:val="0"/>
                <w:sz w:val="21"/>
                <w:szCs w:val="18"/>
                <w:lang w:val="en-US" w:eastAsia="zh-CN"/>
              </w:rPr>
              <w:t xml:space="preserve">                        环境保护图形符号一览表</w:t>
            </w:r>
          </w:p>
          <w:tbl>
            <w:tblPr>
              <w:tblStyle w:val="3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52"/>
              <w:gridCol w:w="1831"/>
              <w:gridCol w:w="1966"/>
              <w:gridCol w:w="1395"/>
              <w:gridCol w:w="28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序号</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提示图形符号</w:t>
                  </w:r>
                </w:p>
              </w:tc>
              <w:tc>
                <w:tcPr>
                  <w:tcW w:w="11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警告图形符号</w:t>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名称</w:t>
                  </w:r>
                </w:p>
              </w:tc>
              <w:tc>
                <w:tcPr>
                  <w:tcW w:w="1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功能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47" w:hRule="atLeast"/>
                <w:jc w:val="center"/>
              </w:trPr>
              <w:tc>
                <w:tcPr>
                  <w:tcW w:w="2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1</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897255" cy="912495"/>
                        <wp:effectExtent l="0" t="0" r="17145" b="1905"/>
                        <wp:docPr id="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pic:cNvPicPr>
                                  <a:picLocks noChangeAspect="1"/>
                                </pic:cNvPicPr>
                              </pic:nvPicPr>
                              <pic:blipFill>
                                <a:blip r:embed="rId27"/>
                                <a:stretch>
                                  <a:fillRect/>
                                </a:stretch>
                              </pic:blipFill>
                              <pic:spPr>
                                <a:xfrm>
                                  <a:off x="0" y="0"/>
                                  <a:ext cx="897255" cy="912495"/>
                                </a:xfrm>
                                <a:prstGeom prst="rect">
                                  <a:avLst/>
                                </a:prstGeom>
                                <a:noFill/>
                                <a:ln>
                                  <a:noFill/>
                                </a:ln>
                              </pic:spPr>
                            </pic:pic>
                          </a:graphicData>
                        </a:graphic>
                      </wp:inline>
                    </w:drawing>
                  </w:r>
                </w:p>
              </w:tc>
              <w:tc>
                <w:tcPr>
                  <w:tcW w:w="11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1035050" cy="877570"/>
                        <wp:effectExtent l="0" t="0" r="12700" b="17780"/>
                        <wp:docPr id="1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7"/>
                                <pic:cNvPicPr>
                                  <a:picLocks noChangeAspect="1"/>
                                </pic:cNvPicPr>
                              </pic:nvPicPr>
                              <pic:blipFill>
                                <a:blip r:embed="rId28"/>
                                <a:stretch>
                                  <a:fillRect/>
                                </a:stretch>
                              </pic:blipFill>
                              <pic:spPr>
                                <a:xfrm>
                                  <a:off x="0" y="0"/>
                                  <a:ext cx="1035050" cy="877570"/>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污水排放口</w:t>
                  </w:r>
                </w:p>
              </w:tc>
              <w:tc>
                <w:tcPr>
                  <w:tcW w:w="1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表示污水向外环境排放</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90" w:hRule="atLeast"/>
                <w:jc w:val="center"/>
              </w:trPr>
              <w:tc>
                <w:tcPr>
                  <w:tcW w:w="2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2</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1006475" cy="1005840"/>
                        <wp:effectExtent l="0" t="0" r="3175" b="3810"/>
                        <wp:docPr id="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8"/>
                                <pic:cNvPicPr>
                                  <a:picLocks noChangeAspect="1"/>
                                </pic:cNvPicPr>
                              </pic:nvPicPr>
                              <pic:blipFill>
                                <a:blip r:embed="rId29"/>
                                <a:stretch>
                                  <a:fillRect/>
                                </a:stretch>
                              </pic:blipFill>
                              <pic:spPr>
                                <a:xfrm>
                                  <a:off x="0" y="0"/>
                                  <a:ext cx="1006475" cy="1005840"/>
                                </a:xfrm>
                                <a:prstGeom prst="rect">
                                  <a:avLst/>
                                </a:prstGeom>
                                <a:noFill/>
                                <a:ln>
                                  <a:noFill/>
                                </a:ln>
                              </pic:spPr>
                            </pic:pic>
                          </a:graphicData>
                        </a:graphic>
                      </wp:inline>
                    </w:drawing>
                  </w:r>
                </w:p>
              </w:tc>
              <w:tc>
                <w:tcPr>
                  <w:tcW w:w="11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1008380" cy="817880"/>
                        <wp:effectExtent l="0" t="0" r="1270" b="1270"/>
                        <wp:docPr id="2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9"/>
                                <pic:cNvPicPr>
                                  <a:picLocks noChangeAspect="1"/>
                                </pic:cNvPicPr>
                              </pic:nvPicPr>
                              <pic:blipFill>
                                <a:blip r:embed="rId30"/>
                                <a:stretch>
                                  <a:fillRect/>
                                </a:stretch>
                              </pic:blipFill>
                              <pic:spPr>
                                <a:xfrm>
                                  <a:off x="0" y="0"/>
                                  <a:ext cx="1008380" cy="817880"/>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一般固体废物</w:t>
                  </w:r>
                </w:p>
              </w:tc>
              <w:tc>
                <w:tcPr>
                  <w:tcW w:w="1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表示一般固体废物贮存、处置场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3</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1005840" cy="914400"/>
                        <wp:effectExtent l="0" t="0" r="3810" b="0"/>
                        <wp:docPr id="2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1"/>
                                <pic:cNvPicPr>
                                  <a:picLocks noChangeAspect="1"/>
                                </pic:cNvPicPr>
                              </pic:nvPicPr>
                              <pic:blipFill>
                                <a:blip r:embed="rId31"/>
                                <a:stretch>
                                  <a:fillRect/>
                                </a:stretch>
                              </pic:blipFill>
                              <pic:spPr>
                                <a:xfrm>
                                  <a:off x="0" y="0"/>
                                  <a:ext cx="1005840" cy="914400"/>
                                </a:xfrm>
                                <a:prstGeom prst="rect">
                                  <a:avLst/>
                                </a:prstGeom>
                                <a:noFill/>
                                <a:ln>
                                  <a:noFill/>
                                </a:ln>
                              </pic:spPr>
                            </pic:pic>
                          </a:graphicData>
                        </a:graphic>
                      </wp:inline>
                    </w:drawing>
                  </w:r>
                </w:p>
              </w:tc>
              <w:tc>
                <w:tcPr>
                  <w:tcW w:w="11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1003935" cy="821690"/>
                        <wp:effectExtent l="0" t="0" r="5715" b="16510"/>
                        <wp:docPr id="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2"/>
                                <pic:cNvPicPr>
                                  <a:picLocks noChangeAspect="1"/>
                                </pic:cNvPicPr>
                              </pic:nvPicPr>
                              <pic:blipFill>
                                <a:blip r:embed="rId32"/>
                                <a:stretch>
                                  <a:fillRect/>
                                </a:stretch>
                              </pic:blipFill>
                              <pic:spPr>
                                <a:xfrm>
                                  <a:off x="0" y="0"/>
                                  <a:ext cx="1003935" cy="821690"/>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噪声源</w:t>
                  </w:r>
                </w:p>
              </w:tc>
              <w:tc>
                <w:tcPr>
                  <w:tcW w:w="1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表示噪声向外环境排放</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eastAsia" w:ascii="Times New Roman" w:hAnsi="Times New Roman" w:eastAsia="宋体" w:cs="Times New Roman"/>
                      <w:bCs/>
                      <w:color w:val="000000"/>
                      <w:spacing w:val="0"/>
                      <w:kern w:val="0"/>
                      <w:sz w:val="21"/>
                      <w:szCs w:val="18"/>
                      <w:lang w:val="en-US" w:eastAsia="zh-CN"/>
                    </w:rPr>
                    <w:t>4</w:t>
                  </w:r>
                </w:p>
              </w:tc>
              <w:tc>
                <w:tcPr>
                  <w:tcW w:w="10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962025" cy="1200150"/>
                        <wp:effectExtent l="0" t="0" r="9525" b="0"/>
                        <wp:docPr id="2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3"/>
                                <pic:cNvPicPr>
                                  <a:picLocks noChangeAspect="1"/>
                                </pic:cNvPicPr>
                              </pic:nvPicPr>
                              <pic:blipFill>
                                <a:blip r:embed="rId33"/>
                                <a:stretch>
                                  <a:fillRect/>
                                </a:stretch>
                              </pic:blipFill>
                              <pic:spPr>
                                <a:xfrm>
                                  <a:off x="0" y="0"/>
                                  <a:ext cx="962025" cy="1200150"/>
                                </a:xfrm>
                                <a:prstGeom prst="rect">
                                  <a:avLst/>
                                </a:prstGeom>
                                <a:noFill/>
                                <a:ln>
                                  <a:noFill/>
                                </a:ln>
                              </pic:spPr>
                            </pic:pic>
                          </a:graphicData>
                        </a:graphic>
                      </wp:inline>
                    </w:drawing>
                  </w:r>
                </w:p>
              </w:tc>
              <w:tc>
                <w:tcPr>
                  <w:tcW w:w="11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drawing>
                      <wp:inline distT="0" distB="0" distL="114300" distR="114300">
                        <wp:extent cx="1019175" cy="1171575"/>
                        <wp:effectExtent l="0" t="0" r="9525" b="9525"/>
                        <wp:docPr id="1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4"/>
                                <pic:cNvPicPr>
                                  <a:picLocks noChangeAspect="1"/>
                                </pic:cNvPicPr>
                              </pic:nvPicPr>
                              <pic:blipFill>
                                <a:blip r:embed="rId34"/>
                                <a:stretch>
                                  <a:fillRect/>
                                </a:stretch>
                              </pic:blipFill>
                              <pic:spPr>
                                <a:xfrm>
                                  <a:off x="0" y="0"/>
                                  <a:ext cx="1019175" cy="1171575"/>
                                </a:xfrm>
                                <a:prstGeom prst="rect">
                                  <a:avLst/>
                                </a:prstGeom>
                                <a:noFill/>
                                <a:ln>
                                  <a:noFill/>
                                </a:ln>
                              </pic:spPr>
                            </pic:pic>
                          </a:graphicData>
                        </a:graphic>
                      </wp:inline>
                    </w:drawing>
                  </w:r>
                </w:p>
              </w:tc>
              <w:tc>
                <w:tcPr>
                  <w:tcW w:w="8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废气排放口</w:t>
                  </w:r>
                </w:p>
              </w:tc>
              <w:tc>
                <w:tcPr>
                  <w:tcW w:w="16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spacing w:val="0"/>
                      <w:kern w:val="0"/>
                      <w:sz w:val="21"/>
                      <w:szCs w:val="18"/>
                      <w:lang w:val="en-US" w:eastAsia="zh-CN"/>
                    </w:rPr>
                  </w:pPr>
                  <w:r>
                    <w:rPr>
                      <w:rFonts w:hint="default" w:ascii="Times New Roman" w:hAnsi="Times New Roman" w:eastAsia="宋体" w:cs="Times New Roman"/>
                      <w:bCs/>
                      <w:color w:val="000000"/>
                      <w:spacing w:val="0"/>
                      <w:kern w:val="0"/>
                      <w:sz w:val="21"/>
                      <w:szCs w:val="18"/>
                      <w:lang w:val="en-US" w:eastAsia="zh-CN"/>
                    </w:rPr>
                    <w:t>表示废气向外环境排放</w:t>
                  </w:r>
                </w:p>
              </w:tc>
            </w:tr>
          </w:tbl>
          <w:p>
            <w:pPr>
              <w:adjustRightInd w:val="0"/>
              <w:snapToGrid w:val="0"/>
              <w:rPr>
                <w:rFonts w:hint="default" w:ascii="Times New Roman" w:hAnsi="Times New Roman" w:eastAsia="宋体" w:cs="Times New Roman"/>
                <w:bCs/>
                <w:color w:val="auto"/>
                <w:spacing w:val="0"/>
                <w:kern w:val="0"/>
                <w:position w:val="0"/>
                <w:szCs w:val="21"/>
                <w:highlight w:val="none"/>
              </w:rPr>
            </w:pPr>
          </w:p>
        </w:tc>
      </w:tr>
    </w:tbl>
    <w:p>
      <w:pPr>
        <w:rPr>
          <w:rFonts w:hint="eastAsia" w:ascii="黑体" w:hAnsi="黑体" w:eastAsia="黑体" w:cs="黑体"/>
          <w:snapToGrid w:val="0"/>
          <w:kern w:val="0"/>
          <w:sz w:val="30"/>
          <w:szCs w:val="30"/>
          <w:highlight w:val="none"/>
          <w:lang w:val="en-US" w:eastAsia="zh-CN" w:bidi="ar-SA"/>
        </w:rPr>
      </w:pPr>
      <w:bookmarkStart w:id="46" w:name="_Toc23683"/>
      <w:r>
        <w:rPr>
          <w:rFonts w:hint="eastAsia" w:ascii="黑体" w:hAnsi="黑体" w:eastAsia="黑体" w:cs="黑体"/>
          <w:snapToGrid w:val="0"/>
          <w:kern w:val="0"/>
          <w:sz w:val="30"/>
          <w:szCs w:val="30"/>
          <w:highlight w:val="none"/>
          <w:lang w:val="en-US" w:eastAsia="zh-CN" w:bidi="ar-SA"/>
        </w:rPr>
        <w:br w:type="page"/>
      </w:r>
    </w:p>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jc w:val="center"/>
        <w:textAlignment w:val="auto"/>
        <w:outlineLvl w:val="0"/>
        <w:rPr>
          <w:rFonts w:hint="eastAsia" w:ascii="黑体" w:hAnsi="黑体" w:eastAsia="黑体" w:cs="黑体"/>
          <w:snapToGrid w:val="0"/>
          <w:kern w:val="0"/>
          <w:sz w:val="30"/>
          <w:szCs w:val="30"/>
          <w:highlight w:val="none"/>
          <w:lang w:val="en-US" w:eastAsia="zh-CN" w:bidi="ar-SA"/>
        </w:rPr>
      </w:pPr>
      <w:r>
        <w:rPr>
          <w:rFonts w:hint="eastAsia" w:ascii="黑体" w:hAnsi="黑体" w:eastAsia="黑体" w:cs="黑体"/>
          <w:snapToGrid w:val="0"/>
          <w:kern w:val="0"/>
          <w:sz w:val="30"/>
          <w:szCs w:val="30"/>
          <w:highlight w:val="none"/>
          <w:lang w:val="en-US" w:eastAsia="zh-CN" w:bidi="ar-SA"/>
        </w:rPr>
        <w:t>境保护措施监督检查清单</w:t>
      </w:r>
      <w:bookmarkEnd w:id="46"/>
    </w:p>
    <w:tbl>
      <w:tblPr>
        <w:tblStyle w:val="33"/>
        <w:tblpPr w:leftFromText="181" w:rightFromText="181" w:vertAnchor="text" w:horzAnchor="page" w:tblpX="1651"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21"/>
        <w:gridCol w:w="1181"/>
        <w:gridCol w:w="1247"/>
        <w:gridCol w:w="2672"/>
        <w:gridCol w:w="217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top"/>
          </w:tcPr>
          <w:p>
            <w:pPr>
              <w:adjustRightInd w:val="0"/>
              <w:snapToGrid w:val="0"/>
              <w:ind w:firstLine="84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内容</w:t>
            </w:r>
          </w:p>
          <w:p>
            <w:pPr>
              <w:adjustRightInd w:val="0"/>
              <w:snapToGrid w:val="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要素</w:t>
            </w:r>
          </w:p>
        </w:tc>
        <w:tc>
          <w:tcPr>
            <w:tcW w:w="118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排放口</w:t>
            </w:r>
            <w:r>
              <w:rPr>
                <w:rFonts w:hint="eastAsia" w:cs="Times New Roman"/>
                <w:szCs w:val="21"/>
                <w:highlight w:val="none"/>
                <w:lang w:eastAsia="zh-CN"/>
              </w:rPr>
              <w:t>（</w:t>
            </w:r>
            <w:r>
              <w:rPr>
                <w:rFonts w:hint="default" w:ascii="Times New Roman" w:hAnsi="Times New Roman" w:eastAsia="宋体" w:cs="Times New Roman"/>
                <w:szCs w:val="21"/>
                <w:highlight w:val="none"/>
              </w:rPr>
              <w:t>编号、名称</w:t>
            </w:r>
            <w:r>
              <w:rPr>
                <w:rFonts w:hint="eastAsia" w:cs="Times New Roman"/>
                <w:szCs w:val="21"/>
                <w:highlight w:val="none"/>
                <w:lang w:eastAsia="zh-CN"/>
              </w:rPr>
              <w:t>）</w:t>
            </w:r>
            <w:r>
              <w:rPr>
                <w:rFonts w:hint="default" w:ascii="Times New Roman" w:hAnsi="Times New Roman" w:eastAsia="宋体" w:cs="Times New Roman"/>
                <w:szCs w:val="21"/>
                <w:highlight w:val="none"/>
              </w:rPr>
              <w:t>/污染源</w:t>
            </w:r>
          </w:p>
        </w:tc>
        <w:tc>
          <w:tcPr>
            <w:tcW w:w="1247"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污染物项目</w:t>
            </w:r>
          </w:p>
        </w:tc>
        <w:tc>
          <w:tcPr>
            <w:tcW w:w="2672"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环境保护措施</w:t>
            </w:r>
          </w:p>
        </w:tc>
        <w:tc>
          <w:tcPr>
            <w:tcW w:w="2179"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执行标准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大气环境</w:t>
            </w:r>
          </w:p>
        </w:tc>
        <w:tc>
          <w:tcPr>
            <w:tcW w:w="118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eastAsia="宋体" w:cs="Times New Roman"/>
                <w:szCs w:val="21"/>
                <w:highlight w:val="none"/>
                <w:lang w:val="en-US" w:eastAsia="zh-CN"/>
              </w:rPr>
              <w:t>DA001</w:t>
            </w:r>
          </w:p>
        </w:tc>
        <w:tc>
          <w:tcPr>
            <w:tcW w:w="1247"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eastAsia="宋体"/>
                <w:sz w:val="21"/>
                <w:szCs w:val="21"/>
                <w:lang w:val="en-US" w:eastAsia="zh-CN"/>
              </w:rPr>
              <w:t>颗粒物、SO</w:t>
            </w:r>
            <w:r>
              <w:rPr>
                <w:rFonts w:hint="eastAsia" w:ascii="Times New Roman" w:eastAsia="宋体"/>
                <w:sz w:val="21"/>
                <w:szCs w:val="21"/>
                <w:vertAlign w:val="subscript"/>
                <w:lang w:val="en-US" w:eastAsia="zh-CN"/>
              </w:rPr>
              <w:t>2、</w:t>
            </w:r>
            <w:r>
              <w:rPr>
                <w:rFonts w:hint="eastAsia" w:ascii="Times New Roman" w:eastAsia="宋体"/>
                <w:sz w:val="21"/>
                <w:szCs w:val="21"/>
                <w:lang w:val="en-US" w:eastAsia="zh-CN"/>
              </w:rPr>
              <w:t>NO</w:t>
            </w:r>
            <w:r>
              <w:rPr>
                <w:rFonts w:hint="eastAsia" w:ascii="Times New Roman" w:eastAsia="宋体"/>
                <w:sz w:val="21"/>
                <w:szCs w:val="21"/>
                <w:vertAlign w:val="subscript"/>
                <w:lang w:val="en-US" w:eastAsia="zh-CN"/>
              </w:rPr>
              <w:t>X</w:t>
            </w:r>
          </w:p>
        </w:tc>
        <w:tc>
          <w:tcPr>
            <w:tcW w:w="2672" w:type="dxa"/>
            <w:tcBorders>
              <w:tl2br w:val="nil"/>
              <w:tr2bl w:val="nil"/>
            </w:tcBorders>
            <w:noWrap w:val="0"/>
            <w:vAlign w:val="center"/>
          </w:tcPr>
          <w:p>
            <w:pPr>
              <w:adjustRightInd w:val="0"/>
              <w:snapToGrid w:val="0"/>
              <w:jc w:val="both"/>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低氮燃烧器+8m排气筒</w:t>
            </w:r>
          </w:p>
        </w:tc>
        <w:tc>
          <w:tcPr>
            <w:tcW w:w="2179"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《锅炉大气污染物排放标准》（GB13271-2014）中表2排放限值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p>
        </w:tc>
        <w:tc>
          <w:tcPr>
            <w:tcW w:w="118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无组织</w:t>
            </w:r>
          </w:p>
        </w:tc>
        <w:tc>
          <w:tcPr>
            <w:tcW w:w="1247"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氨、硫化氢、臭气浓度</w:t>
            </w:r>
          </w:p>
        </w:tc>
        <w:tc>
          <w:tcPr>
            <w:tcW w:w="2672" w:type="dxa"/>
            <w:tcBorders>
              <w:tl2br w:val="nil"/>
              <w:tr2bl w:val="nil"/>
            </w:tcBorders>
            <w:noWrap w:val="0"/>
            <w:vAlign w:val="center"/>
          </w:tcPr>
          <w:p>
            <w:pPr>
              <w:adjustRightInd w:val="0"/>
              <w:snapToGrid w:val="0"/>
              <w:jc w:val="both"/>
              <w:rPr>
                <w:rFonts w:hint="default" w:ascii="Times New Roman" w:hAnsi="Times New Roman" w:eastAsia="宋体" w:cs="Times New Roman"/>
                <w:szCs w:val="21"/>
                <w:highlight w:val="none"/>
                <w:lang w:val="en-US" w:eastAsia="zh-CN"/>
              </w:rPr>
            </w:pPr>
            <w:r>
              <w:rPr>
                <w:rFonts w:hint="eastAsia" w:eastAsia="宋体" w:cs="Times New Roman"/>
                <w:sz w:val="21"/>
                <w:szCs w:val="21"/>
                <w:highlight w:val="none"/>
                <w:lang w:val="en-US" w:eastAsia="zh-CN"/>
              </w:rPr>
              <w:t>污水处理设施</w:t>
            </w:r>
            <w:r>
              <w:rPr>
                <w:rFonts w:hint="eastAsia" w:cs="Times New Roman"/>
                <w:sz w:val="21"/>
                <w:szCs w:val="21"/>
                <w:highlight w:val="none"/>
                <w:lang w:val="en-US" w:eastAsia="zh-CN"/>
              </w:rPr>
              <w:t>加盖密闭，定期投撒除臭剂</w:t>
            </w:r>
          </w:p>
        </w:tc>
        <w:tc>
          <w:tcPr>
            <w:tcW w:w="2179"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水环境</w:t>
            </w:r>
          </w:p>
        </w:tc>
        <w:tc>
          <w:tcPr>
            <w:tcW w:w="118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DW001</w:t>
            </w:r>
          </w:p>
        </w:tc>
        <w:tc>
          <w:tcPr>
            <w:tcW w:w="1247"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COD、SS、氨氮、总磷、总氮</w:t>
            </w:r>
          </w:p>
        </w:tc>
        <w:tc>
          <w:tcPr>
            <w:tcW w:w="2672"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color w:val="000000" w:themeColor="text1"/>
                <w:kern w:val="0"/>
                <w:sz w:val="21"/>
                <w:szCs w:val="21"/>
                <w:highlight w:val="none"/>
                <w:lang w:val="en-US" w:eastAsia="zh-CN"/>
                <w14:textFill>
                  <w14:solidFill>
                    <w14:schemeClr w14:val="tx1"/>
                  </w14:solidFill>
                </w14:textFill>
              </w:rPr>
              <w:t>生活污水排入园区下水管网，最终进入焉耆县污水处理厂进行处理；生产废水</w:t>
            </w:r>
            <w:r>
              <w:rPr>
                <w:rFonts w:hint="eastAsia" w:eastAsia="宋体" w:cs="Times New Roman"/>
                <w:color w:val="000000" w:themeColor="text1"/>
                <w:sz w:val="21"/>
                <w:szCs w:val="21"/>
                <w:highlight w:val="none"/>
                <w:lang w:val="en-US" w:eastAsia="zh-CN"/>
                <w14:textFill>
                  <w14:solidFill>
                    <w14:schemeClr w14:val="tx1"/>
                  </w14:solidFill>
                </w14:textFill>
              </w:rPr>
              <w:t>进入厂区污水处理站，处理规模</w:t>
            </w:r>
            <w:r>
              <w:rPr>
                <w:rFonts w:hint="eastAsia" w:cs="Times New Roman"/>
                <w:color w:val="000000" w:themeColor="text1"/>
                <w:sz w:val="21"/>
                <w:szCs w:val="21"/>
                <w:highlight w:val="none"/>
                <w:lang w:val="en-US" w:eastAsia="zh-CN"/>
                <w14:textFill>
                  <w14:solidFill>
                    <w14:schemeClr w14:val="tx1"/>
                  </w14:solidFill>
                </w14:textFill>
              </w:rPr>
              <w:t>8</w:t>
            </w:r>
            <w:r>
              <w:rPr>
                <w:rFonts w:hint="eastAsia" w:eastAsia="宋体" w:cs="Times New Roman"/>
                <w:color w:val="000000" w:themeColor="text1"/>
                <w:sz w:val="21"/>
                <w:szCs w:val="21"/>
                <w:highlight w:val="none"/>
                <w:lang w:val="en-US" w:eastAsia="zh-CN"/>
                <w14:textFill>
                  <w14:solidFill>
                    <w14:schemeClr w14:val="tx1"/>
                  </w14:solidFill>
                </w14:textFill>
              </w:rPr>
              <w:t>m</w:t>
            </w:r>
            <w:r>
              <w:rPr>
                <w:rFonts w:hint="eastAsia" w:eastAsia="宋体" w:cs="Times New Roman"/>
                <w:color w:val="000000" w:themeColor="text1"/>
                <w:sz w:val="21"/>
                <w:szCs w:val="21"/>
                <w:highlight w:val="none"/>
                <w:vertAlign w:val="superscript"/>
                <w:lang w:val="en-US" w:eastAsia="zh-CN"/>
                <w14:textFill>
                  <w14:solidFill>
                    <w14:schemeClr w14:val="tx1"/>
                  </w14:solidFill>
                </w14:textFill>
              </w:rPr>
              <w:t>3</w:t>
            </w:r>
            <w:r>
              <w:rPr>
                <w:rFonts w:hint="eastAsia" w:eastAsia="宋体" w:cs="Times New Roman"/>
                <w:color w:val="000000" w:themeColor="text1"/>
                <w:sz w:val="21"/>
                <w:szCs w:val="21"/>
                <w:highlight w:val="none"/>
                <w:lang w:val="en-US" w:eastAsia="zh-CN"/>
                <w14:textFill>
                  <w14:solidFill>
                    <w14:schemeClr w14:val="tx1"/>
                  </w14:solidFill>
                </w14:textFill>
              </w:rPr>
              <w:t>/d，处理工艺：</w:t>
            </w:r>
            <w:r>
              <w:rPr>
                <w:rFonts w:hint="eastAsia" w:cs="Times New Roman"/>
                <w:color w:val="000000" w:themeColor="text1"/>
                <w:sz w:val="21"/>
                <w:szCs w:val="21"/>
                <w:highlight w:val="none"/>
                <w:lang w:val="en-US" w:eastAsia="zh-CN"/>
                <w14:textFill>
                  <w14:solidFill>
                    <w14:schemeClr w14:val="tx1"/>
                  </w14:solidFill>
                </w14:textFill>
              </w:rPr>
              <w:t>格栅+调节池+气浮+UASB+AO</w:t>
            </w:r>
            <w:r>
              <w:rPr>
                <w:rFonts w:ascii="Times New Roman" w:hAnsi="Times New Roman" w:eastAsia="宋体" w:cs="Times New Roman"/>
                <w:color w:val="000000" w:themeColor="text1"/>
                <w:kern w:val="0"/>
                <w:sz w:val="21"/>
                <w:szCs w:val="21"/>
                <w:highlight w:val="none"/>
                <w14:textFill>
                  <w14:solidFill>
                    <w14:schemeClr w14:val="tx1"/>
                  </w14:solidFill>
                </w14:textFill>
              </w:rPr>
              <w:t>，处理</w:t>
            </w:r>
            <w:r>
              <w:rPr>
                <w:rFonts w:hint="eastAsia" w:cs="Times New Roman"/>
                <w:color w:val="000000" w:themeColor="text1"/>
                <w:kern w:val="0"/>
                <w:sz w:val="21"/>
                <w:szCs w:val="21"/>
                <w:highlight w:val="none"/>
                <w:lang w:val="en-US" w:eastAsia="zh-CN"/>
                <w14:textFill>
                  <w14:solidFill>
                    <w14:schemeClr w14:val="tx1"/>
                  </w14:solidFill>
                </w14:textFill>
              </w:rPr>
              <w:t>达标</w:t>
            </w:r>
            <w:r>
              <w:rPr>
                <w:rFonts w:hint="eastAsia" w:eastAsia="宋体" w:cs="Times New Roman"/>
                <w:color w:val="000000" w:themeColor="text1"/>
                <w:kern w:val="0"/>
                <w:sz w:val="21"/>
                <w:szCs w:val="21"/>
                <w:highlight w:val="none"/>
                <w:lang w:val="en-US" w:eastAsia="zh-CN"/>
                <w14:textFill>
                  <w14:solidFill>
                    <w14:schemeClr w14:val="tx1"/>
                  </w14:solidFill>
                </w14:textFill>
              </w:rPr>
              <w:t>排入</w:t>
            </w:r>
            <w:r>
              <w:rPr>
                <w:rFonts w:hint="eastAsia" w:cs="Times New Roman"/>
                <w:color w:val="000000" w:themeColor="text1"/>
                <w:kern w:val="0"/>
                <w:sz w:val="21"/>
                <w:szCs w:val="21"/>
                <w:highlight w:val="none"/>
                <w:lang w:val="en-US" w:eastAsia="zh-CN"/>
                <w14:textFill>
                  <w14:solidFill>
                    <w14:schemeClr w14:val="tx1"/>
                  </w14:solidFill>
                </w14:textFill>
              </w:rPr>
              <w:t>园区</w:t>
            </w:r>
            <w:r>
              <w:rPr>
                <w:rFonts w:hint="eastAsia" w:eastAsia="宋体" w:cs="Times New Roman"/>
                <w:color w:val="000000" w:themeColor="text1"/>
                <w:kern w:val="0"/>
                <w:sz w:val="21"/>
                <w:szCs w:val="21"/>
                <w:highlight w:val="none"/>
                <w:lang w:val="en-US" w:eastAsia="zh-CN"/>
                <w14:textFill>
                  <w14:solidFill>
                    <w14:schemeClr w14:val="tx1"/>
                  </w14:solidFill>
                </w14:textFill>
              </w:rPr>
              <w:t>下水管网，最终进入焉耆县污水处理厂进行处理</w:t>
            </w:r>
          </w:p>
        </w:tc>
        <w:tc>
          <w:tcPr>
            <w:tcW w:w="217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bCs/>
                <w:szCs w:val="21"/>
                <w:lang w:val="en-US" w:eastAsia="zh-CN"/>
              </w:rPr>
              <w:t>《发酵酒精和白酒工业水污染物排放标准》（GB 27631-2011）及修改单</w:t>
            </w:r>
            <w:r>
              <w:rPr>
                <w:rFonts w:hint="eastAsia" w:ascii="Times New Roman" w:hAnsi="Times New Roman" w:eastAsia="宋体" w:cs="Times New Roman"/>
                <w:bCs/>
                <w:szCs w:val="21"/>
                <w:lang w:val="en-US" w:eastAsia="zh-CN"/>
              </w:rPr>
              <w:t>中表2间接排放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声环境</w:t>
            </w:r>
          </w:p>
        </w:tc>
        <w:tc>
          <w:tcPr>
            <w:tcW w:w="118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生产设备</w:t>
            </w:r>
          </w:p>
        </w:tc>
        <w:tc>
          <w:tcPr>
            <w:tcW w:w="1247"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等效连续A声级</w:t>
            </w:r>
          </w:p>
        </w:tc>
        <w:tc>
          <w:tcPr>
            <w:tcW w:w="2672"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lang w:eastAsia="zh-CN"/>
              </w:rPr>
              <w:t>厂房隔声、基础减震</w:t>
            </w:r>
          </w:p>
        </w:tc>
        <w:tc>
          <w:tcPr>
            <w:tcW w:w="2179"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《工业企业厂界环境噪声排放标准》（GB12348-2008）中的3类标准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电磁辐射</w:t>
            </w:r>
          </w:p>
        </w:tc>
        <w:tc>
          <w:tcPr>
            <w:tcW w:w="118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c>
          <w:tcPr>
            <w:tcW w:w="1247"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c>
          <w:tcPr>
            <w:tcW w:w="2672"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c>
          <w:tcPr>
            <w:tcW w:w="2179"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固体废物</w:t>
            </w:r>
          </w:p>
        </w:tc>
        <w:tc>
          <w:tcPr>
            <w:tcW w:w="7279" w:type="dxa"/>
            <w:gridSpan w:val="4"/>
            <w:tcBorders>
              <w:tl2br w:val="nil"/>
              <w:tr2bl w:val="nil"/>
            </w:tcBorders>
            <w:noWrap w:val="0"/>
            <w:vAlign w:val="center"/>
          </w:tcPr>
          <w:p>
            <w:pPr>
              <w:keepNext w:val="0"/>
              <w:keepLines w:val="0"/>
              <w:pageBreakBefore w:val="0"/>
              <w:widowControl w:val="0"/>
              <w:tabs>
                <w:tab w:val="left" w:pos="2700"/>
              </w:tabs>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kern w:val="0"/>
                <w:sz w:val="21"/>
                <w:szCs w:val="21"/>
                <w:highlight w:val="none"/>
                <w:lang w:val="en-US" w:eastAsia="zh-CN" w:bidi="ar-SA"/>
              </w:rPr>
            </w:pPr>
            <w:r>
              <w:rPr>
                <w:rFonts w:hint="eastAsia" w:ascii="Times New Roman" w:hAnsi="Times New Roman" w:eastAsia="宋体" w:cs="Times New Roman"/>
                <w:bCs/>
                <w:color w:val="auto"/>
                <w:spacing w:val="5"/>
                <w:kern w:val="0"/>
                <w:sz w:val="21"/>
                <w:szCs w:val="18"/>
                <w:lang w:val="en-US" w:eastAsia="zh-CN" w:bidi="ar-SA"/>
              </w:rPr>
              <w:t>本项目产生的一般工业固废</w:t>
            </w:r>
            <w:r>
              <w:rPr>
                <w:rFonts w:hint="eastAsia" w:cs="Times New Roman"/>
                <w:bCs/>
                <w:color w:val="auto"/>
                <w:spacing w:val="5"/>
                <w:kern w:val="0"/>
                <w:sz w:val="21"/>
                <w:szCs w:val="18"/>
                <w:lang w:val="en-US" w:eastAsia="zh-CN" w:bidi="ar-SA"/>
              </w:rPr>
              <w:t>酒糟集中收集后外售；废包装袋、废过滤材料、破损酒瓶、污泥集中收集后交由一般固废处置单位进行处置。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土壤及地下水</w:t>
            </w:r>
          </w:p>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污染防治措施</w:t>
            </w:r>
          </w:p>
        </w:tc>
        <w:tc>
          <w:tcPr>
            <w:tcW w:w="7279" w:type="dxa"/>
            <w:gridSpan w:val="4"/>
            <w:tcBorders>
              <w:tl2br w:val="nil"/>
              <w:tr2bl w:val="nil"/>
            </w:tcBorders>
            <w:noWrap w:val="0"/>
            <w:vAlign w:val="center"/>
          </w:tcPr>
          <w:p>
            <w:pPr>
              <w:adjustRightInd w:val="0"/>
              <w:snapToGrid w:val="0"/>
              <w:jc w:val="left"/>
              <w:rPr>
                <w:rFonts w:hint="default" w:ascii="Times New Roman" w:hAnsi="Times New Roman" w:eastAsia="宋体" w:cs="Times New Roman"/>
                <w:szCs w:val="21"/>
                <w:highlight w:val="none"/>
                <w:lang w:val="en-US" w:eastAsia="zh-CN"/>
              </w:rPr>
            </w:pPr>
            <w:r>
              <w:rPr>
                <w:rFonts w:hint="eastAsia" w:eastAsia="宋体"/>
                <w:color w:val="000000"/>
                <w:spacing w:val="0"/>
                <w:kern w:val="0"/>
                <w:sz w:val="21"/>
                <w:szCs w:val="21"/>
                <w:lang w:val="en-US" w:eastAsia="zh-CN"/>
              </w:rPr>
              <w:t>厂区</w:t>
            </w:r>
            <w:r>
              <w:rPr>
                <w:rFonts w:hint="eastAsia" w:eastAsia="宋体"/>
                <w:color w:val="000000"/>
                <w:spacing w:val="0"/>
                <w:kern w:val="0"/>
                <w:sz w:val="21"/>
                <w:szCs w:val="21"/>
              </w:rPr>
              <w:t>一般防渗区域的等效黏土防渗层Mb≥1.5m，渗透系数K≤1×10</w:t>
            </w:r>
            <w:r>
              <w:rPr>
                <w:rFonts w:hint="eastAsia" w:eastAsia="宋体"/>
                <w:color w:val="000000"/>
                <w:spacing w:val="0"/>
                <w:kern w:val="0"/>
                <w:sz w:val="21"/>
                <w:szCs w:val="21"/>
                <w:vertAlign w:val="superscript"/>
              </w:rPr>
              <w:t>-7</w:t>
            </w:r>
            <w:r>
              <w:rPr>
                <w:rFonts w:hint="eastAsia" w:eastAsia="宋体"/>
                <w:color w:val="000000"/>
                <w:spacing w:val="0"/>
                <w:kern w:val="0"/>
                <w:sz w:val="21"/>
                <w:szCs w:val="21"/>
              </w:rPr>
              <w:t>cm/s</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生态保护措施</w:t>
            </w:r>
          </w:p>
        </w:tc>
        <w:tc>
          <w:tcPr>
            <w:tcW w:w="7279" w:type="dxa"/>
            <w:gridSpan w:val="4"/>
            <w:tcBorders>
              <w:tl2br w:val="nil"/>
              <w:tr2bl w:val="nil"/>
            </w:tcBorders>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环境风险</w:t>
            </w:r>
          </w:p>
          <w:p>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防范措施</w:t>
            </w:r>
          </w:p>
        </w:tc>
        <w:tc>
          <w:tcPr>
            <w:tcW w:w="7279" w:type="dxa"/>
            <w:gridSpan w:val="4"/>
            <w:tcBorders>
              <w:tl2br w:val="nil"/>
              <w:tr2bl w:val="nil"/>
            </w:tcBorders>
            <w:shd w:val="clear" w:color="auto" w:fill="auto"/>
            <w:noWrap w:val="0"/>
            <w:vAlign w:val="center"/>
          </w:tcPr>
          <w:p>
            <w:pPr>
              <w:adjustRightInd w:val="0"/>
              <w:snapToGrid w:val="0"/>
              <w:spacing w:line="240" w:lineRule="auto"/>
              <w:jc w:val="left"/>
              <w:rPr>
                <w:rFonts w:hint="default" w:ascii="Times New Roman" w:hAnsi="Times New Roman" w:eastAsia="宋体" w:cs="Times New Roman"/>
                <w:kern w:val="2"/>
                <w:sz w:val="21"/>
                <w:szCs w:val="21"/>
                <w:lang w:val="en-US" w:eastAsia="zh-CN" w:bidi="ar-SA"/>
              </w:rPr>
            </w:pPr>
            <w:r>
              <w:rPr>
                <w:sz w:val="21"/>
                <w:szCs w:val="21"/>
              </w:rPr>
              <w:t>配备一定数量的灭火器、消防沙、应急救援器材</w:t>
            </w:r>
            <w:r>
              <w:rPr>
                <w:rFonts w:hint="eastAsia"/>
                <w:sz w:val="21"/>
                <w:szCs w:val="21"/>
                <w:lang w:eastAsia="zh-CN"/>
              </w:rPr>
              <w:t>以及防渗和收集泄漏污染物的应急物资</w:t>
            </w:r>
            <w:r>
              <w:rPr>
                <w:sz w:val="21"/>
                <w:szCs w:val="21"/>
              </w:rPr>
              <w:t>；制定环境应急预案等</w:t>
            </w:r>
            <w:r>
              <w:rPr>
                <w:rFonts w:hint="eastAsia"/>
                <w:sz w:val="21"/>
                <w:szCs w:val="21"/>
              </w:rPr>
              <w:t>。</w:t>
            </w:r>
            <w:r>
              <w:rPr>
                <w:sz w:val="21"/>
                <w:szCs w:val="21"/>
              </w:rPr>
              <w:t>加强管理，</w:t>
            </w:r>
            <w:r>
              <w:rPr>
                <w:rFonts w:hint="eastAsia"/>
                <w:sz w:val="21"/>
                <w:szCs w:val="21"/>
              </w:rPr>
              <w:t>建设单位应树立并强化环境风险意识。建立健全突发环境事故应急组织机构等</w:t>
            </w: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1" w:type="dxa"/>
            <w:tcBorders>
              <w:tl2br w:val="nil"/>
              <w:tr2bl w:val="nil"/>
            </w:tcBorders>
            <w:noWrap w:val="0"/>
            <w:vAlign w:val="center"/>
          </w:tcPr>
          <w:p>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其他环境</w:t>
            </w:r>
          </w:p>
          <w:p>
            <w:pPr>
              <w:adjustRightInd w:val="0"/>
              <w:snapToGrid w:val="0"/>
              <w:jc w:val="center"/>
              <w:rPr>
                <w:rFonts w:hint="default" w:ascii="Times New Roman" w:hAnsi="Times New Roman" w:eastAsia="宋体" w:cs="Times New Roman"/>
                <w:spacing w:val="-8"/>
                <w:szCs w:val="21"/>
                <w:highlight w:val="none"/>
              </w:rPr>
            </w:pPr>
            <w:r>
              <w:rPr>
                <w:rFonts w:hint="default" w:ascii="Times New Roman" w:hAnsi="Times New Roman" w:eastAsia="宋体" w:cs="Times New Roman"/>
                <w:spacing w:val="-8"/>
                <w:szCs w:val="21"/>
                <w:highlight w:val="none"/>
              </w:rPr>
              <w:t>管理要求</w:t>
            </w:r>
          </w:p>
        </w:tc>
        <w:tc>
          <w:tcPr>
            <w:tcW w:w="7279" w:type="dxa"/>
            <w:gridSpan w:val="4"/>
            <w:tcBorders>
              <w:tl2br w:val="nil"/>
              <w:tr2bl w:val="nil"/>
            </w:tcBorders>
            <w:shd w:val="clear" w:color="auto" w:fill="auto"/>
            <w:noWrap w:val="0"/>
            <w:vAlign w:val="center"/>
          </w:tcPr>
          <w:p>
            <w:pPr>
              <w:adjustRightInd w:val="0"/>
              <w:snapToGrid w:val="0"/>
              <w:spacing w:line="240" w:lineRule="auto"/>
              <w:rPr>
                <w:sz w:val="21"/>
                <w:szCs w:val="21"/>
              </w:rPr>
            </w:pPr>
            <w:r>
              <w:rPr>
                <w:sz w:val="21"/>
                <w:szCs w:val="21"/>
              </w:rPr>
              <w:t>（1）建设单位应设置环保管理人员，负责厂区环保工作日常事务。环保管理人员应做到有职、有权、有责，</w:t>
            </w:r>
            <w:r>
              <w:rPr>
                <w:rFonts w:hint="eastAsia"/>
                <w:sz w:val="21"/>
                <w:szCs w:val="21"/>
                <w:lang w:val="en-US" w:eastAsia="zh-CN"/>
              </w:rPr>
              <w:t>切实</w:t>
            </w:r>
            <w:r>
              <w:rPr>
                <w:sz w:val="21"/>
                <w:szCs w:val="21"/>
              </w:rPr>
              <w:t>担负起环境保护管理及监督责任。该人员除对项目负责外，也应与地方环境保护管理部门加强联系，使项目环保工作纳入地方环境管理工作系统。</w:t>
            </w:r>
          </w:p>
          <w:p>
            <w:pPr>
              <w:adjustRightInd w:val="0"/>
              <w:snapToGrid w:val="0"/>
              <w:spacing w:line="240" w:lineRule="auto"/>
              <w:rPr>
                <w:sz w:val="21"/>
                <w:szCs w:val="21"/>
              </w:rPr>
            </w:pPr>
            <w:r>
              <w:rPr>
                <w:sz w:val="21"/>
                <w:szCs w:val="21"/>
              </w:rPr>
              <w:t>（2）严格遵照国家和地方有关环境保护的方针、政策、法规、条例，如《中华人民共和国环境保护法》《全国生态环境保护纲要》等，结合企业的实际情况，确定环境保护控制目标，制定环境保护发展规划和年度实施计划，建立环境保护制度，并组织、监督实施。</w:t>
            </w:r>
          </w:p>
          <w:p>
            <w:pPr>
              <w:adjustRightInd w:val="0"/>
              <w:snapToGrid w:val="0"/>
              <w:spacing w:line="240" w:lineRule="auto"/>
              <w:rPr>
                <w:sz w:val="21"/>
                <w:szCs w:val="21"/>
              </w:rPr>
            </w:pPr>
            <w:r>
              <w:rPr>
                <w:sz w:val="21"/>
                <w:szCs w:val="21"/>
              </w:rPr>
              <w:t>（3）安排组织员工的环保教育、培训和考核，提高员工的环保意识和环境法</w:t>
            </w:r>
            <w:r>
              <w:rPr>
                <w:rFonts w:hint="eastAsia"/>
                <w:sz w:val="21"/>
                <w:szCs w:val="21"/>
                <w:lang w:val="en-US" w:eastAsia="zh-CN"/>
              </w:rPr>
              <w:t>治</w:t>
            </w:r>
            <w:r>
              <w:rPr>
                <w:sz w:val="21"/>
                <w:szCs w:val="21"/>
              </w:rPr>
              <w:t>观念；推广并应用先进的环境保护管理经验和污染治理技术，提高环保管理人员业务水平。</w:t>
            </w:r>
          </w:p>
          <w:p>
            <w:pPr>
              <w:adjustRightInd w:val="0"/>
              <w:snapToGrid w:val="0"/>
              <w:spacing w:line="240" w:lineRule="auto"/>
              <w:rPr>
                <w:sz w:val="21"/>
                <w:szCs w:val="21"/>
              </w:rPr>
            </w:pPr>
            <w:r>
              <w:rPr>
                <w:sz w:val="21"/>
                <w:szCs w:val="21"/>
              </w:rPr>
              <w:t>（4）组织与领导项目的环境监测和统计工作，掌握污染源动态。</w:t>
            </w:r>
          </w:p>
          <w:p>
            <w:pPr>
              <w:adjustRightInd w:val="0"/>
              <w:snapToGrid w:val="0"/>
              <w:spacing w:line="240" w:lineRule="auto"/>
              <w:rPr>
                <w:sz w:val="21"/>
                <w:szCs w:val="21"/>
              </w:rPr>
            </w:pPr>
            <w:r>
              <w:rPr>
                <w:sz w:val="21"/>
                <w:szCs w:val="21"/>
              </w:rPr>
              <w:t>（5）监督、检查环保设施、设备的运行及维护，建立环保设施运行档案。</w:t>
            </w:r>
          </w:p>
          <w:p>
            <w:pPr>
              <w:adjustRightInd w:val="0"/>
              <w:snapToGrid w:val="0"/>
              <w:spacing w:line="240" w:lineRule="auto"/>
              <w:rPr>
                <w:sz w:val="21"/>
                <w:szCs w:val="21"/>
              </w:rPr>
            </w:pPr>
            <w:r>
              <w:rPr>
                <w:sz w:val="21"/>
                <w:szCs w:val="21"/>
              </w:rPr>
              <w:t>（6）按照《排污许可管理条例》（中华人民共和国国务院令 第736号）要求，企业在建成实际排污前应依法申请取得企业排污</w:t>
            </w:r>
            <w:r>
              <w:rPr>
                <w:rFonts w:hint="eastAsia"/>
                <w:sz w:val="21"/>
                <w:szCs w:val="21"/>
                <w:lang w:val="en-US" w:eastAsia="zh-CN"/>
              </w:rPr>
              <w:t>证</w:t>
            </w:r>
            <w:r>
              <w:rPr>
                <w:sz w:val="21"/>
                <w:szCs w:val="21"/>
              </w:rPr>
              <w:t>，未取得排污</w:t>
            </w:r>
            <w:r>
              <w:rPr>
                <w:rFonts w:hint="eastAsia"/>
                <w:sz w:val="21"/>
                <w:szCs w:val="21"/>
                <w:lang w:val="en-US" w:eastAsia="zh-CN"/>
              </w:rPr>
              <w:t>许可证</w:t>
            </w:r>
            <w:r>
              <w:rPr>
                <w:sz w:val="21"/>
                <w:szCs w:val="21"/>
              </w:rPr>
              <w:t>的，不得排放污染物。</w:t>
            </w:r>
          </w:p>
          <w:p>
            <w:pPr>
              <w:adjustRightInd w:val="0"/>
              <w:snapToGrid w:val="0"/>
              <w:spacing w:line="240" w:lineRule="auto"/>
              <w:rPr>
                <w:sz w:val="21"/>
                <w:szCs w:val="21"/>
              </w:rPr>
            </w:pPr>
            <w:r>
              <w:rPr>
                <w:sz w:val="21"/>
                <w:szCs w:val="21"/>
              </w:rPr>
              <w:t>（7）建设项目竣工后，由建设单位根据《建设项目竣工环境保护验收技术指南 污染影响类》按照规定程序和标准自行组织</w:t>
            </w:r>
            <w:r>
              <w:rPr>
                <w:rFonts w:hint="eastAsia"/>
                <w:sz w:val="21"/>
                <w:szCs w:val="21"/>
              </w:rPr>
              <w:t>“</w:t>
            </w:r>
            <w:r>
              <w:rPr>
                <w:sz w:val="21"/>
                <w:szCs w:val="21"/>
              </w:rPr>
              <w:t>三同时</w:t>
            </w:r>
            <w:r>
              <w:rPr>
                <w:rFonts w:hint="eastAsia"/>
                <w:sz w:val="21"/>
                <w:szCs w:val="21"/>
              </w:rPr>
              <w:t>”</w:t>
            </w:r>
            <w:r>
              <w:rPr>
                <w:sz w:val="21"/>
                <w:szCs w:val="21"/>
              </w:rPr>
              <w:t>环保竣工验收，不具备编制验收监测（调查）报告能力的，可委托有能力的技术机构进行编制。</w:t>
            </w:r>
          </w:p>
          <w:p>
            <w:pPr>
              <w:pStyle w:val="10"/>
              <w:rPr>
                <w:sz w:val="21"/>
                <w:szCs w:val="21"/>
              </w:rPr>
            </w:pPr>
          </w:p>
          <w:p>
            <w:pPr>
              <w:pStyle w:val="15"/>
              <w:widowControl w:val="0"/>
              <w:numPr>
                <w:ilvl w:val="0"/>
                <w:numId w:val="0"/>
              </w:numPr>
              <w:spacing w:line="360" w:lineRule="auto"/>
              <w:jc w:val="both"/>
              <w:rPr>
                <w:sz w:val="21"/>
                <w:szCs w:val="21"/>
              </w:rPr>
            </w:pPr>
          </w:p>
          <w:p>
            <w:pPr>
              <w:pStyle w:val="15"/>
              <w:widowControl w:val="0"/>
              <w:numPr>
                <w:ilvl w:val="0"/>
                <w:numId w:val="0"/>
              </w:numPr>
              <w:spacing w:line="360" w:lineRule="auto"/>
              <w:jc w:val="both"/>
              <w:rPr>
                <w:sz w:val="21"/>
                <w:szCs w:val="21"/>
              </w:rPr>
            </w:pPr>
          </w:p>
          <w:p>
            <w:pPr>
              <w:pStyle w:val="15"/>
              <w:widowControl w:val="0"/>
              <w:numPr>
                <w:ilvl w:val="0"/>
                <w:numId w:val="0"/>
              </w:numPr>
              <w:spacing w:line="360" w:lineRule="auto"/>
              <w:jc w:val="both"/>
              <w:rPr>
                <w:sz w:val="21"/>
                <w:szCs w:val="21"/>
              </w:rPr>
            </w:pPr>
          </w:p>
          <w:p>
            <w:pPr>
              <w:pStyle w:val="15"/>
              <w:widowControl w:val="0"/>
              <w:numPr>
                <w:ilvl w:val="0"/>
                <w:numId w:val="0"/>
              </w:numPr>
              <w:spacing w:line="360" w:lineRule="auto"/>
              <w:jc w:val="both"/>
              <w:rPr>
                <w:sz w:val="21"/>
                <w:szCs w:val="21"/>
              </w:rPr>
            </w:pPr>
          </w:p>
          <w:p>
            <w:pPr>
              <w:pStyle w:val="15"/>
              <w:widowControl w:val="0"/>
              <w:numPr>
                <w:ilvl w:val="0"/>
                <w:numId w:val="0"/>
              </w:numPr>
              <w:spacing w:line="360" w:lineRule="auto"/>
              <w:jc w:val="both"/>
              <w:rPr>
                <w:sz w:val="21"/>
                <w:szCs w:val="21"/>
              </w:rPr>
            </w:pPr>
          </w:p>
          <w:p>
            <w:pPr>
              <w:pStyle w:val="15"/>
              <w:widowControl w:val="0"/>
              <w:numPr>
                <w:ilvl w:val="0"/>
                <w:numId w:val="0"/>
              </w:numPr>
              <w:spacing w:line="360" w:lineRule="auto"/>
              <w:ind w:left="0" w:leftChars="0" w:firstLine="0" w:firstLineChars="0"/>
              <w:jc w:val="both"/>
              <w:rPr>
                <w:rFonts w:hint="default" w:ascii="Times New Roman" w:hAnsi="Times New Roman" w:eastAsia="宋体" w:cs="Times New Roman"/>
                <w:kern w:val="2"/>
                <w:sz w:val="21"/>
                <w:szCs w:val="21"/>
                <w:lang w:val="en-US" w:eastAsia="zh-CN" w:bidi="ar-SA"/>
              </w:rPr>
            </w:pPr>
          </w:p>
        </w:tc>
      </w:tr>
    </w:tbl>
    <w:p>
      <w:pPr>
        <w:pStyle w:val="29"/>
        <w:jc w:val="center"/>
        <w:outlineLvl w:val="0"/>
        <w:rPr>
          <w:rFonts w:hint="eastAsia" w:ascii="黑体" w:hAnsi="黑体" w:eastAsia="黑体" w:cs="黑体"/>
          <w:b w:val="0"/>
          <w:bCs w:val="0"/>
          <w:snapToGrid w:val="0"/>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9"/>
        <w:jc w:val="center"/>
        <w:outlineLvl w:val="0"/>
        <w:rPr>
          <w:rFonts w:hint="eastAsia" w:ascii="黑体" w:hAnsi="黑体" w:eastAsia="黑体" w:cs="黑体"/>
          <w:b w:val="0"/>
          <w:bCs w:val="0"/>
          <w:snapToGrid w:val="0"/>
          <w:sz w:val="30"/>
          <w:szCs w:val="30"/>
          <w:highlight w:val="none"/>
        </w:rPr>
      </w:pPr>
      <w:bookmarkStart w:id="47" w:name="_Toc7239"/>
      <w:r>
        <w:rPr>
          <w:rFonts w:hint="eastAsia" w:ascii="黑体" w:hAnsi="黑体" w:eastAsia="黑体" w:cs="黑体"/>
          <w:b w:val="0"/>
          <w:bCs w:val="0"/>
          <w:snapToGrid w:val="0"/>
          <w:sz w:val="30"/>
          <w:szCs w:val="30"/>
          <w:highlight w:val="none"/>
        </w:rPr>
        <w:t>六、结论</w:t>
      </w:r>
      <w:bookmarkEnd w:id="47"/>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宋体" w:hAnsi="宋体" w:eastAsia="宋体" w:cs="宋体"/>
                <w:sz w:val="24"/>
                <w:highlight w:val="none"/>
              </w:rPr>
            </w:pPr>
            <w:r>
              <w:rPr>
                <w:rFonts w:ascii="Times New Roman" w:hAnsi="Times New Roman" w:eastAsia="宋体" w:cs="Times New Roman"/>
                <w:sz w:val="24"/>
                <w:szCs w:val="24"/>
                <w:highlight w:val="none"/>
              </w:rPr>
              <w:t>本项目建成</w:t>
            </w:r>
            <w:r>
              <w:rPr>
                <w:rFonts w:hint="eastAsia" w:ascii="Times New Roman" w:hAnsi="Times New Roman" w:eastAsia="宋体" w:cs="Times New Roman"/>
                <w:sz w:val="24"/>
                <w:szCs w:val="24"/>
                <w:highlight w:val="none"/>
              </w:rPr>
              <w:t>投产</w:t>
            </w:r>
            <w:r>
              <w:rPr>
                <w:rFonts w:ascii="Times New Roman" w:hAnsi="Times New Roman" w:eastAsia="宋体" w:cs="Times New Roman"/>
                <w:sz w:val="24"/>
                <w:szCs w:val="24"/>
                <w:highlight w:val="none"/>
              </w:rPr>
              <w:t>将对促进地方</w:t>
            </w:r>
            <w:r>
              <w:rPr>
                <w:rFonts w:hint="eastAsia" w:cs="Times New Roman"/>
                <w:sz w:val="24"/>
                <w:szCs w:val="24"/>
                <w:highlight w:val="none"/>
                <w:lang w:val="en-US" w:eastAsia="zh-CN"/>
              </w:rPr>
              <w:t>经济</w:t>
            </w:r>
            <w:r>
              <w:rPr>
                <w:rFonts w:hint="eastAsia" w:ascii="Times New Roman" w:hAnsi="Times New Roman" w:eastAsia="宋体" w:cs="Times New Roman"/>
                <w:sz w:val="24"/>
                <w:szCs w:val="24"/>
                <w:highlight w:val="none"/>
                <w:lang w:eastAsia="zh-CN"/>
              </w:rPr>
              <w:t>发展</w:t>
            </w:r>
            <w:r>
              <w:rPr>
                <w:rFonts w:ascii="Times New Roman" w:hAnsi="Times New Roman" w:eastAsia="宋体" w:cs="Times New Roman"/>
                <w:sz w:val="24"/>
                <w:szCs w:val="24"/>
                <w:highlight w:val="none"/>
              </w:rPr>
              <w:t>等方面发挥</w:t>
            </w:r>
            <w:r>
              <w:rPr>
                <w:rFonts w:hint="eastAsia" w:ascii="Times New Roman" w:hAnsi="Times New Roman" w:eastAsia="宋体" w:cs="Times New Roman"/>
                <w:sz w:val="24"/>
                <w:szCs w:val="24"/>
                <w:highlight w:val="none"/>
                <w:lang w:eastAsia="zh-CN"/>
              </w:rPr>
              <w:t>一定</w:t>
            </w:r>
            <w:r>
              <w:rPr>
                <w:rFonts w:ascii="Times New Roman" w:hAnsi="Times New Roman" w:eastAsia="宋体" w:cs="Times New Roman"/>
                <w:sz w:val="24"/>
                <w:szCs w:val="24"/>
                <w:highlight w:val="none"/>
              </w:rPr>
              <w:t>的作用，</w:t>
            </w:r>
            <w:r>
              <w:rPr>
                <w:rFonts w:hint="eastAsia" w:ascii="Times New Roman" w:hAnsi="Times New Roman" w:eastAsia="宋体" w:cs="Times New Roman"/>
                <w:sz w:val="24"/>
                <w:szCs w:val="24"/>
                <w:highlight w:val="none"/>
                <w:lang w:eastAsia="zh-CN"/>
              </w:rPr>
              <w:t>项目</w:t>
            </w:r>
            <w:r>
              <w:rPr>
                <w:rFonts w:ascii="Times New Roman" w:hAnsi="Times New Roman" w:eastAsia="宋体" w:cs="Times New Roman"/>
                <w:sz w:val="24"/>
                <w:szCs w:val="24"/>
                <w:highlight w:val="none"/>
              </w:rPr>
              <w:t>建设的环境效益、社会效益、经济效益</w:t>
            </w:r>
            <w:r>
              <w:rPr>
                <w:rFonts w:hint="eastAsia" w:ascii="Times New Roman" w:hAnsi="Times New Roman" w:eastAsia="宋体" w:cs="Times New Roman"/>
                <w:sz w:val="24"/>
                <w:szCs w:val="24"/>
                <w:highlight w:val="none"/>
                <w:lang w:val="en-US" w:eastAsia="zh-CN"/>
              </w:rPr>
              <w:t>较</w:t>
            </w:r>
            <w:r>
              <w:rPr>
                <w:rFonts w:ascii="Times New Roman" w:hAnsi="Times New Roman" w:eastAsia="宋体" w:cs="Times New Roman"/>
                <w:sz w:val="24"/>
                <w:szCs w:val="24"/>
                <w:highlight w:val="none"/>
              </w:rPr>
              <w:t>显著。</w:t>
            </w:r>
            <w:r>
              <w:rPr>
                <w:rFonts w:hint="eastAsia" w:ascii="Times New Roman" w:hAnsi="Times New Roman" w:eastAsia="宋体" w:cs="Times New Roman"/>
                <w:sz w:val="24"/>
                <w:szCs w:val="24"/>
                <w:highlight w:val="none"/>
              </w:rPr>
              <w:t>在</w:t>
            </w:r>
            <w:r>
              <w:rPr>
                <w:rFonts w:ascii="Times New Roman" w:hAnsi="Times New Roman" w:eastAsia="宋体" w:cs="Times New Roman"/>
                <w:sz w:val="24"/>
                <w:szCs w:val="24"/>
                <w:highlight w:val="none"/>
              </w:rPr>
              <w:t>严格落实本环评提出的环保措施后，</w:t>
            </w:r>
            <w:r>
              <w:rPr>
                <w:rFonts w:hint="eastAsia" w:ascii="Times New Roman" w:hAnsi="Times New Roman" w:eastAsia="宋体" w:cs="Times New Roman"/>
                <w:sz w:val="24"/>
                <w:szCs w:val="24"/>
                <w:highlight w:val="none"/>
                <w:lang w:eastAsia="zh-CN"/>
              </w:rPr>
              <w:t>项目</w:t>
            </w:r>
            <w:r>
              <w:rPr>
                <w:rFonts w:ascii="Times New Roman" w:hAnsi="Times New Roman" w:eastAsia="宋体" w:cs="Times New Roman"/>
                <w:sz w:val="24"/>
                <w:szCs w:val="24"/>
                <w:highlight w:val="none"/>
              </w:rPr>
              <w:t>的环境影响不大。因此，在采取本报告提出的</w:t>
            </w:r>
            <w:r>
              <w:rPr>
                <w:rFonts w:hint="eastAsia" w:ascii="Times New Roman" w:hAnsi="Times New Roman" w:eastAsia="宋体" w:cs="Times New Roman"/>
                <w:sz w:val="24"/>
                <w:szCs w:val="24"/>
                <w:highlight w:val="none"/>
              </w:rPr>
              <w:t>各项</w:t>
            </w:r>
            <w:r>
              <w:rPr>
                <w:rFonts w:ascii="Times New Roman" w:hAnsi="Times New Roman" w:eastAsia="宋体" w:cs="Times New Roman"/>
                <w:sz w:val="24"/>
                <w:szCs w:val="24"/>
                <w:highlight w:val="none"/>
              </w:rPr>
              <w:t>防治措施的前提下，从环保角度讲，</w:t>
            </w:r>
            <w:r>
              <w:rPr>
                <w:rFonts w:hint="eastAsia" w:ascii="Times New Roman" w:hAnsi="Times New Roman" w:eastAsia="宋体" w:cs="Times New Roman"/>
                <w:sz w:val="24"/>
                <w:szCs w:val="24"/>
                <w:highlight w:val="none"/>
                <w:lang w:eastAsia="zh-CN"/>
              </w:rPr>
              <w:t>本项目</w:t>
            </w:r>
            <w:r>
              <w:rPr>
                <w:rFonts w:ascii="Times New Roman" w:hAnsi="Times New Roman" w:eastAsia="宋体" w:cs="Times New Roman"/>
                <w:sz w:val="24"/>
                <w:szCs w:val="24"/>
                <w:highlight w:val="none"/>
              </w:rPr>
              <w:t>的</w:t>
            </w:r>
            <w:r>
              <w:rPr>
                <w:rFonts w:hint="eastAsia" w:cs="Times New Roman"/>
                <w:sz w:val="24"/>
                <w:szCs w:val="24"/>
                <w:highlight w:val="none"/>
                <w:lang w:val="en-US" w:eastAsia="zh-CN"/>
              </w:rPr>
              <w:t>环境影响</w:t>
            </w:r>
            <w:r>
              <w:rPr>
                <w:rFonts w:ascii="Times New Roman" w:hAnsi="Times New Roman" w:eastAsia="宋体" w:cs="Times New Roman"/>
                <w:sz w:val="24"/>
                <w:szCs w:val="24"/>
                <w:highlight w:val="none"/>
              </w:rPr>
              <w:t>是可行的。</w:t>
            </w:r>
          </w:p>
        </w:tc>
      </w:tr>
    </w:tbl>
    <w:p>
      <w:pPr>
        <w:rPr>
          <w:rFonts w:hint="eastAsia" w:ascii="宋体" w:hAnsi="宋体" w:eastAsia="宋体" w:cs="宋体"/>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9"/>
        <w:adjustRightInd w:val="0"/>
        <w:snapToGrid w:val="0"/>
        <w:spacing w:before="0" w:beforeAutospacing="0" w:after="0" w:afterAutospacing="0" w:line="648" w:lineRule="auto"/>
        <w:outlineLvl w:val="9"/>
        <w:rPr>
          <w:rFonts w:hint="eastAsia" w:ascii="宋体" w:hAnsi="宋体" w:eastAsia="宋体" w:cs="宋体"/>
          <w:snapToGrid w:val="0"/>
          <w:sz w:val="32"/>
          <w:szCs w:val="32"/>
          <w:highlight w:val="none"/>
        </w:rPr>
      </w:pPr>
      <w:r>
        <w:rPr>
          <w:rFonts w:hint="eastAsia" w:ascii="宋体" w:hAnsi="宋体" w:eastAsia="宋体" w:cs="宋体"/>
          <w:snapToGrid w:val="0"/>
          <w:sz w:val="32"/>
          <w:szCs w:val="32"/>
          <w:highlight w:val="none"/>
        </w:rPr>
        <w:t>附表</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宋体" w:hAnsi="宋体" w:eastAsia="宋体" w:cs="宋体"/>
          <w:snapToGrid w:val="0"/>
          <w:sz w:val="38"/>
          <w:szCs w:val="38"/>
          <w:highlight w:val="none"/>
        </w:rPr>
      </w:pPr>
      <w:bookmarkStart w:id="48" w:name="_Toc28810"/>
      <w:bookmarkStart w:id="49" w:name="_Toc25095"/>
      <w:r>
        <w:rPr>
          <w:rFonts w:hint="eastAsia" w:ascii="宋体" w:hAnsi="宋体" w:eastAsia="宋体" w:cs="宋体"/>
          <w:snapToGrid w:val="0"/>
          <w:sz w:val="38"/>
          <w:szCs w:val="38"/>
          <w:highlight w:val="none"/>
        </w:rPr>
        <w:t>建设项目污染物排放量汇总表</w:t>
      </w:r>
      <w:bookmarkEnd w:id="48"/>
      <w:bookmarkEnd w:id="49"/>
    </w:p>
    <w:tbl>
      <w:tblPr>
        <w:tblStyle w:val="3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454"/>
        <w:gridCol w:w="1573"/>
        <w:gridCol w:w="1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tcBorders>
              <w:tl2br w:val="single" w:color="auto" w:sz="4" w:space="0"/>
            </w:tcBorders>
            <w:noWrap w:val="0"/>
            <w:tcMar>
              <w:left w:w="28" w:type="dxa"/>
              <w:right w:w="28" w:type="dxa"/>
            </w:tcMar>
            <w:vAlign w:val="center"/>
          </w:tcPr>
          <w:p>
            <w:pPr>
              <w:pStyle w:val="64"/>
              <w:spacing w:beforeLines="0" w:afterLines="0" w:line="240" w:lineRule="auto"/>
              <w:jc w:val="right"/>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项目</w:t>
            </w:r>
          </w:p>
          <w:p>
            <w:pPr>
              <w:pStyle w:val="64"/>
              <w:spacing w:beforeLines="0" w:afterLines="0" w:line="240" w:lineRule="auto"/>
              <w:jc w:val="left"/>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分类</w:t>
            </w:r>
          </w:p>
        </w:tc>
        <w:tc>
          <w:tcPr>
            <w:tcW w:w="1417"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污染物名称</w:t>
            </w:r>
          </w:p>
        </w:tc>
        <w:tc>
          <w:tcPr>
            <w:tcW w:w="1701"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现有工程</w:t>
            </w:r>
          </w:p>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排放量（固体废物产生量）</w:t>
            </w:r>
            <w:r>
              <w:rPr>
                <w:rFonts w:hint="default" w:ascii="Times New Roman" w:hAnsi="Times New Roman" w:eastAsia="宋体" w:cs="Times New Roman"/>
                <w:snapToGrid w:val="0"/>
                <w:color w:val="000000"/>
                <w:spacing w:val="-6"/>
                <w:kern w:val="21"/>
                <w:szCs w:val="21"/>
                <w:highlight w:val="none"/>
              </w:rPr>
              <w:fldChar w:fldCharType="begin"/>
            </w:r>
            <w:r>
              <w:rPr>
                <w:rFonts w:hint="default" w:ascii="Times New Roman" w:hAnsi="Times New Roman" w:eastAsia="宋体" w:cs="Times New Roman"/>
                <w:snapToGrid w:val="0"/>
                <w:color w:val="000000"/>
                <w:spacing w:val="-6"/>
                <w:kern w:val="21"/>
                <w:szCs w:val="21"/>
                <w:highlight w:val="none"/>
              </w:rPr>
              <w:instrText xml:space="preserve"> = 1 \* GB3 \* MERGEFORMAT </w:instrText>
            </w:r>
            <w:r>
              <w:rPr>
                <w:rFonts w:hint="default" w:ascii="Times New Roman" w:hAnsi="Times New Roman" w:eastAsia="宋体" w:cs="Times New Roman"/>
                <w:snapToGrid w:val="0"/>
                <w:color w:val="000000"/>
                <w:spacing w:val="-6"/>
                <w:kern w:val="21"/>
                <w:szCs w:val="21"/>
                <w:highlight w:val="none"/>
              </w:rPr>
              <w:fldChar w:fldCharType="separate"/>
            </w:r>
            <w:r>
              <w:rPr>
                <w:rFonts w:hint="default" w:ascii="Times New Roman" w:hAnsi="Times New Roman" w:eastAsia="宋体" w:cs="Times New Roman"/>
                <w:kern w:val="2"/>
                <w:szCs w:val="21"/>
                <w:highlight w:val="none"/>
              </w:rPr>
              <w:t>①</w:t>
            </w:r>
            <w:r>
              <w:rPr>
                <w:rFonts w:hint="default" w:ascii="Times New Roman" w:hAnsi="Times New Roman" w:eastAsia="宋体" w:cs="Times New Roman"/>
                <w:snapToGrid w:val="0"/>
                <w:color w:val="000000"/>
                <w:spacing w:val="-6"/>
                <w:kern w:val="21"/>
                <w:szCs w:val="21"/>
                <w:highlight w:val="none"/>
              </w:rPr>
              <w:fldChar w:fldCharType="end"/>
            </w:r>
          </w:p>
        </w:tc>
        <w:tc>
          <w:tcPr>
            <w:tcW w:w="1276"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现有工程</w:t>
            </w:r>
          </w:p>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许可排放量</w:t>
            </w:r>
          </w:p>
          <w:p>
            <w:pPr>
              <w:pStyle w:val="64"/>
              <w:spacing w:beforeLines="0" w:afterLines="0"/>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fldChar w:fldCharType="begin"/>
            </w:r>
            <w:r>
              <w:rPr>
                <w:rFonts w:hint="default" w:ascii="Times New Roman" w:hAnsi="Times New Roman" w:eastAsia="宋体" w:cs="Times New Roman"/>
                <w:snapToGrid w:val="0"/>
                <w:color w:val="000000"/>
                <w:spacing w:val="-6"/>
                <w:kern w:val="21"/>
                <w:szCs w:val="21"/>
                <w:highlight w:val="none"/>
              </w:rPr>
              <w:instrText xml:space="preserve"> = 2 \* GB3 \* MERGEFORMAT </w:instrText>
            </w:r>
            <w:r>
              <w:rPr>
                <w:rFonts w:hint="default" w:ascii="Times New Roman" w:hAnsi="Times New Roman" w:eastAsia="宋体" w:cs="Times New Roman"/>
                <w:snapToGrid w:val="0"/>
                <w:color w:val="000000"/>
                <w:spacing w:val="-6"/>
                <w:kern w:val="21"/>
                <w:szCs w:val="21"/>
                <w:highlight w:val="none"/>
              </w:rPr>
              <w:fldChar w:fldCharType="separate"/>
            </w:r>
            <w:r>
              <w:rPr>
                <w:rFonts w:hint="default" w:ascii="Times New Roman" w:hAnsi="Times New Roman" w:eastAsia="宋体" w:cs="Times New Roman"/>
                <w:snapToGrid w:val="0"/>
                <w:color w:val="000000"/>
                <w:spacing w:val="-6"/>
                <w:kern w:val="21"/>
                <w:szCs w:val="21"/>
                <w:highlight w:val="none"/>
              </w:rPr>
              <w:t>②</w:t>
            </w:r>
            <w:r>
              <w:rPr>
                <w:rFonts w:hint="default" w:ascii="Times New Roman" w:hAnsi="Times New Roman" w:eastAsia="宋体" w:cs="Times New Roman"/>
                <w:snapToGrid w:val="0"/>
                <w:color w:val="000000"/>
                <w:spacing w:val="-6"/>
                <w:kern w:val="21"/>
                <w:szCs w:val="21"/>
                <w:highlight w:val="none"/>
              </w:rPr>
              <w:fldChar w:fldCharType="end"/>
            </w:r>
          </w:p>
        </w:tc>
        <w:tc>
          <w:tcPr>
            <w:tcW w:w="1701"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在建工程</w:t>
            </w:r>
          </w:p>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排放量（固体废物产生量）</w:t>
            </w:r>
            <w:r>
              <w:rPr>
                <w:rFonts w:hint="default" w:ascii="Times New Roman" w:hAnsi="Times New Roman" w:eastAsia="宋体" w:cs="Times New Roman"/>
                <w:snapToGrid w:val="0"/>
                <w:color w:val="000000"/>
                <w:spacing w:val="-6"/>
                <w:kern w:val="21"/>
                <w:szCs w:val="21"/>
                <w:highlight w:val="none"/>
              </w:rPr>
              <w:fldChar w:fldCharType="begin"/>
            </w:r>
            <w:r>
              <w:rPr>
                <w:rFonts w:hint="default" w:ascii="Times New Roman" w:hAnsi="Times New Roman" w:eastAsia="宋体" w:cs="Times New Roman"/>
                <w:snapToGrid w:val="0"/>
                <w:color w:val="000000"/>
                <w:spacing w:val="-6"/>
                <w:kern w:val="21"/>
                <w:szCs w:val="21"/>
                <w:highlight w:val="none"/>
              </w:rPr>
              <w:instrText xml:space="preserve"> = 3 \* GB3 \* MERGEFORMAT </w:instrText>
            </w:r>
            <w:r>
              <w:rPr>
                <w:rFonts w:hint="default" w:ascii="Times New Roman" w:hAnsi="Times New Roman" w:eastAsia="宋体" w:cs="Times New Roman"/>
                <w:snapToGrid w:val="0"/>
                <w:color w:val="000000"/>
                <w:spacing w:val="-6"/>
                <w:kern w:val="21"/>
                <w:szCs w:val="21"/>
                <w:highlight w:val="none"/>
              </w:rPr>
              <w:fldChar w:fldCharType="separate"/>
            </w:r>
            <w:r>
              <w:rPr>
                <w:rFonts w:hint="default" w:ascii="Times New Roman" w:hAnsi="Times New Roman" w:eastAsia="宋体" w:cs="Times New Roman"/>
                <w:kern w:val="2"/>
                <w:szCs w:val="21"/>
                <w:highlight w:val="none"/>
              </w:rPr>
              <w:t>③</w:t>
            </w:r>
            <w:r>
              <w:rPr>
                <w:rFonts w:hint="default" w:ascii="Times New Roman" w:hAnsi="Times New Roman" w:eastAsia="宋体" w:cs="Times New Roman"/>
                <w:snapToGrid w:val="0"/>
                <w:color w:val="000000"/>
                <w:spacing w:val="-6"/>
                <w:kern w:val="21"/>
                <w:szCs w:val="21"/>
                <w:highlight w:val="none"/>
              </w:rPr>
              <w:fldChar w:fldCharType="end"/>
            </w:r>
          </w:p>
        </w:tc>
        <w:tc>
          <w:tcPr>
            <w:tcW w:w="1559"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本项目</w:t>
            </w:r>
          </w:p>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排放量（固体废物产生量）</w:t>
            </w:r>
            <w:r>
              <w:rPr>
                <w:rFonts w:hint="default" w:ascii="Times New Roman" w:hAnsi="Times New Roman" w:eastAsia="宋体" w:cs="Times New Roman"/>
                <w:snapToGrid w:val="0"/>
                <w:color w:val="000000"/>
                <w:spacing w:val="-6"/>
                <w:kern w:val="21"/>
                <w:szCs w:val="21"/>
                <w:highlight w:val="none"/>
              </w:rPr>
              <w:fldChar w:fldCharType="begin"/>
            </w:r>
            <w:r>
              <w:rPr>
                <w:rFonts w:hint="default" w:ascii="Times New Roman" w:hAnsi="Times New Roman" w:eastAsia="宋体" w:cs="Times New Roman"/>
                <w:snapToGrid w:val="0"/>
                <w:color w:val="000000"/>
                <w:spacing w:val="-6"/>
                <w:kern w:val="21"/>
                <w:szCs w:val="21"/>
                <w:highlight w:val="none"/>
              </w:rPr>
              <w:instrText xml:space="preserve"> = 4 \* GB3 \* MERGEFORMAT </w:instrText>
            </w:r>
            <w:r>
              <w:rPr>
                <w:rFonts w:hint="default" w:ascii="Times New Roman" w:hAnsi="Times New Roman" w:eastAsia="宋体" w:cs="Times New Roman"/>
                <w:snapToGrid w:val="0"/>
                <w:color w:val="000000"/>
                <w:spacing w:val="-6"/>
                <w:kern w:val="21"/>
                <w:szCs w:val="21"/>
                <w:highlight w:val="none"/>
              </w:rPr>
              <w:fldChar w:fldCharType="separate"/>
            </w:r>
            <w:r>
              <w:rPr>
                <w:rFonts w:hint="default" w:ascii="Times New Roman" w:hAnsi="Times New Roman" w:eastAsia="宋体" w:cs="Times New Roman"/>
                <w:kern w:val="2"/>
                <w:szCs w:val="21"/>
                <w:highlight w:val="none"/>
              </w:rPr>
              <w:t>④</w:t>
            </w:r>
            <w:r>
              <w:rPr>
                <w:rFonts w:hint="default" w:ascii="Times New Roman" w:hAnsi="Times New Roman" w:eastAsia="宋体" w:cs="Times New Roman"/>
                <w:snapToGrid w:val="0"/>
                <w:color w:val="000000"/>
                <w:spacing w:val="-6"/>
                <w:kern w:val="21"/>
                <w:szCs w:val="21"/>
                <w:highlight w:val="none"/>
              </w:rPr>
              <w:fldChar w:fldCharType="end"/>
            </w:r>
          </w:p>
        </w:tc>
        <w:tc>
          <w:tcPr>
            <w:tcW w:w="1454"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16"/>
                <w:kern w:val="21"/>
                <w:szCs w:val="21"/>
                <w:highlight w:val="none"/>
              </w:rPr>
            </w:pPr>
            <w:r>
              <w:rPr>
                <w:rFonts w:hint="default" w:ascii="Times New Roman" w:hAnsi="Times New Roman" w:eastAsia="宋体" w:cs="Times New Roman"/>
                <w:snapToGrid w:val="0"/>
                <w:color w:val="000000"/>
                <w:spacing w:val="-16"/>
                <w:kern w:val="21"/>
                <w:szCs w:val="21"/>
                <w:highlight w:val="none"/>
              </w:rPr>
              <w:t>以新带老削减量</w:t>
            </w:r>
          </w:p>
          <w:p>
            <w:pPr>
              <w:pStyle w:val="64"/>
              <w:spacing w:beforeLines="0" w:afterLines="0" w:line="240" w:lineRule="auto"/>
              <w:rPr>
                <w:rFonts w:hint="default" w:ascii="Times New Roman" w:hAnsi="Times New Roman" w:eastAsia="宋体" w:cs="Times New Roman"/>
                <w:snapToGrid w:val="0"/>
                <w:color w:val="000000"/>
                <w:spacing w:val="-16"/>
                <w:kern w:val="21"/>
                <w:szCs w:val="21"/>
                <w:highlight w:val="none"/>
              </w:rPr>
            </w:pPr>
            <w:r>
              <w:rPr>
                <w:rFonts w:hint="default" w:ascii="Times New Roman" w:hAnsi="Times New Roman" w:eastAsia="宋体" w:cs="Times New Roman"/>
                <w:snapToGrid w:val="0"/>
                <w:color w:val="000000"/>
                <w:spacing w:val="-16"/>
                <w:kern w:val="21"/>
                <w:szCs w:val="21"/>
                <w:highlight w:val="none"/>
              </w:rPr>
              <w:t>（新建项目不填）</w:t>
            </w:r>
            <w:r>
              <w:rPr>
                <w:rFonts w:hint="default" w:ascii="Times New Roman" w:hAnsi="Times New Roman" w:eastAsia="宋体" w:cs="Times New Roman"/>
                <w:snapToGrid w:val="0"/>
                <w:color w:val="000000"/>
                <w:spacing w:val="-16"/>
                <w:kern w:val="21"/>
                <w:szCs w:val="21"/>
                <w:highlight w:val="none"/>
              </w:rPr>
              <w:fldChar w:fldCharType="begin"/>
            </w:r>
            <w:r>
              <w:rPr>
                <w:rFonts w:hint="default" w:ascii="Times New Roman" w:hAnsi="Times New Roman" w:eastAsia="宋体" w:cs="Times New Roman"/>
                <w:snapToGrid w:val="0"/>
                <w:color w:val="000000"/>
                <w:spacing w:val="-16"/>
                <w:kern w:val="21"/>
                <w:szCs w:val="21"/>
                <w:highlight w:val="none"/>
              </w:rPr>
              <w:instrText xml:space="preserve"> = 5 \* GB3 \* MERGEFORMAT </w:instrText>
            </w:r>
            <w:r>
              <w:rPr>
                <w:rFonts w:hint="default" w:ascii="Times New Roman" w:hAnsi="Times New Roman" w:eastAsia="宋体" w:cs="Times New Roman"/>
                <w:snapToGrid w:val="0"/>
                <w:color w:val="000000"/>
                <w:spacing w:val="-16"/>
                <w:kern w:val="21"/>
                <w:szCs w:val="21"/>
                <w:highlight w:val="none"/>
              </w:rPr>
              <w:fldChar w:fldCharType="separate"/>
            </w:r>
            <w:r>
              <w:rPr>
                <w:rFonts w:hint="default" w:ascii="Times New Roman" w:hAnsi="Times New Roman" w:eastAsia="宋体" w:cs="Times New Roman"/>
                <w:kern w:val="2"/>
                <w:szCs w:val="21"/>
                <w:highlight w:val="none"/>
              </w:rPr>
              <w:t>⑤</w:t>
            </w:r>
            <w:r>
              <w:rPr>
                <w:rFonts w:hint="default" w:ascii="Times New Roman" w:hAnsi="Times New Roman" w:eastAsia="宋体" w:cs="Times New Roman"/>
                <w:snapToGrid w:val="0"/>
                <w:color w:val="000000"/>
                <w:spacing w:val="-16"/>
                <w:kern w:val="21"/>
                <w:szCs w:val="21"/>
                <w:highlight w:val="none"/>
              </w:rPr>
              <w:fldChar w:fldCharType="end"/>
            </w:r>
          </w:p>
        </w:tc>
        <w:tc>
          <w:tcPr>
            <w:tcW w:w="1573"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16"/>
                <w:kern w:val="21"/>
                <w:szCs w:val="21"/>
                <w:highlight w:val="none"/>
              </w:rPr>
            </w:pPr>
            <w:r>
              <w:rPr>
                <w:rFonts w:hint="default" w:ascii="Times New Roman" w:hAnsi="Times New Roman" w:eastAsia="宋体" w:cs="Times New Roman"/>
                <w:snapToGrid w:val="0"/>
                <w:color w:val="000000"/>
                <w:spacing w:val="-16"/>
                <w:kern w:val="21"/>
                <w:szCs w:val="21"/>
                <w:highlight w:val="none"/>
              </w:rPr>
              <w:t>本项目建成后</w:t>
            </w:r>
          </w:p>
          <w:p>
            <w:pPr>
              <w:pStyle w:val="64"/>
              <w:spacing w:beforeLines="0" w:afterLines="0" w:line="240" w:lineRule="auto"/>
              <w:rPr>
                <w:rFonts w:hint="default" w:ascii="Times New Roman" w:hAnsi="Times New Roman" w:eastAsia="宋体" w:cs="Times New Roman"/>
                <w:snapToGrid w:val="0"/>
                <w:color w:val="000000"/>
                <w:spacing w:val="-16"/>
                <w:kern w:val="21"/>
                <w:szCs w:val="21"/>
                <w:highlight w:val="none"/>
              </w:rPr>
            </w:pPr>
            <w:r>
              <w:rPr>
                <w:rFonts w:hint="default" w:ascii="Times New Roman" w:hAnsi="Times New Roman" w:eastAsia="宋体" w:cs="Times New Roman"/>
                <w:snapToGrid w:val="0"/>
                <w:color w:val="000000"/>
                <w:spacing w:val="-16"/>
                <w:kern w:val="21"/>
                <w:szCs w:val="21"/>
                <w:highlight w:val="none"/>
              </w:rPr>
              <w:t>全厂排放量（固体废物产生量）</w:t>
            </w:r>
            <w:r>
              <w:rPr>
                <w:rFonts w:hint="default" w:ascii="Times New Roman" w:hAnsi="Times New Roman" w:eastAsia="宋体" w:cs="Times New Roman"/>
                <w:snapToGrid w:val="0"/>
                <w:color w:val="000000"/>
                <w:spacing w:val="-16"/>
                <w:kern w:val="21"/>
                <w:szCs w:val="21"/>
                <w:highlight w:val="none"/>
              </w:rPr>
              <w:fldChar w:fldCharType="begin"/>
            </w:r>
            <w:r>
              <w:rPr>
                <w:rFonts w:hint="default" w:ascii="Times New Roman" w:hAnsi="Times New Roman" w:eastAsia="宋体" w:cs="Times New Roman"/>
                <w:snapToGrid w:val="0"/>
                <w:color w:val="000000"/>
                <w:spacing w:val="-16"/>
                <w:kern w:val="21"/>
                <w:szCs w:val="21"/>
                <w:highlight w:val="none"/>
              </w:rPr>
              <w:instrText xml:space="preserve"> = 6 \* GB3 \* MERGEFORMAT </w:instrText>
            </w:r>
            <w:r>
              <w:rPr>
                <w:rFonts w:hint="default" w:ascii="Times New Roman" w:hAnsi="Times New Roman" w:eastAsia="宋体" w:cs="Times New Roman"/>
                <w:snapToGrid w:val="0"/>
                <w:color w:val="000000"/>
                <w:spacing w:val="-16"/>
                <w:kern w:val="21"/>
                <w:szCs w:val="21"/>
                <w:highlight w:val="none"/>
              </w:rPr>
              <w:fldChar w:fldCharType="separate"/>
            </w:r>
            <w:r>
              <w:rPr>
                <w:rFonts w:hint="default" w:ascii="Times New Roman" w:hAnsi="Times New Roman" w:eastAsia="宋体" w:cs="Times New Roman"/>
                <w:kern w:val="2"/>
                <w:szCs w:val="21"/>
                <w:highlight w:val="none"/>
              </w:rPr>
              <w:t>⑥</w:t>
            </w:r>
            <w:r>
              <w:rPr>
                <w:rFonts w:hint="default" w:ascii="Times New Roman" w:hAnsi="Times New Roman" w:eastAsia="宋体" w:cs="Times New Roman"/>
                <w:snapToGrid w:val="0"/>
                <w:color w:val="000000"/>
                <w:spacing w:val="-16"/>
                <w:kern w:val="21"/>
                <w:szCs w:val="21"/>
                <w:highlight w:val="none"/>
              </w:rPr>
              <w:fldChar w:fldCharType="end"/>
            </w:r>
          </w:p>
        </w:tc>
        <w:tc>
          <w:tcPr>
            <w:tcW w:w="1519" w:type="dxa"/>
            <w:noWrap w:val="0"/>
            <w:tcMar>
              <w:left w:w="28" w:type="dxa"/>
              <w:right w:w="28" w:type="dxa"/>
            </w:tcMar>
            <w:vAlign w:val="center"/>
          </w:tcPr>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t>变化量</w:t>
            </w:r>
          </w:p>
          <w:p>
            <w:pPr>
              <w:pStyle w:val="64"/>
              <w:spacing w:beforeLines="0" w:afterLines="0" w:line="240" w:lineRule="auto"/>
              <w:rPr>
                <w:rFonts w:hint="default" w:ascii="Times New Roman" w:hAnsi="Times New Roman" w:eastAsia="宋体" w:cs="Times New Roman"/>
                <w:snapToGrid w:val="0"/>
                <w:color w:val="000000"/>
                <w:spacing w:val="-6"/>
                <w:kern w:val="21"/>
                <w:szCs w:val="21"/>
                <w:highlight w:val="none"/>
              </w:rPr>
            </w:pPr>
            <w:r>
              <w:rPr>
                <w:rFonts w:hint="default" w:ascii="Times New Roman" w:hAnsi="Times New Roman" w:eastAsia="宋体" w:cs="Times New Roman"/>
                <w:snapToGrid w:val="0"/>
                <w:color w:val="000000"/>
                <w:spacing w:val="-6"/>
                <w:kern w:val="21"/>
                <w:szCs w:val="21"/>
                <w:highlight w:val="none"/>
              </w:rPr>
              <w:fldChar w:fldCharType="begin"/>
            </w:r>
            <w:r>
              <w:rPr>
                <w:rFonts w:hint="default" w:ascii="Times New Roman" w:hAnsi="Times New Roman" w:eastAsia="宋体" w:cs="Times New Roman"/>
                <w:snapToGrid w:val="0"/>
                <w:color w:val="000000"/>
                <w:spacing w:val="-6"/>
                <w:kern w:val="21"/>
                <w:szCs w:val="21"/>
                <w:highlight w:val="none"/>
              </w:rPr>
              <w:instrText xml:space="preserve"> = 7 \* GB3 \* MERGEFORMAT </w:instrText>
            </w:r>
            <w:r>
              <w:rPr>
                <w:rFonts w:hint="default" w:ascii="Times New Roman" w:hAnsi="Times New Roman" w:eastAsia="宋体" w:cs="Times New Roman"/>
                <w:snapToGrid w:val="0"/>
                <w:color w:val="000000"/>
                <w:spacing w:val="-6"/>
                <w:kern w:val="21"/>
                <w:szCs w:val="21"/>
                <w:highlight w:val="none"/>
              </w:rPr>
              <w:fldChar w:fldCharType="separate"/>
            </w:r>
            <w:r>
              <w:rPr>
                <w:rFonts w:hint="default" w:ascii="Times New Roman" w:hAnsi="Times New Roman" w:eastAsia="宋体" w:cs="Times New Roman"/>
                <w:kern w:val="2"/>
                <w:szCs w:val="21"/>
                <w:highlight w:val="none"/>
              </w:rPr>
              <w:t>⑦</w:t>
            </w:r>
            <w:r>
              <w:rPr>
                <w:rFonts w:hint="default" w:ascii="Times New Roman" w:hAnsi="Times New Roman" w:eastAsia="宋体" w:cs="Times New Roman"/>
                <w:snapToGrid w:val="0"/>
                <w:color w:val="000000"/>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restart"/>
            <w:noWrap w:val="0"/>
            <w:vAlign w:val="center"/>
          </w:tcPr>
          <w:p>
            <w:pPr>
              <w:pStyle w:val="64"/>
              <w:spacing w:beforeLines="0" w:afterLines="0" w:line="240" w:lineRule="auto"/>
              <w:rPr>
                <w:rFonts w:hint="eastAsia"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废气</w:t>
            </w:r>
          </w:p>
        </w:tc>
        <w:tc>
          <w:tcPr>
            <w:tcW w:w="1417"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颗粒物</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0.024t/a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73"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0.024t/a</w:t>
            </w:r>
          </w:p>
        </w:tc>
        <w:tc>
          <w:tcPr>
            <w:tcW w:w="151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+0.024t/a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pacing w:val="0"/>
                <w:kern w:val="0"/>
                <w:position w:val="0"/>
                <w:sz w:val="21"/>
                <w:szCs w:val="21"/>
                <w:highlight w:val="none"/>
                <w:lang w:val="en-US" w:eastAsia="zh-CN" w:bidi="ar-SA"/>
              </w:rPr>
              <w:t>SO</w:t>
            </w:r>
            <w:r>
              <w:rPr>
                <w:rFonts w:hint="default" w:ascii="Times New Roman" w:hAnsi="Times New Roman" w:eastAsia="宋体" w:cs="Times New Roman"/>
                <w:b w:val="0"/>
                <w:bCs w:val="0"/>
                <w:color w:val="auto"/>
                <w:spacing w:val="0"/>
                <w:kern w:val="0"/>
                <w:position w:val="0"/>
                <w:sz w:val="21"/>
                <w:szCs w:val="21"/>
                <w:highlight w:val="none"/>
                <w:vertAlign w:val="subscript"/>
                <w:lang w:val="en-US" w:eastAsia="zh-CN" w:bidi="ar-SA"/>
              </w:rPr>
              <w:t>2</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0.003t/a</w:t>
            </w:r>
          </w:p>
        </w:tc>
        <w:tc>
          <w:tcPr>
            <w:tcW w:w="1454" w:type="dxa"/>
            <w:noWrap w:val="0"/>
            <w:vAlign w:val="center"/>
          </w:tcPr>
          <w:p>
            <w:pPr>
              <w:spacing w:beforeLines="0" w:afterLines="0" w:line="240" w:lineRule="auto"/>
              <w:jc w:val="center"/>
              <w:rPr>
                <w:rFonts w:hint="default"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73"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0.003t/a</w:t>
            </w:r>
          </w:p>
        </w:tc>
        <w:tc>
          <w:tcPr>
            <w:tcW w:w="151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NOx</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0.081t/a</w:t>
            </w:r>
          </w:p>
        </w:tc>
        <w:tc>
          <w:tcPr>
            <w:tcW w:w="1454" w:type="dxa"/>
            <w:noWrap w:val="0"/>
            <w:vAlign w:val="center"/>
          </w:tcPr>
          <w:p>
            <w:pPr>
              <w:spacing w:beforeLines="0" w:afterLines="0" w:line="240" w:lineRule="auto"/>
              <w:jc w:val="center"/>
              <w:rPr>
                <w:rFonts w:hint="default"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73"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0.081t/a</w:t>
            </w:r>
          </w:p>
        </w:tc>
        <w:tc>
          <w:tcPr>
            <w:tcW w:w="151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+0.081t/a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NH</w:t>
            </w:r>
            <w:r>
              <w:rPr>
                <w:rFonts w:hint="eastAsia" w:cs="Times New Roman"/>
                <w:b w:val="0"/>
                <w:bCs w:val="0"/>
                <w:color w:val="auto"/>
                <w:kern w:val="2"/>
                <w:sz w:val="21"/>
                <w:szCs w:val="21"/>
                <w:highlight w:val="none"/>
                <w:vertAlign w:val="subscript"/>
                <w:lang w:val="en-US" w:eastAsia="zh-CN" w:bidi="ar-SA"/>
              </w:rPr>
              <w:t>3</w:t>
            </w:r>
          </w:p>
        </w:tc>
        <w:tc>
          <w:tcPr>
            <w:tcW w:w="1701"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p>
        </w:tc>
        <w:tc>
          <w:tcPr>
            <w:tcW w:w="1276"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p>
        </w:tc>
        <w:tc>
          <w:tcPr>
            <w:tcW w:w="1701"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p>
        </w:tc>
        <w:tc>
          <w:tcPr>
            <w:tcW w:w="155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0.014t/a</w:t>
            </w:r>
          </w:p>
        </w:tc>
        <w:tc>
          <w:tcPr>
            <w:tcW w:w="1454"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p>
        </w:tc>
        <w:tc>
          <w:tcPr>
            <w:tcW w:w="1573"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0.014t/a</w:t>
            </w:r>
          </w:p>
        </w:tc>
        <w:tc>
          <w:tcPr>
            <w:tcW w:w="151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+0.014t/a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r>
              <w:rPr>
                <w:rFonts w:hint="eastAsia" w:cs="Times New Roman"/>
                <w:b w:val="0"/>
                <w:bCs w:val="0"/>
                <w:color w:val="auto"/>
                <w:kern w:val="2"/>
                <w:sz w:val="21"/>
                <w:szCs w:val="21"/>
                <w:highlight w:val="none"/>
                <w:vertAlign w:val="subscript"/>
                <w:lang w:val="en-US" w:eastAsia="zh-CN" w:bidi="ar-SA"/>
              </w:rPr>
              <w:t>2</w:t>
            </w:r>
            <w:r>
              <w:rPr>
                <w:rFonts w:hint="eastAsia" w:cs="Times New Roman"/>
                <w:b w:val="0"/>
                <w:bCs w:val="0"/>
                <w:color w:val="auto"/>
                <w:kern w:val="2"/>
                <w:sz w:val="21"/>
                <w:szCs w:val="21"/>
                <w:highlight w:val="none"/>
                <w:lang w:val="en-US" w:eastAsia="zh-CN" w:bidi="ar-SA"/>
              </w:rPr>
              <w:t>S</w:t>
            </w:r>
          </w:p>
        </w:tc>
        <w:tc>
          <w:tcPr>
            <w:tcW w:w="1701"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0.00054t/a</w:t>
            </w:r>
          </w:p>
        </w:tc>
        <w:tc>
          <w:tcPr>
            <w:tcW w:w="1454" w:type="dxa"/>
            <w:noWrap w:val="0"/>
            <w:vAlign w:val="center"/>
          </w:tcPr>
          <w:p>
            <w:pPr>
              <w:spacing w:beforeLines="0" w:afterLines="0" w:line="240" w:lineRule="auto"/>
              <w:jc w:val="center"/>
              <w:rPr>
                <w:rFonts w:hint="eastAsia" w:cs="Times New Roman"/>
                <w:snapToGrid w:val="0"/>
                <w:color w:val="000000"/>
                <w:kern w:val="21"/>
                <w:szCs w:val="21"/>
                <w:highlight w:val="none"/>
                <w:lang w:val="en-US" w:eastAsia="zh-CN"/>
              </w:rPr>
            </w:pPr>
            <w:r>
              <w:rPr>
                <w:rFonts w:hint="eastAsia" w:cs="Times New Roman"/>
                <w:snapToGrid w:val="0"/>
                <w:color w:val="000000"/>
                <w:kern w:val="21"/>
                <w:szCs w:val="21"/>
                <w:highlight w:val="none"/>
                <w:lang w:val="en-US" w:eastAsia="zh-CN"/>
              </w:rPr>
              <w:t>/</w:t>
            </w:r>
          </w:p>
        </w:tc>
        <w:tc>
          <w:tcPr>
            <w:tcW w:w="1573"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0.00054t/a</w:t>
            </w:r>
          </w:p>
        </w:tc>
        <w:tc>
          <w:tcPr>
            <w:tcW w:w="1519"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+0.00054t/a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restart"/>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r>
              <w:rPr>
                <w:rFonts w:hint="default" w:ascii="Times New Roman" w:hAnsi="Times New Roman" w:eastAsia="宋体" w:cs="Times New Roman"/>
                <w:snapToGrid w:val="0"/>
                <w:color w:val="000000"/>
                <w:kern w:val="21"/>
                <w:szCs w:val="21"/>
                <w:highlight w:val="none"/>
              </w:rPr>
              <w:t>废水</w:t>
            </w:r>
          </w:p>
        </w:tc>
        <w:tc>
          <w:tcPr>
            <w:tcW w:w="1417" w:type="dxa"/>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lang w:val="en-US" w:eastAsia="zh-CN"/>
              </w:rPr>
            </w:pPr>
            <w:r>
              <w:rPr>
                <w:rFonts w:hint="default" w:ascii="Times New Roman" w:hAnsi="Times New Roman" w:eastAsia="宋体" w:cs="Times New Roman"/>
                <w:snapToGrid w:val="0"/>
                <w:color w:val="000000"/>
                <w:kern w:val="21"/>
                <w:szCs w:val="21"/>
                <w:highlight w:val="none"/>
                <w:lang w:val="en-US" w:eastAsia="zh-CN"/>
              </w:rPr>
              <w:t>COD</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noWrap w:val="0"/>
            <w:vAlign w:val="center"/>
          </w:tcPr>
          <w:p>
            <w:pPr>
              <w:pStyle w:val="64"/>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0.448</w:t>
            </w:r>
            <w:r>
              <w:rPr>
                <w:rFonts w:hint="default" w:ascii="Times New Roman" w:hAnsi="Times New Roman" w:eastAsia="宋体" w:cs="Times New Roman"/>
                <w:snapToGrid w:val="0"/>
                <w:color w:val="000000"/>
                <w:kern w:val="21"/>
                <w:szCs w:val="21"/>
                <w:highlight w:val="none"/>
                <w:lang w:val="en-US" w:eastAsia="zh-CN"/>
              </w:rPr>
              <w:t>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pStyle w:val="64"/>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zh-CN"/>
              </w:rPr>
            </w:pPr>
            <w:r>
              <w:rPr>
                <w:rFonts w:hint="eastAsia" w:ascii="Times New Roman" w:hAnsi="Times New Roman" w:eastAsia="宋体" w:cs="Times New Roman"/>
                <w:snapToGrid w:val="0"/>
                <w:color w:val="000000"/>
                <w:kern w:val="21"/>
                <w:szCs w:val="21"/>
                <w:highlight w:val="none"/>
                <w:lang w:val="en-US" w:eastAsia="zh-CN"/>
              </w:rPr>
              <w:t>0.448</w:t>
            </w:r>
            <w:r>
              <w:rPr>
                <w:rFonts w:hint="default" w:ascii="Times New Roman" w:hAnsi="Times New Roman" w:eastAsia="宋体" w:cs="Times New Roman"/>
                <w:snapToGrid w:val="0"/>
                <w:color w:val="000000"/>
                <w:kern w:val="21"/>
                <w:szCs w:val="21"/>
                <w:highlight w:val="none"/>
                <w:lang w:val="en-US" w:eastAsia="zh-CN"/>
              </w:rPr>
              <w:t>t/a</w:t>
            </w:r>
          </w:p>
        </w:tc>
        <w:tc>
          <w:tcPr>
            <w:tcW w:w="1519" w:type="dxa"/>
            <w:shd w:val="clear" w:color="auto" w:fill="auto"/>
            <w:noWrap w:val="0"/>
            <w:vAlign w:val="center"/>
          </w:tcPr>
          <w:p>
            <w:pPr>
              <w:pStyle w:val="64"/>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zh-CN"/>
              </w:rPr>
            </w:pPr>
            <w:r>
              <w:rPr>
                <w:rFonts w:hint="eastAsia" w:ascii="Times New Roman" w:hAnsi="Times New Roman" w:eastAsia="宋体" w:cs="Times New Roman"/>
                <w:snapToGrid w:val="0"/>
                <w:color w:val="000000"/>
                <w:kern w:val="21"/>
                <w:szCs w:val="21"/>
                <w:highlight w:val="none"/>
                <w:lang w:val="en-US" w:eastAsia="zh-CN"/>
              </w:rPr>
              <w:t>+0.448</w:t>
            </w:r>
            <w:r>
              <w:rPr>
                <w:rFonts w:hint="default" w:ascii="Times New Roman" w:hAnsi="Times New Roman" w:eastAsia="宋体" w:cs="Times New Roman"/>
                <w:snapToGrid w:val="0"/>
                <w:color w:val="000000"/>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NH</w:t>
            </w:r>
            <w:r>
              <w:rPr>
                <w:rFonts w:hint="eastAsia" w:ascii="Times New Roman" w:hAnsi="Times New Roman" w:eastAsia="宋体" w:cs="Times New Roman"/>
                <w:snapToGrid w:val="0"/>
                <w:color w:val="000000"/>
                <w:kern w:val="21"/>
                <w:szCs w:val="21"/>
                <w:highlight w:val="none"/>
                <w:vertAlign w:val="subscript"/>
                <w:lang w:val="en-US" w:eastAsia="zh-CN"/>
              </w:rPr>
              <w:t>3</w:t>
            </w:r>
            <w:r>
              <w:rPr>
                <w:rFonts w:hint="eastAsia" w:ascii="Times New Roman" w:hAnsi="Times New Roman" w:eastAsia="宋体" w:cs="Times New Roman"/>
                <w:snapToGrid w:val="0"/>
                <w:color w:val="000000"/>
                <w:kern w:val="21"/>
                <w:szCs w:val="21"/>
                <w:highlight w:val="none"/>
                <w:lang w:val="en-US" w:eastAsia="zh-CN"/>
              </w:rPr>
              <w:t>-N</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noWrap w:val="0"/>
            <w:vAlign w:val="center"/>
          </w:tcPr>
          <w:p>
            <w:pPr>
              <w:pStyle w:val="64"/>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0.017</w:t>
            </w:r>
            <w:r>
              <w:rPr>
                <w:rFonts w:hint="default" w:ascii="Times New Roman" w:hAnsi="Times New Roman" w:eastAsia="宋体" w:cs="Times New Roman"/>
                <w:snapToGrid w:val="0"/>
                <w:color w:val="000000"/>
                <w:kern w:val="21"/>
                <w:szCs w:val="21"/>
                <w:highlight w:val="none"/>
                <w:lang w:val="en-US" w:eastAsia="zh-CN"/>
              </w:rPr>
              <w:t>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pStyle w:val="64"/>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zh-CN"/>
              </w:rPr>
            </w:pPr>
            <w:r>
              <w:rPr>
                <w:rFonts w:hint="eastAsia" w:ascii="Times New Roman" w:hAnsi="Times New Roman" w:eastAsia="宋体" w:cs="Times New Roman"/>
                <w:snapToGrid w:val="0"/>
                <w:color w:val="000000"/>
                <w:kern w:val="21"/>
                <w:szCs w:val="21"/>
                <w:highlight w:val="none"/>
                <w:lang w:val="en-US" w:eastAsia="zh-CN"/>
              </w:rPr>
              <w:t>0.017</w:t>
            </w:r>
            <w:r>
              <w:rPr>
                <w:rFonts w:hint="default" w:ascii="Times New Roman" w:hAnsi="Times New Roman" w:eastAsia="宋体" w:cs="Times New Roman"/>
                <w:snapToGrid w:val="0"/>
                <w:color w:val="000000"/>
                <w:kern w:val="21"/>
                <w:szCs w:val="21"/>
                <w:highlight w:val="none"/>
                <w:lang w:val="en-US" w:eastAsia="zh-CN"/>
              </w:rPr>
              <w:t>t/a</w:t>
            </w:r>
          </w:p>
        </w:tc>
        <w:tc>
          <w:tcPr>
            <w:tcW w:w="1519" w:type="dxa"/>
            <w:shd w:val="clear" w:color="auto" w:fill="auto"/>
            <w:noWrap w:val="0"/>
            <w:vAlign w:val="center"/>
          </w:tcPr>
          <w:p>
            <w:pPr>
              <w:pStyle w:val="64"/>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zh-CN"/>
              </w:rPr>
            </w:pPr>
            <w:r>
              <w:rPr>
                <w:rFonts w:hint="eastAsia" w:ascii="Times New Roman" w:hAnsi="Times New Roman" w:eastAsia="宋体" w:cs="Times New Roman"/>
                <w:snapToGrid w:val="0"/>
                <w:color w:val="000000"/>
                <w:kern w:val="21"/>
                <w:szCs w:val="21"/>
                <w:highlight w:val="none"/>
                <w:lang w:val="en-US" w:eastAsia="zh-CN"/>
              </w:rPr>
              <w:t>+0.017</w:t>
            </w:r>
            <w:r>
              <w:rPr>
                <w:rFonts w:hint="default" w:ascii="Times New Roman" w:hAnsi="Times New Roman" w:eastAsia="宋体" w:cs="Times New Roman"/>
                <w:snapToGrid w:val="0"/>
                <w:color w:val="000000"/>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restart"/>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r>
              <w:rPr>
                <w:rFonts w:hint="default" w:ascii="Times New Roman" w:hAnsi="Times New Roman" w:eastAsia="宋体" w:cs="Times New Roman"/>
                <w:snapToGrid w:val="0"/>
                <w:color w:val="000000"/>
                <w:kern w:val="21"/>
                <w:szCs w:val="21"/>
                <w:highlight w:val="none"/>
              </w:rPr>
              <w:t>一般工业</w:t>
            </w:r>
          </w:p>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r>
              <w:rPr>
                <w:rFonts w:hint="default" w:ascii="Times New Roman" w:hAnsi="Times New Roman" w:eastAsia="宋体" w:cs="Times New Roman"/>
                <w:snapToGrid w:val="0"/>
                <w:color w:val="000000"/>
                <w:kern w:val="21"/>
                <w:szCs w:val="21"/>
                <w:highlight w:val="none"/>
              </w:rPr>
              <w:t>固体废物</w:t>
            </w:r>
          </w:p>
        </w:tc>
        <w:tc>
          <w:tcPr>
            <w:tcW w:w="1417"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酒糟</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22.368t/a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22.368t/a</w:t>
            </w:r>
          </w:p>
        </w:tc>
        <w:tc>
          <w:tcPr>
            <w:tcW w:w="151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+22.368t/a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rPr>
              <w:t>废包装袋</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bidi="ar"/>
              </w:rPr>
              <w:t>2</w:t>
            </w:r>
            <w:r>
              <w:rPr>
                <w:rFonts w:hint="default" w:ascii="Times New Roman" w:hAnsi="Times New Roman" w:eastAsia="宋体" w:cs="Times New Roman"/>
                <w:b w:val="0"/>
                <w:bCs w:val="0"/>
                <w:kern w:val="0"/>
                <w:sz w:val="21"/>
                <w:szCs w:val="21"/>
                <w:highlight w:val="none"/>
                <w:lang w:val="en-US" w:eastAsia="zh-CN" w:bidi="ar"/>
              </w:rPr>
              <w:t>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ascii="Times New Roman" w:hAnsi="Times New Roman" w:eastAsia="宋体" w:cs="Times New Roman"/>
                <w:b w:val="0"/>
                <w:bCs w:val="0"/>
                <w:kern w:val="0"/>
                <w:sz w:val="21"/>
                <w:szCs w:val="21"/>
                <w:highlight w:val="none"/>
                <w:lang w:bidi="ar"/>
              </w:rPr>
              <w:t>2</w:t>
            </w:r>
            <w:r>
              <w:rPr>
                <w:rFonts w:hint="default" w:ascii="Times New Roman" w:hAnsi="Times New Roman" w:eastAsia="宋体" w:cs="Times New Roman"/>
                <w:b w:val="0"/>
                <w:bCs w:val="0"/>
                <w:kern w:val="0"/>
                <w:sz w:val="21"/>
                <w:szCs w:val="21"/>
                <w:highlight w:val="none"/>
                <w:lang w:val="en-US" w:eastAsia="zh-CN" w:bidi="ar"/>
              </w:rPr>
              <w:t>t/a</w:t>
            </w:r>
          </w:p>
        </w:tc>
        <w:tc>
          <w:tcPr>
            <w:tcW w:w="151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w:t>
            </w:r>
            <w:r>
              <w:rPr>
                <w:rFonts w:ascii="Times New Roman" w:hAnsi="Times New Roman" w:eastAsia="宋体" w:cs="Times New Roman"/>
                <w:b w:val="0"/>
                <w:bCs w:val="0"/>
                <w:kern w:val="0"/>
                <w:sz w:val="21"/>
                <w:szCs w:val="21"/>
                <w:highlight w:val="none"/>
                <w:lang w:bidi="ar"/>
              </w:rPr>
              <w:t>2</w:t>
            </w:r>
            <w:r>
              <w:rPr>
                <w:rFonts w:hint="default" w:ascii="Times New Roman" w:hAnsi="Times New Roman" w:eastAsia="宋体" w:cs="Times New Roman"/>
                <w:b w:val="0"/>
                <w:bCs w:val="0"/>
                <w:kern w:val="0"/>
                <w:sz w:val="21"/>
                <w:szCs w:val="21"/>
                <w:highlight w:val="none"/>
                <w:lang w:val="en-US" w:eastAsia="zh-CN"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废石英砂</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rPr>
              <w:t>0.01t/a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rPr>
              <w:t>0.01t/a</w:t>
            </w:r>
          </w:p>
        </w:tc>
        <w:tc>
          <w:tcPr>
            <w:tcW w:w="151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widowControl/>
              <w:jc w:val="center"/>
              <w:textAlignment w:val="center"/>
              <w:rPr>
                <w:rFonts w:hint="eastAsia"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废活性炭</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0.01t/a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0.01t/a</w:t>
            </w:r>
          </w:p>
        </w:tc>
        <w:tc>
          <w:tcPr>
            <w:tcW w:w="151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废滤膜</w:t>
            </w:r>
          </w:p>
        </w:tc>
        <w:tc>
          <w:tcPr>
            <w:tcW w:w="1701" w:type="dxa"/>
            <w:shd w:val="clear" w:color="auto" w:fill="auto"/>
            <w:noWrap w:val="0"/>
            <w:vAlign w:val="center"/>
          </w:tcPr>
          <w:p>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shd w:val="clear" w:color="auto" w:fill="auto"/>
            <w:noWrap w:val="0"/>
            <w:vAlign w:val="center"/>
          </w:tcPr>
          <w:p>
            <w:pPr>
              <w:jc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0.02t/a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jc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0.02t/a</w:t>
            </w:r>
          </w:p>
        </w:tc>
        <w:tc>
          <w:tcPr>
            <w:tcW w:w="1519" w:type="dxa"/>
            <w:shd w:val="clear" w:color="auto" w:fill="auto"/>
            <w:noWrap w:val="0"/>
            <w:vAlign w:val="center"/>
          </w:tcPr>
          <w:p>
            <w:pPr>
              <w:jc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SA"/>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88" w:type="dxa"/>
            <w:vMerge w:val="continue"/>
            <w:noWrap w:val="0"/>
            <w:vAlign w:val="center"/>
          </w:tcPr>
          <w:p>
            <w:pPr>
              <w:pStyle w:val="64"/>
              <w:spacing w:beforeLines="0" w:afterLines="0" w:line="240" w:lineRule="auto"/>
              <w:rPr>
                <w:rFonts w:hint="default" w:ascii="Times New Roman" w:hAnsi="Times New Roman" w:eastAsia="宋体" w:cs="Times New Roman"/>
                <w:snapToGrid w:val="0"/>
                <w:color w:val="000000"/>
                <w:kern w:val="21"/>
                <w:szCs w:val="21"/>
                <w:highlight w:val="none"/>
              </w:rPr>
            </w:pPr>
          </w:p>
        </w:tc>
        <w:tc>
          <w:tcPr>
            <w:tcW w:w="1417"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破损酒瓶</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5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0.1t/a</w:t>
            </w:r>
          </w:p>
        </w:tc>
        <w:tc>
          <w:tcPr>
            <w:tcW w:w="1454" w:type="dxa"/>
            <w:noWrap w:val="0"/>
            <w:vAlign w:val="center"/>
          </w:tcPr>
          <w:p>
            <w:pPr>
              <w:spacing w:beforeLines="0" w:afterLines="0" w:line="240" w:lineRule="auto"/>
              <w:jc w:val="center"/>
              <w:rPr>
                <w:rFonts w:hint="default" w:ascii="Times New Roman" w:hAnsi="Times New Roman" w:eastAsia="宋体" w:cs="Times New Roman"/>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p>
        </w:tc>
        <w:tc>
          <w:tcPr>
            <w:tcW w:w="1573"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0.1t/a</w:t>
            </w:r>
          </w:p>
        </w:tc>
        <w:tc>
          <w:tcPr>
            <w:tcW w:w="1519" w:type="dxa"/>
            <w:shd w:val="clear" w:color="auto" w:fill="auto"/>
            <w:noWrap w:val="0"/>
            <w:vAlign w:val="center"/>
          </w:tcPr>
          <w:p>
            <w:pPr>
              <w:widowControl/>
              <w:jc w:val="center"/>
              <w:textAlignment w:val="center"/>
              <w:rPr>
                <w:rFonts w:hint="default" w:ascii="Times New Roman" w:hAnsi="Times New Roman" w:eastAsia="宋体" w:cs="Times New Roman"/>
                <w:b w:val="0"/>
                <w:bCs w:val="0"/>
                <w:kern w:val="0"/>
                <w:sz w:val="21"/>
                <w:szCs w:val="21"/>
                <w:highlight w:val="none"/>
                <w:lang w:val="en-US" w:eastAsia="zh-CN" w:bidi="ar-SA"/>
              </w:rPr>
            </w:pPr>
            <w:r>
              <w:rPr>
                <w:rFonts w:hint="eastAsia" w:cs="Times New Roman"/>
                <w:b w:val="0"/>
                <w:bCs w:val="0"/>
                <w:kern w:val="0"/>
                <w:sz w:val="21"/>
                <w:szCs w:val="21"/>
                <w:highlight w:val="none"/>
                <w:lang w:val="en-US" w:eastAsia="zh-CN" w:bidi="ar"/>
              </w:rPr>
              <w:t>+0.1t/a</w:t>
            </w:r>
          </w:p>
        </w:tc>
      </w:tr>
    </w:tbl>
    <w:p>
      <w:pPr>
        <w:pStyle w:val="64"/>
        <w:spacing w:before="192" w:beforeLines="80" w:after="24"/>
        <w:jc w:val="left"/>
        <w:rPr>
          <w:rFonts w:hint="eastAsia" w:ascii="宋体" w:hAnsi="宋体" w:eastAsia="宋体" w:cs="宋体"/>
          <w:highlight w:val="none"/>
        </w:rPr>
      </w:pPr>
      <w:r>
        <w:rPr>
          <w:rFonts w:hint="eastAsia" w:ascii="宋体" w:hAnsi="宋体" w:eastAsia="宋体" w:cs="宋体"/>
          <w:snapToGrid w:val="0"/>
          <w:color w:val="000000"/>
          <w:kern w:val="21"/>
          <w:szCs w:val="21"/>
          <w:highlight w:val="none"/>
        </w:rPr>
        <w:t>注：</w:t>
      </w:r>
      <w:r>
        <w:rPr>
          <w:rFonts w:hint="eastAsia" w:ascii="宋体" w:hAnsi="宋体" w:eastAsia="宋体" w:cs="宋体"/>
          <w:snapToGrid w:val="0"/>
          <w:color w:val="000000"/>
          <w:spacing w:val="-16"/>
          <w:kern w:val="21"/>
          <w:szCs w:val="21"/>
          <w:highlight w:val="none"/>
        </w:rPr>
        <w:fldChar w:fldCharType="begin"/>
      </w:r>
      <w:r>
        <w:rPr>
          <w:rFonts w:hint="eastAsia" w:ascii="宋体" w:hAnsi="宋体" w:eastAsia="宋体" w:cs="宋体"/>
          <w:snapToGrid w:val="0"/>
          <w:color w:val="000000"/>
          <w:spacing w:val="-16"/>
          <w:kern w:val="21"/>
          <w:szCs w:val="21"/>
          <w:highlight w:val="none"/>
        </w:rPr>
        <w:instrText xml:space="preserve"> = 6 \* GB3 \* MERGEFORMAT </w:instrText>
      </w:r>
      <w:r>
        <w:rPr>
          <w:rFonts w:hint="eastAsia" w:ascii="宋体" w:hAnsi="宋体" w:eastAsia="宋体" w:cs="宋体"/>
          <w:snapToGrid w:val="0"/>
          <w:color w:val="000000"/>
          <w:spacing w:val="-16"/>
          <w:kern w:val="21"/>
          <w:szCs w:val="21"/>
          <w:highlight w:val="none"/>
        </w:rPr>
        <w:fldChar w:fldCharType="separate"/>
      </w:r>
      <w:r>
        <w:rPr>
          <w:rFonts w:hint="eastAsia" w:ascii="宋体" w:hAnsi="宋体" w:eastAsia="宋体" w:cs="宋体"/>
          <w:szCs w:val="21"/>
          <w:highlight w:val="none"/>
        </w:rPr>
        <w:t>⑥</w:t>
      </w:r>
      <w:r>
        <w:rPr>
          <w:rFonts w:hint="eastAsia" w:ascii="宋体" w:hAnsi="宋体" w:eastAsia="宋体" w:cs="宋体"/>
          <w:snapToGrid w:val="0"/>
          <w:color w:val="000000"/>
          <w:spacing w:val="-16"/>
          <w:kern w:val="21"/>
          <w:szCs w:val="21"/>
          <w:highlight w:val="none"/>
        </w:rPr>
        <w:fldChar w:fldCharType="end"/>
      </w:r>
      <w:r>
        <w:rPr>
          <w:rFonts w:hint="eastAsia" w:ascii="宋体" w:hAnsi="宋体" w:eastAsia="宋体" w:cs="宋体"/>
          <w:snapToGrid w:val="0"/>
          <w:color w:val="000000"/>
          <w:spacing w:val="-16"/>
          <w:kern w:val="21"/>
          <w:szCs w:val="21"/>
          <w:highlight w:val="none"/>
        </w:rPr>
        <w:t>=</w:t>
      </w:r>
      <w:r>
        <w:rPr>
          <w:rFonts w:hint="eastAsia" w:ascii="宋体" w:hAnsi="宋体" w:eastAsia="宋体" w:cs="宋体"/>
          <w:snapToGrid w:val="0"/>
          <w:color w:val="000000"/>
          <w:spacing w:val="-6"/>
          <w:kern w:val="21"/>
          <w:szCs w:val="21"/>
          <w:highlight w:val="none"/>
        </w:rPr>
        <w:fldChar w:fldCharType="begin"/>
      </w:r>
      <w:r>
        <w:rPr>
          <w:rFonts w:hint="eastAsia" w:ascii="宋体" w:hAnsi="宋体" w:eastAsia="宋体" w:cs="宋体"/>
          <w:snapToGrid w:val="0"/>
          <w:color w:val="000000"/>
          <w:spacing w:val="-6"/>
          <w:kern w:val="21"/>
          <w:szCs w:val="21"/>
          <w:highlight w:val="none"/>
        </w:rPr>
        <w:instrText xml:space="preserve"> = 1 \* GB3 \* MERGEFORMAT </w:instrText>
      </w:r>
      <w:r>
        <w:rPr>
          <w:rFonts w:hint="eastAsia" w:ascii="宋体" w:hAnsi="宋体" w:eastAsia="宋体" w:cs="宋体"/>
          <w:snapToGrid w:val="0"/>
          <w:color w:val="000000"/>
          <w:spacing w:val="-6"/>
          <w:kern w:val="21"/>
          <w:szCs w:val="21"/>
          <w:highlight w:val="none"/>
        </w:rPr>
        <w:fldChar w:fldCharType="separate"/>
      </w:r>
      <w:r>
        <w:rPr>
          <w:rFonts w:hint="eastAsia" w:ascii="宋体" w:hAnsi="宋体" w:eastAsia="宋体" w:cs="宋体"/>
          <w:szCs w:val="21"/>
          <w:highlight w:val="none"/>
        </w:rPr>
        <w:t>①</w:t>
      </w:r>
      <w:r>
        <w:rPr>
          <w:rFonts w:hint="eastAsia" w:ascii="宋体" w:hAnsi="宋体" w:eastAsia="宋体" w:cs="宋体"/>
          <w:snapToGrid w:val="0"/>
          <w:color w:val="000000"/>
          <w:spacing w:val="-6"/>
          <w:kern w:val="21"/>
          <w:szCs w:val="21"/>
          <w:highlight w:val="none"/>
        </w:rPr>
        <w:fldChar w:fldCharType="end"/>
      </w:r>
      <w:r>
        <w:rPr>
          <w:rFonts w:hint="eastAsia" w:ascii="宋体" w:hAnsi="宋体" w:eastAsia="宋体" w:cs="宋体"/>
          <w:snapToGrid w:val="0"/>
          <w:color w:val="000000"/>
          <w:spacing w:val="-6"/>
          <w:kern w:val="21"/>
          <w:szCs w:val="21"/>
          <w:highlight w:val="none"/>
        </w:rPr>
        <w:t>+</w:t>
      </w:r>
      <w:r>
        <w:rPr>
          <w:rFonts w:hint="eastAsia" w:ascii="宋体" w:hAnsi="宋体" w:eastAsia="宋体" w:cs="宋体"/>
          <w:snapToGrid w:val="0"/>
          <w:color w:val="000000"/>
          <w:spacing w:val="-6"/>
          <w:kern w:val="21"/>
          <w:szCs w:val="21"/>
          <w:highlight w:val="none"/>
        </w:rPr>
        <w:fldChar w:fldCharType="begin"/>
      </w:r>
      <w:r>
        <w:rPr>
          <w:rFonts w:hint="eastAsia" w:ascii="宋体" w:hAnsi="宋体" w:eastAsia="宋体" w:cs="宋体"/>
          <w:snapToGrid w:val="0"/>
          <w:color w:val="000000"/>
          <w:spacing w:val="-6"/>
          <w:kern w:val="21"/>
          <w:szCs w:val="21"/>
          <w:highlight w:val="none"/>
        </w:rPr>
        <w:instrText xml:space="preserve"> = 3 \* GB3 \* MERGEFORMAT </w:instrText>
      </w:r>
      <w:r>
        <w:rPr>
          <w:rFonts w:hint="eastAsia" w:ascii="宋体" w:hAnsi="宋体" w:eastAsia="宋体" w:cs="宋体"/>
          <w:snapToGrid w:val="0"/>
          <w:color w:val="000000"/>
          <w:spacing w:val="-6"/>
          <w:kern w:val="21"/>
          <w:szCs w:val="21"/>
          <w:highlight w:val="none"/>
        </w:rPr>
        <w:fldChar w:fldCharType="separate"/>
      </w:r>
      <w:r>
        <w:rPr>
          <w:rFonts w:hint="eastAsia" w:ascii="宋体" w:hAnsi="宋体" w:eastAsia="宋体" w:cs="宋体"/>
          <w:szCs w:val="21"/>
          <w:highlight w:val="none"/>
        </w:rPr>
        <w:t>③</w:t>
      </w:r>
      <w:r>
        <w:rPr>
          <w:rFonts w:hint="eastAsia" w:ascii="宋体" w:hAnsi="宋体" w:eastAsia="宋体" w:cs="宋体"/>
          <w:snapToGrid w:val="0"/>
          <w:color w:val="000000"/>
          <w:spacing w:val="-6"/>
          <w:kern w:val="21"/>
          <w:szCs w:val="21"/>
          <w:highlight w:val="none"/>
        </w:rPr>
        <w:fldChar w:fldCharType="end"/>
      </w:r>
      <w:r>
        <w:rPr>
          <w:rFonts w:hint="eastAsia" w:ascii="宋体" w:hAnsi="宋体" w:eastAsia="宋体" w:cs="宋体"/>
          <w:snapToGrid w:val="0"/>
          <w:color w:val="000000"/>
          <w:spacing w:val="-6"/>
          <w:kern w:val="21"/>
          <w:szCs w:val="21"/>
          <w:highlight w:val="none"/>
        </w:rPr>
        <w:t>+</w:t>
      </w:r>
      <w:r>
        <w:rPr>
          <w:rFonts w:hint="eastAsia" w:ascii="宋体" w:hAnsi="宋体" w:eastAsia="宋体" w:cs="宋体"/>
          <w:snapToGrid w:val="0"/>
          <w:color w:val="000000"/>
          <w:spacing w:val="-6"/>
          <w:kern w:val="21"/>
          <w:szCs w:val="21"/>
          <w:highlight w:val="none"/>
        </w:rPr>
        <w:fldChar w:fldCharType="begin"/>
      </w:r>
      <w:r>
        <w:rPr>
          <w:rFonts w:hint="eastAsia" w:ascii="宋体" w:hAnsi="宋体" w:eastAsia="宋体" w:cs="宋体"/>
          <w:snapToGrid w:val="0"/>
          <w:color w:val="000000"/>
          <w:spacing w:val="-6"/>
          <w:kern w:val="21"/>
          <w:szCs w:val="21"/>
          <w:highlight w:val="none"/>
        </w:rPr>
        <w:instrText xml:space="preserve"> = 4 \* GB3 \* MERGEFORMAT </w:instrText>
      </w:r>
      <w:r>
        <w:rPr>
          <w:rFonts w:hint="eastAsia" w:ascii="宋体" w:hAnsi="宋体" w:eastAsia="宋体" w:cs="宋体"/>
          <w:snapToGrid w:val="0"/>
          <w:color w:val="000000"/>
          <w:spacing w:val="-6"/>
          <w:kern w:val="21"/>
          <w:szCs w:val="21"/>
          <w:highlight w:val="none"/>
        </w:rPr>
        <w:fldChar w:fldCharType="separate"/>
      </w:r>
      <w:r>
        <w:rPr>
          <w:rFonts w:hint="eastAsia" w:ascii="宋体" w:hAnsi="宋体" w:eastAsia="宋体" w:cs="宋体"/>
          <w:szCs w:val="21"/>
          <w:highlight w:val="none"/>
        </w:rPr>
        <w:t>④</w:t>
      </w:r>
      <w:r>
        <w:rPr>
          <w:rFonts w:hint="eastAsia" w:ascii="宋体" w:hAnsi="宋体" w:eastAsia="宋体" w:cs="宋体"/>
          <w:snapToGrid w:val="0"/>
          <w:color w:val="000000"/>
          <w:spacing w:val="-6"/>
          <w:kern w:val="21"/>
          <w:szCs w:val="21"/>
          <w:highlight w:val="none"/>
        </w:rPr>
        <w:fldChar w:fldCharType="end"/>
      </w:r>
      <w:r>
        <w:rPr>
          <w:rFonts w:hint="eastAsia" w:ascii="宋体" w:hAnsi="宋体" w:eastAsia="宋体" w:cs="宋体"/>
          <w:snapToGrid w:val="0"/>
          <w:color w:val="000000"/>
          <w:spacing w:val="-6"/>
          <w:kern w:val="21"/>
          <w:szCs w:val="21"/>
          <w:highlight w:val="none"/>
        </w:rPr>
        <w:t>-</w:t>
      </w:r>
      <w:r>
        <w:rPr>
          <w:rFonts w:hint="eastAsia" w:ascii="宋体" w:hAnsi="宋体" w:eastAsia="宋体" w:cs="宋体"/>
          <w:snapToGrid w:val="0"/>
          <w:color w:val="000000"/>
          <w:spacing w:val="-16"/>
          <w:kern w:val="21"/>
          <w:szCs w:val="21"/>
          <w:highlight w:val="none"/>
        </w:rPr>
        <w:fldChar w:fldCharType="begin"/>
      </w:r>
      <w:r>
        <w:rPr>
          <w:rFonts w:hint="eastAsia" w:ascii="宋体" w:hAnsi="宋体" w:eastAsia="宋体" w:cs="宋体"/>
          <w:snapToGrid w:val="0"/>
          <w:color w:val="000000"/>
          <w:spacing w:val="-16"/>
          <w:kern w:val="21"/>
          <w:szCs w:val="21"/>
          <w:highlight w:val="none"/>
        </w:rPr>
        <w:instrText xml:space="preserve"> = 5 \* GB3 \* MERGEFORMAT </w:instrText>
      </w:r>
      <w:r>
        <w:rPr>
          <w:rFonts w:hint="eastAsia" w:ascii="宋体" w:hAnsi="宋体" w:eastAsia="宋体" w:cs="宋体"/>
          <w:snapToGrid w:val="0"/>
          <w:color w:val="000000"/>
          <w:spacing w:val="-16"/>
          <w:kern w:val="21"/>
          <w:szCs w:val="21"/>
          <w:highlight w:val="none"/>
        </w:rPr>
        <w:fldChar w:fldCharType="separate"/>
      </w:r>
      <w:r>
        <w:rPr>
          <w:rFonts w:hint="eastAsia" w:ascii="宋体" w:hAnsi="宋体" w:eastAsia="宋体" w:cs="宋体"/>
          <w:szCs w:val="21"/>
          <w:highlight w:val="none"/>
        </w:rPr>
        <w:t>⑤</w:t>
      </w:r>
      <w:r>
        <w:rPr>
          <w:rFonts w:hint="eastAsia" w:ascii="宋体" w:hAnsi="宋体" w:eastAsia="宋体" w:cs="宋体"/>
          <w:snapToGrid w:val="0"/>
          <w:color w:val="000000"/>
          <w:spacing w:val="-16"/>
          <w:kern w:val="21"/>
          <w:szCs w:val="21"/>
          <w:highlight w:val="none"/>
        </w:rPr>
        <w:fldChar w:fldCharType="end"/>
      </w:r>
      <w:r>
        <w:rPr>
          <w:rFonts w:hint="eastAsia" w:ascii="宋体" w:hAnsi="宋体" w:eastAsia="宋体" w:cs="宋体"/>
          <w:snapToGrid w:val="0"/>
          <w:color w:val="000000"/>
          <w:spacing w:val="-16"/>
          <w:kern w:val="21"/>
          <w:szCs w:val="21"/>
          <w:highlight w:val="none"/>
        </w:rPr>
        <w:t>；</w:t>
      </w:r>
      <w:r>
        <w:rPr>
          <w:rFonts w:hint="eastAsia" w:ascii="宋体" w:hAnsi="宋体" w:eastAsia="宋体" w:cs="宋体"/>
          <w:snapToGrid w:val="0"/>
          <w:color w:val="000000"/>
          <w:spacing w:val="-6"/>
          <w:kern w:val="21"/>
          <w:szCs w:val="21"/>
          <w:highlight w:val="none"/>
        </w:rPr>
        <w:fldChar w:fldCharType="begin"/>
      </w:r>
      <w:r>
        <w:rPr>
          <w:rFonts w:hint="eastAsia" w:ascii="宋体" w:hAnsi="宋体" w:eastAsia="宋体" w:cs="宋体"/>
          <w:snapToGrid w:val="0"/>
          <w:color w:val="000000"/>
          <w:spacing w:val="-6"/>
          <w:kern w:val="21"/>
          <w:szCs w:val="21"/>
          <w:highlight w:val="none"/>
        </w:rPr>
        <w:instrText xml:space="preserve"> = 7 \* GB3 \* MERGEFORMAT </w:instrText>
      </w:r>
      <w:r>
        <w:rPr>
          <w:rFonts w:hint="eastAsia" w:ascii="宋体" w:hAnsi="宋体" w:eastAsia="宋体" w:cs="宋体"/>
          <w:snapToGrid w:val="0"/>
          <w:color w:val="000000"/>
          <w:spacing w:val="-6"/>
          <w:kern w:val="21"/>
          <w:szCs w:val="21"/>
          <w:highlight w:val="none"/>
        </w:rPr>
        <w:fldChar w:fldCharType="separate"/>
      </w:r>
      <w:r>
        <w:rPr>
          <w:rFonts w:hint="eastAsia" w:ascii="宋体" w:hAnsi="宋体" w:eastAsia="宋体" w:cs="宋体"/>
          <w:szCs w:val="21"/>
          <w:highlight w:val="none"/>
        </w:rPr>
        <w:t>⑦</w:t>
      </w:r>
      <w:r>
        <w:rPr>
          <w:rFonts w:hint="eastAsia" w:ascii="宋体" w:hAnsi="宋体" w:eastAsia="宋体" w:cs="宋体"/>
          <w:snapToGrid w:val="0"/>
          <w:color w:val="000000"/>
          <w:spacing w:val="-6"/>
          <w:kern w:val="21"/>
          <w:szCs w:val="21"/>
          <w:highlight w:val="none"/>
        </w:rPr>
        <w:fldChar w:fldCharType="end"/>
      </w:r>
      <w:r>
        <w:rPr>
          <w:rFonts w:hint="eastAsia" w:ascii="宋体" w:hAnsi="宋体" w:eastAsia="宋体" w:cs="宋体"/>
          <w:snapToGrid w:val="0"/>
          <w:color w:val="000000"/>
          <w:spacing w:val="-6"/>
          <w:kern w:val="21"/>
          <w:szCs w:val="21"/>
          <w:highlight w:val="none"/>
        </w:rPr>
        <w:t>=</w:t>
      </w:r>
      <w:r>
        <w:rPr>
          <w:rFonts w:hint="eastAsia" w:ascii="宋体" w:hAnsi="宋体" w:eastAsia="宋体" w:cs="宋体"/>
          <w:snapToGrid w:val="0"/>
          <w:color w:val="000000"/>
          <w:spacing w:val="-16"/>
          <w:kern w:val="21"/>
          <w:szCs w:val="21"/>
          <w:highlight w:val="none"/>
        </w:rPr>
        <w:fldChar w:fldCharType="begin"/>
      </w:r>
      <w:r>
        <w:rPr>
          <w:rFonts w:hint="eastAsia" w:ascii="宋体" w:hAnsi="宋体" w:eastAsia="宋体" w:cs="宋体"/>
          <w:snapToGrid w:val="0"/>
          <w:color w:val="000000"/>
          <w:spacing w:val="-16"/>
          <w:kern w:val="21"/>
          <w:szCs w:val="21"/>
          <w:highlight w:val="none"/>
        </w:rPr>
        <w:instrText xml:space="preserve"> = 6 \* GB3 \* MERGEFORMAT </w:instrText>
      </w:r>
      <w:r>
        <w:rPr>
          <w:rFonts w:hint="eastAsia" w:ascii="宋体" w:hAnsi="宋体" w:eastAsia="宋体" w:cs="宋体"/>
          <w:snapToGrid w:val="0"/>
          <w:color w:val="000000"/>
          <w:spacing w:val="-16"/>
          <w:kern w:val="21"/>
          <w:szCs w:val="21"/>
          <w:highlight w:val="none"/>
        </w:rPr>
        <w:fldChar w:fldCharType="separate"/>
      </w:r>
      <w:r>
        <w:rPr>
          <w:rFonts w:hint="eastAsia" w:ascii="宋体" w:hAnsi="宋体" w:eastAsia="宋体" w:cs="宋体"/>
          <w:szCs w:val="21"/>
          <w:highlight w:val="none"/>
        </w:rPr>
        <w:t>⑥</w:t>
      </w:r>
      <w:r>
        <w:rPr>
          <w:rFonts w:hint="eastAsia" w:ascii="宋体" w:hAnsi="宋体" w:eastAsia="宋体" w:cs="宋体"/>
          <w:snapToGrid w:val="0"/>
          <w:color w:val="000000"/>
          <w:spacing w:val="-16"/>
          <w:kern w:val="21"/>
          <w:szCs w:val="21"/>
          <w:highlight w:val="none"/>
        </w:rPr>
        <w:fldChar w:fldCharType="end"/>
      </w:r>
      <w:r>
        <w:rPr>
          <w:rFonts w:hint="eastAsia" w:ascii="宋体" w:hAnsi="宋体" w:eastAsia="宋体" w:cs="宋体"/>
          <w:snapToGrid w:val="0"/>
          <w:color w:val="000000"/>
          <w:spacing w:val="-16"/>
          <w:kern w:val="21"/>
          <w:szCs w:val="21"/>
          <w:highlight w:val="none"/>
        </w:rPr>
        <w:t>-</w:t>
      </w:r>
      <w:r>
        <w:rPr>
          <w:rFonts w:hint="eastAsia" w:ascii="宋体" w:hAnsi="宋体" w:eastAsia="宋体" w:cs="宋体"/>
          <w:snapToGrid w:val="0"/>
          <w:color w:val="000000"/>
          <w:spacing w:val="-6"/>
          <w:kern w:val="21"/>
          <w:szCs w:val="21"/>
          <w:highlight w:val="none"/>
        </w:rPr>
        <w:fldChar w:fldCharType="begin"/>
      </w:r>
      <w:r>
        <w:rPr>
          <w:rFonts w:hint="eastAsia" w:ascii="宋体" w:hAnsi="宋体" w:eastAsia="宋体" w:cs="宋体"/>
          <w:snapToGrid w:val="0"/>
          <w:color w:val="000000"/>
          <w:spacing w:val="-6"/>
          <w:kern w:val="21"/>
          <w:szCs w:val="21"/>
          <w:highlight w:val="none"/>
        </w:rPr>
        <w:instrText xml:space="preserve"> = 1 \* GB3 \* MERGEFORMAT </w:instrText>
      </w:r>
      <w:r>
        <w:rPr>
          <w:rFonts w:hint="eastAsia" w:ascii="宋体" w:hAnsi="宋体" w:eastAsia="宋体" w:cs="宋体"/>
          <w:snapToGrid w:val="0"/>
          <w:color w:val="000000"/>
          <w:spacing w:val="-6"/>
          <w:kern w:val="21"/>
          <w:szCs w:val="21"/>
          <w:highlight w:val="none"/>
        </w:rPr>
        <w:fldChar w:fldCharType="separate"/>
      </w:r>
      <w:r>
        <w:rPr>
          <w:rFonts w:hint="eastAsia" w:ascii="宋体" w:hAnsi="宋体" w:eastAsia="宋体" w:cs="宋体"/>
          <w:szCs w:val="21"/>
          <w:highlight w:val="none"/>
        </w:rPr>
        <w:t>①</w:t>
      </w:r>
      <w:r>
        <w:rPr>
          <w:rFonts w:hint="eastAsia" w:ascii="宋体" w:hAnsi="宋体" w:eastAsia="宋体" w:cs="宋体"/>
          <w:snapToGrid w:val="0"/>
          <w:color w:val="000000"/>
          <w:spacing w:val="-6"/>
          <w:kern w:val="21"/>
          <w:szCs w:val="21"/>
          <w:highlight w:val="none"/>
        </w:rPr>
        <w:fldChar w:fldCharType="end"/>
      </w:r>
    </w:p>
    <w:sectPr>
      <w:footerReference r:id="rId5" w:type="default"/>
      <w:pgSz w:w="16838" w:h="11906" w:orient="landscape"/>
      <w:pgMar w:top="1531" w:right="1701" w:bottom="1531" w:left="1701" w:header="851" w:footer="850"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gruABAADBAwAADgAAAGRycy9lMm9Eb2MueG1srVPNjtMwEL4j8Q6W&#10;7zTZC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1PyaMycsDfz8/dv5x6/zz69s&#10;WT5/kRTqA1SUeBcoFYdXfqC9mf1AzkR8aKNNf6LEKE76ni76qgGZTJdWy9WqpJCk2Hwg/OL+eoiA&#10;b5S3LBk1jzTArKs4vgMcU+eUVM35W21MHqJxfzkIM3mK1PvYY7Jw2A0ToZ1vTsSHXgLV6Xz8wllP&#10;e1BzR2vPmXnrSOa0MrMRZ2M3G8JJulhz5Gw0X+O4WocQ9b7Ly5aagvDygNRpJpDaGGtP3dFkswTT&#10;FqbV+fOcs+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slYK7gAQAAwQMAAA4AAAAA&#10;AAAAAQAgAAAAHgEAAGRycy9lMm9Eb2MueG1sUEsFBgAAAAAGAAYAWQEAAHA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49</w:t>
                          </w:r>
                          <w:r>
                            <w:fldChar w:fldCharType="end"/>
                          </w:r>
                        </w:p>
                      </w:txbxContent>
                    </wps:txbx>
                    <wps:bodyPr vert="horz" wrap="none" lIns="0" tIns="0" rIns="0" bIns="0" anchor="t" anchorCtr="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hjw+ABAADB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aEpYGffv08/f57+vOD&#10;zcuXWaHO45ISbz2lxv4t9LQ3SbnkR3Im4n0TbPoTJUZx0vd41lf1kcl0aTFfLEoKSYpNB8IpLtd9&#10;wPhegWXJqHigAWZdxeEjxiF1SknVHNxoY/IQjfvPQZjJU1x6TFbst/3Y+BbqI/Ghl0B1WgjfOeto&#10;DyruaO05Mx8cyZxWZjLCZGwnQzhJFyseORvMd3FYrb0PetfmZUtNoX+zj9RpJpDaGGqP3dFkswTj&#10;FqbV+fecsy4vb3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KvYY8PgAQAAwQMAAA4AAAAA&#10;AAAAAQAgAAAAHgEAAGRycy9lMm9Eb2MueG1sUEsFBgAAAAAGAAYAWQEAAHA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B636"/>
    <w:multiLevelType w:val="singleLevel"/>
    <w:tmpl w:val="9B5DB636"/>
    <w:lvl w:ilvl="0" w:tentative="0">
      <w:start w:val="18"/>
      <w:numFmt w:val="upperLetter"/>
      <w:suff w:val="nothing"/>
      <w:lvlText w:val="%1-"/>
      <w:lvlJc w:val="left"/>
    </w:lvl>
  </w:abstractNum>
  <w:abstractNum w:abstractNumId="1">
    <w:nsid w:val="A8ACB034"/>
    <w:multiLevelType w:val="singleLevel"/>
    <w:tmpl w:val="A8ACB034"/>
    <w:lvl w:ilvl="0" w:tentative="0">
      <w:start w:val="3"/>
      <w:numFmt w:val="decimal"/>
      <w:suff w:val="nothing"/>
      <w:lvlText w:val="（%1）"/>
      <w:lvlJc w:val="left"/>
    </w:lvl>
  </w:abstractNum>
  <w:abstractNum w:abstractNumId="2">
    <w:nsid w:val="AC115E09"/>
    <w:multiLevelType w:val="singleLevel"/>
    <w:tmpl w:val="AC115E09"/>
    <w:lvl w:ilvl="0" w:tentative="0">
      <w:start w:val="8"/>
      <w:numFmt w:val="decimal"/>
      <w:suff w:val="nothing"/>
      <w:lvlText w:val="%1、"/>
      <w:lvlJc w:val="left"/>
      <w:rPr>
        <w:rFonts w:hint="default"/>
        <w:b/>
        <w:bCs/>
        <w:sz w:val="24"/>
        <w:szCs w:val="24"/>
      </w:rPr>
    </w:lvl>
  </w:abstractNum>
  <w:abstractNum w:abstractNumId="3">
    <w:nsid w:val="03E44BD8"/>
    <w:multiLevelType w:val="singleLevel"/>
    <w:tmpl w:val="03E44BD8"/>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4">
    <w:nsid w:val="39FDCC6D"/>
    <w:multiLevelType w:val="singleLevel"/>
    <w:tmpl w:val="39FDCC6D"/>
    <w:lvl w:ilvl="0" w:tentative="0">
      <w:start w:val="1"/>
      <w:numFmt w:val="decimal"/>
      <w:suff w:val="nothing"/>
      <w:lvlText w:val="（%1）"/>
      <w:lvlJc w:val="left"/>
    </w:lvl>
  </w:abstractNum>
  <w:abstractNum w:abstractNumId="5">
    <w:nsid w:val="3A0E0BF3"/>
    <w:multiLevelType w:val="singleLevel"/>
    <w:tmpl w:val="3A0E0BF3"/>
    <w:lvl w:ilvl="0" w:tentative="0">
      <w:start w:val="4"/>
      <w:numFmt w:val="decimal"/>
      <w:suff w:val="nothing"/>
      <w:lvlText w:val="（%1）"/>
      <w:lvlJc w:val="left"/>
    </w:lvl>
  </w:abstractNum>
  <w:abstractNum w:abstractNumId="6">
    <w:nsid w:val="4DBE756B"/>
    <w:multiLevelType w:val="singleLevel"/>
    <w:tmpl w:val="4DBE756B"/>
    <w:lvl w:ilvl="0" w:tentative="0">
      <w:start w:val="5"/>
      <w:numFmt w:val="chineseCounting"/>
      <w:suff w:val="nothing"/>
      <w:lvlText w:val="%1、"/>
      <w:lvlJc w:val="left"/>
      <w:rPr>
        <w:rFonts w:hint="eastAsia"/>
      </w:rPr>
    </w:lvl>
  </w:abstractNum>
  <w:abstractNum w:abstractNumId="7">
    <w:nsid w:val="6EBB0949"/>
    <w:multiLevelType w:val="singleLevel"/>
    <w:tmpl w:val="6EBB0949"/>
    <w:lvl w:ilvl="0" w:tentative="0">
      <w:start w:val="8"/>
      <w:numFmt w:val="decimal"/>
      <w:suff w:val="nothing"/>
      <w:lvlText w:val="%1、"/>
      <w:lvlJc w:val="left"/>
    </w:lvl>
  </w:abstractNum>
  <w:num w:numId="1">
    <w:abstractNumId w:val="3"/>
  </w:num>
  <w:num w:numId="2">
    <w:abstractNumId w:val="7"/>
  </w:num>
  <w:num w:numId="3">
    <w:abstractNumId w:val="5"/>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YmQ2OTQ4ZDc2NzQxMzBmOGVhMjBkYzE5ZWQ2YWQifQ=="/>
  </w:docVars>
  <w:rsids>
    <w:rsidRoot w:val="00A14947"/>
    <w:rsid w:val="000060B3"/>
    <w:rsid w:val="0004355B"/>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0549"/>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0944"/>
    <w:rsid w:val="00706C5D"/>
    <w:rsid w:val="00732922"/>
    <w:rsid w:val="0075162E"/>
    <w:rsid w:val="00754034"/>
    <w:rsid w:val="00756556"/>
    <w:rsid w:val="00757B9E"/>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7E753E"/>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45BF3"/>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C644B"/>
    <w:rsid w:val="00AD055E"/>
    <w:rsid w:val="00AD47A7"/>
    <w:rsid w:val="00AF0CBF"/>
    <w:rsid w:val="00AF257F"/>
    <w:rsid w:val="00AF33CF"/>
    <w:rsid w:val="00AF4D50"/>
    <w:rsid w:val="00AF5D32"/>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4E82"/>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1691"/>
    <w:rsid w:val="00F82B19"/>
    <w:rsid w:val="00F9212D"/>
    <w:rsid w:val="00F965DA"/>
    <w:rsid w:val="00FA406A"/>
    <w:rsid w:val="00FA6ED0"/>
    <w:rsid w:val="00FB503A"/>
    <w:rsid w:val="00FB516C"/>
    <w:rsid w:val="00FD0236"/>
    <w:rsid w:val="00FD18F4"/>
    <w:rsid w:val="00FD54DB"/>
    <w:rsid w:val="00FD619F"/>
    <w:rsid w:val="01071F98"/>
    <w:rsid w:val="01102EF6"/>
    <w:rsid w:val="01181C8F"/>
    <w:rsid w:val="01290F7E"/>
    <w:rsid w:val="012A58DF"/>
    <w:rsid w:val="015D1E09"/>
    <w:rsid w:val="015E6936"/>
    <w:rsid w:val="0173014D"/>
    <w:rsid w:val="01827CF2"/>
    <w:rsid w:val="01A806D7"/>
    <w:rsid w:val="01CF327D"/>
    <w:rsid w:val="01D17056"/>
    <w:rsid w:val="01DE5133"/>
    <w:rsid w:val="01F87AC4"/>
    <w:rsid w:val="02255AF2"/>
    <w:rsid w:val="02306673"/>
    <w:rsid w:val="0261682B"/>
    <w:rsid w:val="02697903"/>
    <w:rsid w:val="02791BB6"/>
    <w:rsid w:val="02AF56CB"/>
    <w:rsid w:val="02B1558E"/>
    <w:rsid w:val="02F96569"/>
    <w:rsid w:val="036B0FB1"/>
    <w:rsid w:val="03C65AAC"/>
    <w:rsid w:val="03E3512B"/>
    <w:rsid w:val="03EA7B21"/>
    <w:rsid w:val="042E21D2"/>
    <w:rsid w:val="044F58E7"/>
    <w:rsid w:val="04730898"/>
    <w:rsid w:val="04886517"/>
    <w:rsid w:val="04952BD1"/>
    <w:rsid w:val="04A45D6E"/>
    <w:rsid w:val="04B03A80"/>
    <w:rsid w:val="04CB720F"/>
    <w:rsid w:val="050977E4"/>
    <w:rsid w:val="058A592F"/>
    <w:rsid w:val="059D4FF2"/>
    <w:rsid w:val="05A7602D"/>
    <w:rsid w:val="05F40336"/>
    <w:rsid w:val="05F83EAE"/>
    <w:rsid w:val="05F83EF8"/>
    <w:rsid w:val="05FB3554"/>
    <w:rsid w:val="06377E26"/>
    <w:rsid w:val="063E7D85"/>
    <w:rsid w:val="06435D23"/>
    <w:rsid w:val="064F5237"/>
    <w:rsid w:val="06723884"/>
    <w:rsid w:val="06B8674B"/>
    <w:rsid w:val="06BF4012"/>
    <w:rsid w:val="06CE2F65"/>
    <w:rsid w:val="06E31932"/>
    <w:rsid w:val="07006390"/>
    <w:rsid w:val="07293586"/>
    <w:rsid w:val="07295285"/>
    <w:rsid w:val="07636392"/>
    <w:rsid w:val="07770C56"/>
    <w:rsid w:val="0797489E"/>
    <w:rsid w:val="07E00C12"/>
    <w:rsid w:val="07E33A18"/>
    <w:rsid w:val="08180132"/>
    <w:rsid w:val="08202AE5"/>
    <w:rsid w:val="08322807"/>
    <w:rsid w:val="083C3EF0"/>
    <w:rsid w:val="08626306"/>
    <w:rsid w:val="087B6128"/>
    <w:rsid w:val="08963042"/>
    <w:rsid w:val="089A0953"/>
    <w:rsid w:val="08A54D99"/>
    <w:rsid w:val="092217DD"/>
    <w:rsid w:val="092B4317"/>
    <w:rsid w:val="093A7294"/>
    <w:rsid w:val="09485F24"/>
    <w:rsid w:val="09D62876"/>
    <w:rsid w:val="0A140428"/>
    <w:rsid w:val="0A263993"/>
    <w:rsid w:val="0A2D3AC2"/>
    <w:rsid w:val="0AA755DF"/>
    <w:rsid w:val="0AF831DE"/>
    <w:rsid w:val="0B120D44"/>
    <w:rsid w:val="0B1A381C"/>
    <w:rsid w:val="0B3B1FE3"/>
    <w:rsid w:val="0B3F5ACF"/>
    <w:rsid w:val="0B473EE3"/>
    <w:rsid w:val="0B7A4092"/>
    <w:rsid w:val="0BC1638D"/>
    <w:rsid w:val="0BCB3EA5"/>
    <w:rsid w:val="0BD27BF6"/>
    <w:rsid w:val="0C0A3890"/>
    <w:rsid w:val="0C3B3C7D"/>
    <w:rsid w:val="0C6A2581"/>
    <w:rsid w:val="0CAB2EAE"/>
    <w:rsid w:val="0CB760E7"/>
    <w:rsid w:val="0CC76F8A"/>
    <w:rsid w:val="0D0B2AA5"/>
    <w:rsid w:val="0D0C4024"/>
    <w:rsid w:val="0D1E7195"/>
    <w:rsid w:val="0D2F430A"/>
    <w:rsid w:val="0D334A9C"/>
    <w:rsid w:val="0D621C7D"/>
    <w:rsid w:val="0D890A44"/>
    <w:rsid w:val="0DC204D8"/>
    <w:rsid w:val="0DF111EA"/>
    <w:rsid w:val="0DFC5D94"/>
    <w:rsid w:val="0E464928"/>
    <w:rsid w:val="0E551097"/>
    <w:rsid w:val="0E5F6F2F"/>
    <w:rsid w:val="0E6104ED"/>
    <w:rsid w:val="0E715598"/>
    <w:rsid w:val="0E724F97"/>
    <w:rsid w:val="0E73034D"/>
    <w:rsid w:val="0E7412D7"/>
    <w:rsid w:val="0E947017"/>
    <w:rsid w:val="0EA73071"/>
    <w:rsid w:val="0EAE2E7E"/>
    <w:rsid w:val="0EC34B63"/>
    <w:rsid w:val="0EEA7FBE"/>
    <w:rsid w:val="0EEE56EB"/>
    <w:rsid w:val="0F13775A"/>
    <w:rsid w:val="0F580C69"/>
    <w:rsid w:val="0F5F45FE"/>
    <w:rsid w:val="0F7551B6"/>
    <w:rsid w:val="0F8A6A96"/>
    <w:rsid w:val="0F9A112B"/>
    <w:rsid w:val="0FCD0AA6"/>
    <w:rsid w:val="0FF669F5"/>
    <w:rsid w:val="0FFF395D"/>
    <w:rsid w:val="10256788"/>
    <w:rsid w:val="102C46DC"/>
    <w:rsid w:val="103A226A"/>
    <w:rsid w:val="10557E25"/>
    <w:rsid w:val="105860C9"/>
    <w:rsid w:val="106D2F64"/>
    <w:rsid w:val="106F0166"/>
    <w:rsid w:val="107206D6"/>
    <w:rsid w:val="107F0597"/>
    <w:rsid w:val="109D6ABD"/>
    <w:rsid w:val="10B63710"/>
    <w:rsid w:val="10D73F5D"/>
    <w:rsid w:val="10F10820"/>
    <w:rsid w:val="111C2F7A"/>
    <w:rsid w:val="11665CA1"/>
    <w:rsid w:val="117A5BFC"/>
    <w:rsid w:val="117B331D"/>
    <w:rsid w:val="11801270"/>
    <w:rsid w:val="11A53021"/>
    <w:rsid w:val="11CE75EA"/>
    <w:rsid w:val="11E44B84"/>
    <w:rsid w:val="11F36B75"/>
    <w:rsid w:val="120B2876"/>
    <w:rsid w:val="1232769D"/>
    <w:rsid w:val="12447ED1"/>
    <w:rsid w:val="12670002"/>
    <w:rsid w:val="128F6C93"/>
    <w:rsid w:val="12A376E0"/>
    <w:rsid w:val="12AC5983"/>
    <w:rsid w:val="12AD26AE"/>
    <w:rsid w:val="12C639BE"/>
    <w:rsid w:val="12E81BA1"/>
    <w:rsid w:val="13195FCD"/>
    <w:rsid w:val="13247355"/>
    <w:rsid w:val="133A5F62"/>
    <w:rsid w:val="13951726"/>
    <w:rsid w:val="13C30BC9"/>
    <w:rsid w:val="13CD2F4F"/>
    <w:rsid w:val="14396509"/>
    <w:rsid w:val="14775F26"/>
    <w:rsid w:val="14B054BC"/>
    <w:rsid w:val="14CB38E6"/>
    <w:rsid w:val="14CC5F11"/>
    <w:rsid w:val="14DD2C3C"/>
    <w:rsid w:val="14FE3BA1"/>
    <w:rsid w:val="15485590"/>
    <w:rsid w:val="154C1553"/>
    <w:rsid w:val="155E15A0"/>
    <w:rsid w:val="15763DDA"/>
    <w:rsid w:val="158730D0"/>
    <w:rsid w:val="15A77DEB"/>
    <w:rsid w:val="16087E1D"/>
    <w:rsid w:val="160E1BB5"/>
    <w:rsid w:val="163707B5"/>
    <w:rsid w:val="16377C61"/>
    <w:rsid w:val="163B36E0"/>
    <w:rsid w:val="16401BBC"/>
    <w:rsid w:val="164C1B54"/>
    <w:rsid w:val="16AE5760"/>
    <w:rsid w:val="1724394F"/>
    <w:rsid w:val="172C38F2"/>
    <w:rsid w:val="173D34E5"/>
    <w:rsid w:val="176D4E49"/>
    <w:rsid w:val="17701D14"/>
    <w:rsid w:val="17735226"/>
    <w:rsid w:val="178D1100"/>
    <w:rsid w:val="17A05ADE"/>
    <w:rsid w:val="17CC5BB5"/>
    <w:rsid w:val="17EE390A"/>
    <w:rsid w:val="17F453F5"/>
    <w:rsid w:val="181F693D"/>
    <w:rsid w:val="18346906"/>
    <w:rsid w:val="18396563"/>
    <w:rsid w:val="183D04AB"/>
    <w:rsid w:val="183E7581"/>
    <w:rsid w:val="18427502"/>
    <w:rsid w:val="18497D8D"/>
    <w:rsid w:val="18506703"/>
    <w:rsid w:val="18553D10"/>
    <w:rsid w:val="18627970"/>
    <w:rsid w:val="187B39F1"/>
    <w:rsid w:val="187C684C"/>
    <w:rsid w:val="188B3FAB"/>
    <w:rsid w:val="189C6E08"/>
    <w:rsid w:val="189F624C"/>
    <w:rsid w:val="190730BD"/>
    <w:rsid w:val="190A072A"/>
    <w:rsid w:val="1926657B"/>
    <w:rsid w:val="192A708F"/>
    <w:rsid w:val="19376DCB"/>
    <w:rsid w:val="194B1C04"/>
    <w:rsid w:val="195174A9"/>
    <w:rsid w:val="199E1E73"/>
    <w:rsid w:val="1A0C4361"/>
    <w:rsid w:val="1A134461"/>
    <w:rsid w:val="1A1C66C0"/>
    <w:rsid w:val="1A262FE3"/>
    <w:rsid w:val="1A42393B"/>
    <w:rsid w:val="1A5E72A6"/>
    <w:rsid w:val="1A9A7B62"/>
    <w:rsid w:val="1AA31537"/>
    <w:rsid w:val="1AAD45DE"/>
    <w:rsid w:val="1AF96D51"/>
    <w:rsid w:val="1B046F80"/>
    <w:rsid w:val="1B092CDE"/>
    <w:rsid w:val="1B3267B5"/>
    <w:rsid w:val="1B40161D"/>
    <w:rsid w:val="1B441859"/>
    <w:rsid w:val="1B4759D4"/>
    <w:rsid w:val="1B6606B1"/>
    <w:rsid w:val="1B945839"/>
    <w:rsid w:val="1BCF28AA"/>
    <w:rsid w:val="1BD328B4"/>
    <w:rsid w:val="1BF457E1"/>
    <w:rsid w:val="1BF569D0"/>
    <w:rsid w:val="1BFF20E2"/>
    <w:rsid w:val="1C362ACE"/>
    <w:rsid w:val="1C5E7925"/>
    <w:rsid w:val="1C933922"/>
    <w:rsid w:val="1C9B3191"/>
    <w:rsid w:val="1CA30F88"/>
    <w:rsid w:val="1CA96881"/>
    <w:rsid w:val="1CE52E11"/>
    <w:rsid w:val="1CFD070F"/>
    <w:rsid w:val="1D170791"/>
    <w:rsid w:val="1D447117"/>
    <w:rsid w:val="1D54526A"/>
    <w:rsid w:val="1D5A0435"/>
    <w:rsid w:val="1D5F6196"/>
    <w:rsid w:val="1D6132A5"/>
    <w:rsid w:val="1D6152DA"/>
    <w:rsid w:val="1D6E1723"/>
    <w:rsid w:val="1D8E56D5"/>
    <w:rsid w:val="1D905D75"/>
    <w:rsid w:val="1D9F1723"/>
    <w:rsid w:val="1DCD2970"/>
    <w:rsid w:val="1DD463F1"/>
    <w:rsid w:val="1DDF426F"/>
    <w:rsid w:val="1DE348D8"/>
    <w:rsid w:val="1E7A43DA"/>
    <w:rsid w:val="1E93077E"/>
    <w:rsid w:val="1E9B04FA"/>
    <w:rsid w:val="1EA77665"/>
    <w:rsid w:val="1EC161EA"/>
    <w:rsid w:val="1ED046CE"/>
    <w:rsid w:val="1F0B3750"/>
    <w:rsid w:val="1F1E0F87"/>
    <w:rsid w:val="1F2667DB"/>
    <w:rsid w:val="1F3454FA"/>
    <w:rsid w:val="1F457A27"/>
    <w:rsid w:val="1F516DCC"/>
    <w:rsid w:val="1F57140F"/>
    <w:rsid w:val="1F5B51B8"/>
    <w:rsid w:val="1F6B6BD4"/>
    <w:rsid w:val="1F7838A6"/>
    <w:rsid w:val="1FE7539E"/>
    <w:rsid w:val="200A60E5"/>
    <w:rsid w:val="201F0D25"/>
    <w:rsid w:val="202C1A29"/>
    <w:rsid w:val="20671BE0"/>
    <w:rsid w:val="20963CB8"/>
    <w:rsid w:val="2097468E"/>
    <w:rsid w:val="20A81A1B"/>
    <w:rsid w:val="20B07FB6"/>
    <w:rsid w:val="20B646FB"/>
    <w:rsid w:val="20C75D9C"/>
    <w:rsid w:val="20E23F67"/>
    <w:rsid w:val="20F12A4E"/>
    <w:rsid w:val="21101BC5"/>
    <w:rsid w:val="211D59BC"/>
    <w:rsid w:val="21237668"/>
    <w:rsid w:val="212E3725"/>
    <w:rsid w:val="213918BD"/>
    <w:rsid w:val="213B74B1"/>
    <w:rsid w:val="214B7DF7"/>
    <w:rsid w:val="215A2310"/>
    <w:rsid w:val="21864EA0"/>
    <w:rsid w:val="21877689"/>
    <w:rsid w:val="21921D0D"/>
    <w:rsid w:val="21971907"/>
    <w:rsid w:val="21A12149"/>
    <w:rsid w:val="21A522C5"/>
    <w:rsid w:val="21DE318A"/>
    <w:rsid w:val="21EF5B80"/>
    <w:rsid w:val="22096E94"/>
    <w:rsid w:val="2220796F"/>
    <w:rsid w:val="2242653F"/>
    <w:rsid w:val="22576990"/>
    <w:rsid w:val="22A223A2"/>
    <w:rsid w:val="22C93B9C"/>
    <w:rsid w:val="22E410EF"/>
    <w:rsid w:val="22E97FED"/>
    <w:rsid w:val="22F26E5E"/>
    <w:rsid w:val="22F47480"/>
    <w:rsid w:val="22FB6EAB"/>
    <w:rsid w:val="233D7202"/>
    <w:rsid w:val="237C2E6E"/>
    <w:rsid w:val="23914E5F"/>
    <w:rsid w:val="23BC67EF"/>
    <w:rsid w:val="23CB769F"/>
    <w:rsid w:val="23DA3E97"/>
    <w:rsid w:val="23DE1C48"/>
    <w:rsid w:val="23E877A0"/>
    <w:rsid w:val="240210CD"/>
    <w:rsid w:val="246617CB"/>
    <w:rsid w:val="24BF09F7"/>
    <w:rsid w:val="24D2702A"/>
    <w:rsid w:val="252D53FE"/>
    <w:rsid w:val="25374F1A"/>
    <w:rsid w:val="25634EA1"/>
    <w:rsid w:val="25794ADC"/>
    <w:rsid w:val="258127AC"/>
    <w:rsid w:val="25AB3387"/>
    <w:rsid w:val="25BF2678"/>
    <w:rsid w:val="25BF7732"/>
    <w:rsid w:val="25C1665E"/>
    <w:rsid w:val="25DF77C5"/>
    <w:rsid w:val="25EC2D81"/>
    <w:rsid w:val="25F018F1"/>
    <w:rsid w:val="25FE4894"/>
    <w:rsid w:val="264A61CE"/>
    <w:rsid w:val="26743880"/>
    <w:rsid w:val="267450A0"/>
    <w:rsid w:val="268E5034"/>
    <w:rsid w:val="26993D37"/>
    <w:rsid w:val="26D75A38"/>
    <w:rsid w:val="26E85B7E"/>
    <w:rsid w:val="274F0899"/>
    <w:rsid w:val="27532B40"/>
    <w:rsid w:val="276110D9"/>
    <w:rsid w:val="27652273"/>
    <w:rsid w:val="276F6846"/>
    <w:rsid w:val="277057A2"/>
    <w:rsid w:val="27880C97"/>
    <w:rsid w:val="27A8202D"/>
    <w:rsid w:val="27C32988"/>
    <w:rsid w:val="27C40BFD"/>
    <w:rsid w:val="27D54EC0"/>
    <w:rsid w:val="288151F1"/>
    <w:rsid w:val="288968CB"/>
    <w:rsid w:val="28E76FDC"/>
    <w:rsid w:val="29030C40"/>
    <w:rsid w:val="29206EB8"/>
    <w:rsid w:val="29482B51"/>
    <w:rsid w:val="29595666"/>
    <w:rsid w:val="29671746"/>
    <w:rsid w:val="29874881"/>
    <w:rsid w:val="29931EE5"/>
    <w:rsid w:val="29C30701"/>
    <w:rsid w:val="29DE240B"/>
    <w:rsid w:val="29E325E0"/>
    <w:rsid w:val="29F261F8"/>
    <w:rsid w:val="29F51284"/>
    <w:rsid w:val="2A007028"/>
    <w:rsid w:val="2A14673B"/>
    <w:rsid w:val="2A323958"/>
    <w:rsid w:val="2A452503"/>
    <w:rsid w:val="2A6476D3"/>
    <w:rsid w:val="2A6A1AD0"/>
    <w:rsid w:val="2A766D1C"/>
    <w:rsid w:val="2A7C3005"/>
    <w:rsid w:val="2A7C6197"/>
    <w:rsid w:val="2A837A08"/>
    <w:rsid w:val="2A9D3EBD"/>
    <w:rsid w:val="2AED4C0C"/>
    <w:rsid w:val="2B053749"/>
    <w:rsid w:val="2B0B60C4"/>
    <w:rsid w:val="2B267470"/>
    <w:rsid w:val="2B341BA9"/>
    <w:rsid w:val="2B5509AB"/>
    <w:rsid w:val="2B82123D"/>
    <w:rsid w:val="2B8C79C6"/>
    <w:rsid w:val="2B903633"/>
    <w:rsid w:val="2B956D6E"/>
    <w:rsid w:val="2BA936A8"/>
    <w:rsid w:val="2BC63E32"/>
    <w:rsid w:val="2BFC3AC1"/>
    <w:rsid w:val="2C161F2E"/>
    <w:rsid w:val="2C2440A3"/>
    <w:rsid w:val="2C2916B9"/>
    <w:rsid w:val="2C315A5A"/>
    <w:rsid w:val="2C4B1C25"/>
    <w:rsid w:val="2C9658C8"/>
    <w:rsid w:val="2CC94C4A"/>
    <w:rsid w:val="2CE070B2"/>
    <w:rsid w:val="2CEE1DF3"/>
    <w:rsid w:val="2D0D36B6"/>
    <w:rsid w:val="2D410831"/>
    <w:rsid w:val="2D9E56F5"/>
    <w:rsid w:val="2DB41456"/>
    <w:rsid w:val="2DB476A8"/>
    <w:rsid w:val="2E410E06"/>
    <w:rsid w:val="2E667F96"/>
    <w:rsid w:val="2E742A4A"/>
    <w:rsid w:val="2E7F7B03"/>
    <w:rsid w:val="2E8226AB"/>
    <w:rsid w:val="2EE21B1E"/>
    <w:rsid w:val="2EF2182E"/>
    <w:rsid w:val="2F3B23FE"/>
    <w:rsid w:val="2F4866F4"/>
    <w:rsid w:val="2F4F216E"/>
    <w:rsid w:val="2F7623DB"/>
    <w:rsid w:val="2FD065E6"/>
    <w:rsid w:val="2FD96870"/>
    <w:rsid w:val="2FF4051A"/>
    <w:rsid w:val="30272758"/>
    <w:rsid w:val="30446A8D"/>
    <w:rsid w:val="30580BC9"/>
    <w:rsid w:val="3076527D"/>
    <w:rsid w:val="30796864"/>
    <w:rsid w:val="307C7881"/>
    <w:rsid w:val="30812E71"/>
    <w:rsid w:val="30976CB8"/>
    <w:rsid w:val="30A6152A"/>
    <w:rsid w:val="30D97CA0"/>
    <w:rsid w:val="30EB4899"/>
    <w:rsid w:val="311000CD"/>
    <w:rsid w:val="311E2ED7"/>
    <w:rsid w:val="3132141C"/>
    <w:rsid w:val="31332648"/>
    <w:rsid w:val="315619EE"/>
    <w:rsid w:val="315C449C"/>
    <w:rsid w:val="31726D1F"/>
    <w:rsid w:val="31943A79"/>
    <w:rsid w:val="31B82709"/>
    <w:rsid w:val="31D05482"/>
    <w:rsid w:val="32224D41"/>
    <w:rsid w:val="32400B34"/>
    <w:rsid w:val="325F3DD0"/>
    <w:rsid w:val="327B0795"/>
    <w:rsid w:val="329E6876"/>
    <w:rsid w:val="32AF6EA4"/>
    <w:rsid w:val="32FD1E51"/>
    <w:rsid w:val="33142339"/>
    <w:rsid w:val="33255888"/>
    <w:rsid w:val="333015F2"/>
    <w:rsid w:val="333B4FAA"/>
    <w:rsid w:val="334555F9"/>
    <w:rsid w:val="334B4FFB"/>
    <w:rsid w:val="334B6320"/>
    <w:rsid w:val="336E7345"/>
    <w:rsid w:val="338E0977"/>
    <w:rsid w:val="33C63042"/>
    <w:rsid w:val="33D934D4"/>
    <w:rsid w:val="33FE2F6A"/>
    <w:rsid w:val="340E07E5"/>
    <w:rsid w:val="341E7F83"/>
    <w:rsid w:val="34235BF7"/>
    <w:rsid w:val="34342D70"/>
    <w:rsid w:val="345B0AFB"/>
    <w:rsid w:val="345C5397"/>
    <w:rsid w:val="34664CD3"/>
    <w:rsid w:val="347A7BE0"/>
    <w:rsid w:val="34AE3C4B"/>
    <w:rsid w:val="34D435BD"/>
    <w:rsid w:val="34F87176"/>
    <w:rsid w:val="35150212"/>
    <w:rsid w:val="35205F5F"/>
    <w:rsid w:val="35412440"/>
    <w:rsid w:val="35685AD1"/>
    <w:rsid w:val="358C5FA8"/>
    <w:rsid w:val="35986ECE"/>
    <w:rsid w:val="35995634"/>
    <w:rsid w:val="35C15DF1"/>
    <w:rsid w:val="35CB34AA"/>
    <w:rsid w:val="35DD7870"/>
    <w:rsid w:val="36062A6B"/>
    <w:rsid w:val="36074A7F"/>
    <w:rsid w:val="36341386"/>
    <w:rsid w:val="364C330F"/>
    <w:rsid w:val="36917E7A"/>
    <w:rsid w:val="36923549"/>
    <w:rsid w:val="36A229CD"/>
    <w:rsid w:val="36B75FBF"/>
    <w:rsid w:val="36BD0C45"/>
    <w:rsid w:val="36DF306A"/>
    <w:rsid w:val="36FA437E"/>
    <w:rsid w:val="374E4DC9"/>
    <w:rsid w:val="37513A8C"/>
    <w:rsid w:val="37586ECD"/>
    <w:rsid w:val="375F2FE3"/>
    <w:rsid w:val="37A8172A"/>
    <w:rsid w:val="37E00298"/>
    <w:rsid w:val="384026C6"/>
    <w:rsid w:val="3851621F"/>
    <w:rsid w:val="385B2B98"/>
    <w:rsid w:val="38675A43"/>
    <w:rsid w:val="386D224E"/>
    <w:rsid w:val="388C57EC"/>
    <w:rsid w:val="38B302F9"/>
    <w:rsid w:val="38F12CD3"/>
    <w:rsid w:val="38F51707"/>
    <w:rsid w:val="38F708D1"/>
    <w:rsid w:val="38F94775"/>
    <w:rsid w:val="392971ED"/>
    <w:rsid w:val="39325651"/>
    <w:rsid w:val="394E09B1"/>
    <w:rsid w:val="398E0471"/>
    <w:rsid w:val="3A091053"/>
    <w:rsid w:val="3A2B7F6D"/>
    <w:rsid w:val="3A617E29"/>
    <w:rsid w:val="3A7033FE"/>
    <w:rsid w:val="3A767451"/>
    <w:rsid w:val="3A872856"/>
    <w:rsid w:val="3A8833AC"/>
    <w:rsid w:val="3AA17BDB"/>
    <w:rsid w:val="3AA87186"/>
    <w:rsid w:val="3B077069"/>
    <w:rsid w:val="3B194FEF"/>
    <w:rsid w:val="3B3763D1"/>
    <w:rsid w:val="3B4C39BF"/>
    <w:rsid w:val="3B552B74"/>
    <w:rsid w:val="3B600A50"/>
    <w:rsid w:val="3B7139AB"/>
    <w:rsid w:val="3B7319E3"/>
    <w:rsid w:val="3B7A7A1D"/>
    <w:rsid w:val="3B847BD8"/>
    <w:rsid w:val="3BCC3E0F"/>
    <w:rsid w:val="3BE90AB0"/>
    <w:rsid w:val="3C10600E"/>
    <w:rsid w:val="3C2F6E1E"/>
    <w:rsid w:val="3C4F64BA"/>
    <w:rsid w:val="3C691E85"/>
    <w:rsid w:val="3C7B56C4"/>
    <w:rsid w:val="3C934ED6"/>
    <w:rsid w:val="3CCB40C7"/>
    <w:rsid w:val="3CDA245A"/>
    <w:rsid w:val="3D0136E0"/>
    <w:rsid w:val="3D0C496C"/>
    <w:rsid w:val="3D1E06B7"/>
    <w:rsid w:val="3D27392E"/>
    <w:rsid w:val="3D3E2AEA"/>
    <w:rsid w:val="3D63635B"/>
    <w:rsid w:val="3D644DFD"/>
    <w:rsid w:val="3DBF0D00"/>
    <w:rsid w:val="3DDD0241"/>
    <w:rsid w:val="3DF12E6A"/>
    <w:rsid w:val="3E1F4BA8"/>
    <w:rsid w:val="3E5E4D35"/>
    <w:rsid w:val="3E9F427C"/>
    <w:rsid w:val="3EB17CEB"/>
    <w:rsid w:val="3EDA0523"/>
    <w:rsid w:val="3EE868A4"/>
    <w:rsid w:val="3F045B3A"/>
    <w:rsid w:val="3F301165"/>
    <w:rsid w:val="3F4563B2"/>
    <w:rsid w:val="3F4D1FA1"/>
    <w:rsid w:val="3F6A4F6C"/>
    <w:rsid w:val="3F93536F"/>
    <w:rsid w:val="3FC10959"/>
    <w:rsid w:val="400637EA"/>
    <w:rsid w:val="40592BAB"/>
    <w:rsid w:val="405A7BAF"/>
    <w:rsid w:val="406471F9"/>
    <w:rsid w:val="40721429"/>
    <w:rsid w:val="407A6407"/>
    <w:rsid w:val="40D76CBD"/>
    <w:rsid w:val="41611906"/>
    <w:rsid w:val="4164671B"/>
    <w:rsid w:val="416A0352"/>
    <w:rsid w:val="41903C7B"/>
    <w:rsid w:val="41904B1A"/>
    <w:rsid w:val="4195201A"/>
    <w:rsid w:val="41AF743E"/>
    <w:rsid w:val="41C3212E"/>
    <w:rsid w:val="4200449D"/>
    <w:rsid w:val="421053C8"/>
    <w:rsid w:val="423A3BCC"/>
    <w:rsid w:val="424E57D2"/>
    <w:rsid w:val="42B26C49"/>
    <w:rsid w:val="42D33CD5"/>
    <w:rsid w:val="42E859D2"/>
    <w:rsid w:val="433A6FE6"/>
    <w:rsid w:val="43480868"/>
    <w:rsid w:val="4350713C"/>
    <w:rsid w:val="436653E0"/>
    <w:rsid w:val="43C4431A"/>
    <w:rsid w:val="440E12C0"/>
    <w:rsid w:val="44617F49"/>
    <w:rsid w:val="44824102"/>
    <w:rsid w:val="44B74918"/>
    <w:rsid w:val="44B951CC"/>
    <w:rsid w:val="44BF09B5"/>
    <w:rsid w:val="44C62F3A"/>
    <w:rsid w:val="44CD14E0"/>
    <w:rsid w:val="44D33083"/>
    <w:rsid w:val="44D96CAA"/>
    <w:rsid w:val="44F20B0B"/>
    <w:rsid w:val="44FF529B"/>
    <w:rsid w:val="452659E5"/>
    <w:rsid w:val="452C1E08"/>
    <w:rsid w:val="452E5F4C"/>
    <w:rsid w:val="45612018"/>
    <w:rsid w:val="457032DE"/>
    <w:rsid w:val="458946E9"/>
    <w:rsid w:val="45905143"/>
    <w:rsid w:val="45922F1F"/>
    <w:rsid w:val="45A47C0E"/>
    <w:rsid w:val="45EF7078"/>
    <w:rsid w:val="45F03C3F"/>
    <w:rsid w:val="45F06F8A"/>
    <w:rsid w:val="460D5750"/>
    <w:rsid w:val="464408B3"/>
    <w:rsid w:val="46577FD6"/>
    <w:rsid w:val="465F05D1"/>
    <w:rsid w:val="466B4D51"/>
    <w:rsid w:val="466E220C"/>
    <w:rsid w:val="46C54FD7"/>
    <w:rsid w:val="46CB6D6D"/>
    <w:rsid w:val="46D06440"/>
    <w:rsid w:val="46D1677D"/>
    <w:rsid w:val="46D81488"/>
    <w:rsid w:val="46D955A7"/>
    <w:rsid w:val="47133957"/>
    <w:rsid w:val="47452991"/>
    <w:rsid w:val="474A0BD4"/>
    <w:rsid w:val="47A07E0C"/>
    <w:rsid w:val="47B2124E"/>
    <w:rsid w:val="47B40579"/>
    <w:rsid w:val="47DA18E0"/>
    <w:rsid w:val="47EA7BC7"/>
    <w:rsid w:val="482C6963"/>
    <w:rsid w:val="4870272E"/>
    <w:rsid w:val="48B5313A"/>
    <w:rsid w:val="49115140"/>
    <w:rsid w:val="492911B2"/>
    <w:rsid w:val="493A2584"/>
    <w:rsid w:val="4948220D"/>
    <w:rsid w:val="495877CF"/>
    <w:rsid w:val="497F72D9"/>
    <w:rsid w:val="498A140F"/>
    <w:rsid w:val="49CF6482"/>
    <w:rsid w:val="49D26948"/>
    <w:rsid w:val="49DC7715"/>
    <w:rsid w:val="49F615E3"/>
    <w:rsid w:val="4A023139"/>
    <w:rsid w:val="4A106B79"/>
    <w:rsid w:val="4A277634"/>
    <w:rsid w:val="4A4213E6"/>
    <w:rsid w:val="4A7B576F"/>
    <w:rsid w:val="4A8F4233"/>
    <w:rsid w:val="4AB24133"/>
    <w:rsid w:val="4AF561A9"/>
    <w:rsid w:val="4B0A49B6"/>
    <w:rsid w:val="4B1130F0"/>
    <w:rsid w:val="4B6F6FBA"/>
    <w:rsid w:val="4B847A51"/>
    <w:rsid w:val="4B87268A"/>
    <w:rsid w:val="4BA463C7"/>
    <w:rsid w:val="4BB2701E"/>
    <w:rsid w:val="4BE74B25"/>
    <w:rsid w:val="4BF16A7F"/>
    <w:rsid w:val="4C2B07F8"/>
    <w:rsid w:val="4C4A0649"/>
    <w:rsid w:val="4C6502A6"/>
    <w:rsid w:val="4C774489"/>
    <w:rsid w:val="4C7E5ECA"/>
    <w:rsid w:val="4C854292"/>
    <w:rsid w:val="4C876AA5"/>
    <w:rsid w:val="4C8E538A"/>
    <w:rsid w:val="4C926901"/>
    <w:rsid w:val="4CBE0F90"/>
    <w:rsid w:val="4CBF1782"/>
    <w:rsid w:val="4CD30742"/>
    <w:rsid w:val="4D0B2A8C"/>
    <w:rsid w:val="4D0E00FB"/>
    <w:rsid w:val="4D176606"/>
    <w:rsid w:val="4D202025"/>
    <w:rsid w:val="4D616015"/>
    <w:rsid w:val="4D6F4ABA"/>
    <w:rsid w:val="4D7B7AEE"/>
    <w:rsid w:val="4DA00259"/>
    <w:rsid w:val="4DA4029F"/>
    <w:rsid w:val="4DAC079F"/>
    <w:rsid w:val="4DAE6F8B"/>
    <w:rsid w:val="4DB77CB5"/>
    <w:rsid w:val="4DE93742"/>
    <w:rsid w:val="4DE941DB"/>
    <w:rsid w:val="4DEC4FB0"/>
    <w:rsid w:val="4E075D8A"/>
    <w:rsid w:val="4E15601C"/>
    <w:rsid w:val="4E3D6058"/>
    <w:rsid w:val="4E557230"/>
    <w:rsid w:val="4E5A75F4"/>
    <w:rsid w:val="4E7F078D"/>
    <w:rsid w:val="4EA24ABE"/>
    <w:rsid w:val="4EAA0D31"/>
    <w:rsid w:val="4EC00FAD"/>
    <w:rsid w:val="4EE15E2C"/>
    <w:rsid w:val="4EF03C8C"/>
    <w:rsid w:val="4EFF6417"/>
    <w:rsid w:val="4F470352"/>
    <w:rsid w:val="4F544BD3"/>
    <w:rsid w:val="4F661CB3"/>
    <w:rsid w:val="4F773D34"/>
    <w:rsid w:val="4F8C76E6"/>
    <w:rsid w:val="4F9843DC"/>
    <w:rsid w:val="4FA237AB"/>
    <w:rsid w:val="4FC62A8C"/>
    <w:rsid w:val="4FE20F0D"/>
    <w:rsid w:val="4FE51552"/>
    <w:rsid w:val="504A7CCC"/>
    <w:rsid w:val="50504C4B"/>
    <w:rsid w:val="506D6FB5"/>
    <w:rsid w:val="507C7B11"/>
    <w:rsid w:val="508C1BBC"/>
    <w:rsid w:val="509C6E7C"/>
    <w:rsid w:val="50D927B4"/>
    <w:rsid w:val="510D1A38"/>
    <w:rsid w:val="51246BE7"/>
    <w:rsid w:val="51312C3A"/>
    <w:rsid w:val="5162104E"/>
    <w:rsid w:val="517E6667"/>
    <w:rsid w:val="51861864"/>
    <w:rsid w:val="518D2406"/>
    <w:rsid w:val="520620BF"/>
    <w:rsid w:val="52302EF2"/>
    <w:rsid w:val="523B7D94"/>
    <w:rsid w:val="52915E5A"/>
    <w:rsid w:val="52A56694"/>
    <w:rsid w:val="52CF11C0"/>
    <w:rsid w:val="52D86DC5"/>
    <w:rsid w:val="53013AD1"/>
    <w:rsid w:val="53360094"/>
    <w:rsid w:val="53451143"/>
    <w:rsid w:val="53A039CC"/>
    <w:rsid w:val="53A1505A"/>
    <w:rsid w:val="54035863"/>
    <w:rsid w:val="54063E08"/>
    <w:rsid w:val="543437E8"/>
    <w:rsid w:val="544D4531"/>
    <w:rsid w:val="54527D03"/>
    <w:rsid w:val="54550438"/>
    <w:rsid w:val="54754851"/>
    <w:rsid w:val="548A0D31"/>
    <w:rsid w:val="54AB0B8E"/>
    <w:rsid w:val="54D30DE8"/>
    <w:rsid w:val="54DB464F"/>
    <w:rsid w:val="54F73313"/>
    <w:rsid w:val="54F80955"/>
    <w:rsid w:val="555170A7"/>
    <w:rsid w:val="5587536D"/>
    <w:rsid w:val="55943D9D"/>
    <w:rsid w:val="559B174B"/>
    <w:rsid w:val="55C93E0C"/>
    <w:rsid w:val="55CE0CF4"/>
    <w:rsid w:val="55E73B65"/>
    <w:rsid w:val="560F6A7B"/>
    <w:rsid w:val="562E744C"/>
    <w:rsid w:val="563D1745"/>
    <w:rsid w:val="56554CF0"/>
    <w:rsid w:val="56921A85"/>
    <w:rsid w:val="56B22A9C"/>
    <w:rsid w:val="571B2CE5"/>
    <w:rsid w:val="573458B8"/>
    <w:rsid w:val="57817E41"/>
    <w:rsid w:val="579D215F"/>
    <w:rsid w:val="57B72A76"/>
    <w:rsid w:val="57C217EA"/>
    <w:rsid w:val="57C3426C"/>
    <w:rsid w:val="57CE1F93"/>
    <w:rsid w:val="57E44562"/>
    <w:rsid w:val="584B76B1"/>
    <w:rsid w:val="585A76ED"/>
    <w:rsid w:val="586620B4"/>
    <w:rsid w:val="5870243F"/>
    <w:rsid w:val="588743D1"/>
    <w:rsid w:val="5887701A"/>
    <w:rsid w:val="588A7377"/>
    <w:rsid w:val="58BB348E"/>
    <w:rsid w:val="58C3399C"/>
    <w:rsid w:val="592C119F"/>
    <w:rsid w:val="59787F5D"/>
    <w:rsid w:val="597B15E1"/>
    <w:rsid w:val="59956411"/>
    <w:rsid w:val="599A2547"/>
    <w:rsid w:val="59AC4CC7"/>
    <w:rsid w:val="59C0439F"/>
    <w:rsid w:val="59E90083"/>
    <w:rsid w:val="59EA4491"/>
    <w:rsid w:val="5A180172"/>
    <w:rsid w:val="5A9B025B"/>
    <w:rsid w:val="5AAF4A66"/>
    <w:rsid w:val="5ABA70E7"/>
    <w:rsid w:val="5ABE2233"/>
    <w:rsid w:val="5ACF16E7"/>
    <w:rsid w:val="5AE26D53"/>
    <w:rsid w:val="5B80654F"/>
    <w:rsid w:val="5BB7084B"/>
    <w:rsid w:val="5BBC3297"/>
    <w:rsid w:val="5BC226A8"/>
    <w:rsid w:val="5BDF5D95"/>
    <w:rsid w:val="5BF31218"/>
    <w:rsid w:val="5BFE7528"/>
    <w:rsid w:val="5C054731"/>
    <w:rsid w:val="5C1714AB"/>
    <w:rsid w:val="5C1D3276"/>
    <w:rsid w:val="5C3163EC"/>
    <w:rsid w:val="5C637E63"/>
    <w:rsid w:val="5C7066B5"/>
    <w:rsid w:val="5C7F7189"/>
    <w:rsid w:val="5C8927CF"/>
    <w:rsid w:val="5CA12EBC"/>
    <w:rsid w:val="5CC42BB4"/>
    <w:rsid w:val="5D187EC3"/>
    <w:rsid w:val="5D4F0470"/>
    <w:rsid w:val="5D7C186F"/>
    <w:rsid w:val="5D924AAA"/>
    <w:rsid w:val="5DBA472F"/>
    <w:rsid w:val="5DBD25F6"/>
    <w:rsid w:val="5E041297"/>
    <w:rsid w:val="5E1E53BD"/>
    <w:rsid w:val="5E2467F1"/>
    <w:rsid w:val="5E3F5F72"/>
    <w:rsid w:val="5EDE3D9A"/>
    <w:rsid w:val="5EFB71CC"/>
    <w:rsid w:val="5F051C18"/>
    <w:rsid w:val="5F082AF5"/>
    <w:rsid w:val="5F1A2B43"/>
    <w:rsid w:val="5F541572"/>
    <w:rsid w:val="5F5A52CF"/>
    <w:rsid w:val="5FAB1EF5"/>
    <w:rsid w:val="5FB837BB"/>
    <w:rsid w:val="5FB945CA"/>
    <w:rsid w:val="5FDB699F"/>
    <w:rsid w:val="6027004E"/>
    <w:rsid w:val="602C1911"/>
    <w:rsid w:val="60344795"/>
    <w:rsid w:val="6082516E"/>
    <w:rsid w:val="60B04905"/>
    <w:rsid w:val="60BC3C15"/>
    <w:rsid w:val="60BF3010"/>
    <w:rsid w:val="60C375B1"/>
    <w:rsid w:val="60C635DC"/>
    <w:rsid w:val="60CC405A"/>
    <w:rsid w:val="60F528EF"/>
    <w:rsid w:val="611D5AF9"/>
    <w:rsid w:val="613B13DC"/>
    <w:rsid w:val="618C4E56"/>
    <w:rsid w:val="619A0C45"/>
    <w:rsid w:val="61B9385B"/>
    <w:rsid w:val="61E215D8"/>
    <w:rsid w:val="61FE4473"/>
    <w:rsid w:val="620C129C"/>
    <w:rsid w:val="621B3775"/>
    <w:rsid w:val="621D5DF7"/>
    <w:rsid w:val="62364782"/>
    <w:rsid w:val="62661AC9"/>
    <w:rsid w:val="626951E2"/>
    <w:rsid w:val="627D2D35"/>
    <w:rsid w:val="628C302B"/>
    <w:rsid w:val="62AF1C11"/>
    <w:rsid w:val="62CF478E"/>
    <w:rsid w:val="62D66ED8"/>
    <w:rsid w:val="62E6057E"/>
    <w:rsid w:val="63216248"/>
    <w:rsid w:val="63500827"/>
    <w:rsid w:val="63710170"/>
    <w:rsid w:val="638266F5"/>
    <w:rsid w:val="6394356A"/>
    <w:rsid w:val="63A332CA"/>
    <w:rsid w:val="63C359ED"/>
    <w:rsid w:val="63C61B2C"/>
    <w:rsid w:val="63D40BE9"/>
    <w:rsid w:val="64102431"/>
    <w:rsid w:val="64372691"/>
    <w:rsid w:val="64711EC8"/>
    <w:rsid w:val="64A5243A"/>
    <w:rsid w:val="64C301DA"/>
    <w:rsid w:val="64F531DE"/>
    <w:rsid w:val="6520471B"/>
    <w:rsid w:val="65360BCA"/>
    <w:rsid w:val="65373578"/>
    <w:rsid w:val="653A1443"/>
    <w:rsid w:val="65956420"/>
    <w:rsid w:val="65CB371C"/>
    <w:rsid w:val="65E85312"/>
    <w:rsid w:val="65ED4F2A"/>
    <w:rsid w:val="660529F2"/>
    <w:rsid w:val="661A6B25"/>
    <w:rsid w:val="664B7CC8"/>
    <w:rsid w:val="665C5C0C"/>
    <w:rsid w:val="6682026B"/>
    <w:rsid w:val="66BA7658"/>
    <w:rsid w:val="66FA6593"/>
    <w:rsid w:val="671F124A"/>
    <w:rsid w:val="674F38D2"/>
    <w:rsid w:val="67753429"/>
    <w:rsid w:val="677A33C6"/>
    <w:rsid w:val="677E345D"/>
    <w:rsid w:val="678D479C"/>
    <w:rsid w:val="67D01A65"/>
    <w:rsid w:val="67E64B24"/>
    <w:rsid w:val="67F57C9D"/>
    <w:rsid w:val="67FB3633"/>
    <w:rsid w:val="67FF5422"/>
    <w:rsid w:val="6817119B"/>
    <w:rsid w:val="681F6961"/>
    <w:rsid w:val="68223792"/>
    <w:rsid w:val="684727D9"/>
    <w:rsid w:val="68610A2F"/>
    <w:rsid w:val="687E6BC6"/>
    <w:rsid w:val="68805514"/>
    <w:rsid w:val="688C1B52"/>
    <w:rsid w:val="689E0737"/>
    <w:rsid w:val="68A871B3"/>
    <w:rsid w:val="68AB7066"/>
    <w:rsid w:val="68B30570"/>
    <w:rsid w:val="68C73F33"/>
    <w:rsid w:val="68CA59BE"/>
    <w:rsid w:val="690F6F65"/>
    <w:rsid w:val="69316E2F"/>
    <w:rsid w:val="694E2071"/>
    <w:rsid w:val="69766163"/>
    <w:rsid w:val="697A3B33"/>
    <w:rsid w:val="69A71894"/>
    <w:rsid w:val="69D44760"/>
    <w:rsid w:val="69E560E1"/>
    <w:rsid w:val="69FF37C8"/>
    <w:rsid w:val="6A100FD1"/>
    <w:rsid w:val="6A193619"/>
    <w:rsid w:val="6A261631"/>
    <w:rsid w:val="6A407564"/>
    <w:rsid w:val="6A4D65D4"/>
    <w:rsid w:val="6A520EC7"/>
    <w:rsid w:val="6A7D2758"/>
    <w:rsid w:val="6A8A05BC"/>
    <w:rsid w:val="6AAB1BD2"/>
    <w:rsid w:val="6AAD10FA"/>
    <w:rsid w:val="6ADB4A28"/>
    <w:rsid w:val="6AF87E20"/>
    <w:rsid w:val="6B1A4DDE"/>
    <w:rsid w:val="6B322639"/>
    <w:rsid w:val="6B6975D5"/>
    <w:rsid w:val="6B6E08BB"/>
    <w:rsid w:val="6B7877EA"/>
    <w:rsid w:val="6B84284F"/>
    <w:rsid w:val="6BA578D2"/>
    <w:rsid w:val="6BA805BA"/>
    <w:rsid w:val="6BAF67DE"/>
    <w:rsid w:val="6BB02D19"/>
    <w:rsid w:val="6BC05565"/>
    <w:rsid w:val="6BCB6DE4"/>
    <w:rsid w:val="6BD93DAF"/>
    <w:rsid w:val="6BE40D80"/>
    <w:rsid w:val="6C636C38"/>
    <w:rsid w:val="6C8C0618"/>
    <w:rsid w:val="6CAB11DB"/>
    <w:rsid w:val="6CAB6A82"/>
    <w:rsid w:val="6D3E04E1"/>
    <w:rsid w:val="6D4D4500"/>
    <w:rsid w:val="6D526EF9"/>
    <w:rsid w:val="6D6261FE"/>
    <w:rsid w:val="6D6D06FE"/>
    <w:rsid w:val="6D77157D"/>
    <w:rsid w:val="6DAA1158"/>
    <w:rsid w:val="6DAF3447"/>
    <w:rsid w:val="6DB34098"/>
    <w:rsid w:val="6DB545B6"/>
    <w:rsid w:val="6DB743ED"/>
    <w:rsid w:val="6DE02FB4"/>
    <w:rsid w:val="6E0D5256"/>
    <w:rsid w:val="6E1B7A00"/>
    <w:rsid w:val="6E444610"/>
    <w:rsid w:val="6E514CED"/>
    <w:rsid w:val="6E6F06CA"/>
    <w:rsid w:val="6EA70CF0"/>
    <w:rsid w:val="6EA756BD"/>
    <w:rsid w:val="6EAE7B07"/>
    <w:rsid w:val="6EB563D5"/>
    <w:rsid w:val="6EC872DD"/>
    <w:rsid w:val="6ED92677"/>
    <w:rsid w:val="6EE53296"/>
    <w:rsid w:val="6F191ACB"/>
    <w:rsid w:val="6F225983"/>
    <w:rsid w:val="6FCF7875"/>
    <w:rsid w:val="6FDD70E8"/>
    <w:rsid w:val="6FDD7DBD"/>
    <w:rsid w:val="6FFC5590"/>
    <w:rsid w:val="70063B8B"/>
    <w:rsid w:val="70143070"/>
    <w:rsid w:val="70217A30"/>
    <w:rsid w:val="702301C0"/>
    <w:rsid w:val="704F406C"/>
    <w:rsid w:val="7053671C"/>
    <w:rsid w:val="705B1969"/>
    <w:rsid w:val="706D1DD0"/>
    <w:rsid w:val="707B60CB"/>
    <w:rsid w:val="70856B87"/>
    <w:rsid w:val="708F36C0"/>
    <w:rsid w:val="70A1769B"/>
    <w:rsid w:val="70AE5B55"/>
    <w:rsid w:val="70D527EE"/>
    <w:rsid w:val="711E3EBD"/>
    <w:rsid w:val="715B5300"/>
    <w:rsid w:val="71B42E08"/>
    <w:rsid w:val="71D27F8A"/>
    <w:rsid w:val="71F43E08"/>
    <w:rsid w:val="722A475A"/>
    <w:rsid w:val="7233692B"/>
    <w:rsid w:val="724F5158"/>
    <w:rsid w:val="72553024"/>
    <w:rsid w:val="72712A3F"/>
    <w:rsid w:val="729B1E7A"/>
    <w:rsid w:val="72C67F5C"/>
    <w:rsid w:val="72DC19AC"/>
    <w:rsid w:val="72EA4D8C"/>
    <w:rsid w:val="72F20804"/>
    <w:rsid w:val="72FF5C12"/>
    <w:rsid w:val="73122968"/>
    <w:rsid w:val="731F5D5E"/>
    <w:rsid w:val="732E04EB"/>
    <w:rsid w:val="734C731A"/>
    <w:rsid w:val="7397544A"/>
    <w:rsid w:val="73C51AD5"/>
    <w:rsid w:val="73FE0302"/>
    <w:rsid w:val="74081892"/>
    <w:rsid w:val="741303E6"/>
    <w:rsid w:val="741E793C"/>
    <w:rsid w:val="744F4696"/>
    <w:rsid w:val="745E3944"/>
    <w:rsid w:val="746A3809"/>
    <w:rsid w:val="7479701F"/>
    <w:rsid w:val="74850B16"/>
    <w:rsid w:val="74EA7A94"/>
    <w:rsid w:val="75201133"/>
    <w:rsid w:val="75216F18"/>
    <w:rsid w:val="755F69B0"/>
    <w:rsid w:val="7598437A"/>
    <w:rsid w:val="75BB32F8"/>
    <w:rsid w:val="760863A6"/>
    <w:rsid w:val="760E32F6"/>
    <w:rsid w:val="7635099D"/>
    <w:rsid w:val="763620BF"/>
    <w:rsid w:val="7660225F"/>
    <w:rsid w:val="767E143B"/>
    <w:rsid w:val="76C156BE"/>
    <w:rsid w:val="76C4154E"/>
    <w:rsid w:val="76CD3ADE"/>
    <w:rsid w:val="76CF008C"/>
    <w:rsid w:val="76F30381"/>
    <w:rsid w:val="76FF2D0F"/>
    <w:rsid w:val="77081550"/>
    <w:rsid w:val="771575FE"/>
    <w:rsid w:val="7727366D"/>
    <w:rsid w:val="774B5717"/>
    <w:rsid w:val="77762421"/>
    <w:rsid w:val="77AA12F3"/>
    <w:rsid w:val="77B33132"/>
    <w:rsid w:val="77B56B1F"/>
    <w:rsid w:val="77CF40D5"/>
    <w:rsid w:val="780F09F4"/>
    <w:rsid w:val="784D5958"/>
    <w:rsid w:val="788475A5"/>
    <w:rsid w:val="78894CE2"/>
    <w:rsid w:val="788F6945"/>
    <w:rsid w:val="78A34AB9"/>
    <w:rsid w:val="78A55FB0"/>
    <w:rsid w:val="78A70967"/>
    <w:rsid w:val="78A90480"/>
    <w:rsid w:val="78B813C8"/>
    <w:rsid w:val="78E81351"/>
    <w:rsid w:val="79176462"/>
    <w:rsid w:val="79194453"/>
    <w:rsid w:val="792C085A"/>
    <w:rsid w:val="793203DB"/>
    <w:rsid w:val="794C3BF9"/>
    <w:rsid w:val="79512EBE"/>
    <w:rsid w:val="79B853F7"/>
    <w:rsid w:val="79C91BEE"/>
    <w:rsid w:val="79CF61CE"/>
    <w:rsid w:val="79DE10CF"/>
    <w:rsid w:val="7A364017"/>
    <w:rsid w:val="7A56079E"/>
    <w:rsid w:val="7A737F4C"/>
    <w:rsid w:val="7A777D09"/>
    <w:rsid w:val="7A8265E1"/>
    <w:rsid w:val="7AA84A06"/>
    <w:rsid w:val="7ACE2D7B"/>
    <w:rsid w:val="7B214DB9"/>
    <w:rsid w:val="7B547B36"/>
    <w:rsid w:val="7B6651EB"/>
    <w:rsid w:val="7B686D42"/>
    <w:rsid w:val="7B692C98"/>
    <w:rsid w:val="7B76469F"/>
    <w:rsid w:val="7B777ED0"/>
    <w:rsid w:val="7B841746"/>
    <w:rsid w:val="7BAB52E5"/>
    <w:rsid w:val="7BC41E31"/>
    <w:rsid w:val="7C032F8E"/>
    <w:rsid w:val="7C1847B8"/>
    <w:rsid w:val="7C684F70"/>
    <w:rsid w:val="7C6C5AC7"/>
    <w:rsid w:val="7C7E6484"/>
    <w:rsid w:val="7C813DFD"/>
    <w:rsid w:val="7C8A4E29"/>
    <w:rsid w:val="7C8A50A3"/>
    <w:rsid w:val="7CA50DF7"/>
    <w:rsid w:val="7CC6544B"/>
    <w:rsid w:val="7CD662C0"/>
    <w:rsid w:val="7CEE59FB"/>
    <w:rsid w:val="7CF46121"/>
    <w:rsid w:val="7D0239FF"/>
    <w:rsid w:val="7D2739A4"/>
    <w:rsid w:val="7D5E40CD"/>
    <w:rsid w:val="7D821E42"/>
    <w:rsid w:val="7D9C536E"/>
    <w:rsid w:val="7DBC03D5"/>
    <w:rsid w:val="7DCB0A32"/>
    <w:rsid w:val="7DCC035C"/>
    <w:rsid w:val="7DCD56F2"/>
    <w:rsid w:val="7DEF2670"/>
    <w:rsid w:val="7E130828"/>
    <w:rsid w:val="7E5724DF"/>
    <w:rsid w:val="7E923CA0"/>
    <w:rsid w:val="7EC12F28"/>
    <w:rsid w:val="7ECB6AE0"/>
    <w:rsid w:val="7ED4244F"/>
    <w:rsid w:val="7F001CE7"/>
    <w:rsid w:val="7F0A3FFF"/>
    <w:rsid w:val="7F0E0DAD"/>
    <w:rsid w:val="7F1B4D03"/>
    <w:rsid w:val="7F2A505B"/>
    <w:rsid w:val="7F5C1A0C"/>
    <w:rsid w:val="7F5C68C8"/>
    <w:rsid w:val="7F64620F"/>
    <w:rsid w:val="7F7471EB"/>
    <w:rsid w:val="7F914720"/>
    <w:rsid w:val="7F91757B"/>
    <w:rsid w:val="7F9777CC"/>
    <w:rsid w:val="7FCA19E0"/>
    <w:rsid w:val="7FE25383"/>
    <w:rsid w:val="7FE47E50"/>
    <w:rsid w:val="7FF45B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1"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iPriority="99" w:semiHidden="0" w:name="index heading" w:locked="1"/>
    <w:lsdException w:qFormat="1" w:uiPriority="0" w:semiHidden="0" w:name="caption" w:locked="1"/>
    <w:lsdException w:qFormat="1"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qFormat="1"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line="360" w:lineRule="auto"/>
      <w:outlineLvl w:val="1"/>
    </w:pPr>
    <w:rPr>
      <w:b/>
      <w:bCs/>
      <w:sz w:val="24"/>
      <w:szCs w:val="32"/>
    </w:rPr>
  </w:style>
  <w:style w:type="paragraph" w:styleId="4">
    <w:name w:val="heading 3"/>
    <w:basedOn w:val="1"/>
    <w:next w:val="1"/>
    <w:qFormat/>
    <w:locked/>
    <w:uiPriority w:val="1"/>
    <w:pPr>
      <w:ind w:left="1068"/>
      <w:outlineLvl w:val="2"/>
    </w:pPr>
    <w:rPr>
      <w:rFonts w:ascii="宋体" w:hAnsi="宋体" w:eastAsia="宋体" w:cs="宋体"/>
      <w:b/>
      <w:bCs/>
      <w:sz w:val="24"/>
      <w:szCs w:val="24"/>
      <w:lang w:val="zh-CN" w:eastAsia="zh-CN" w:bidi="zh-CN"/>
    </w:rPr>
  </w:style>
  <w:style w:type="paragraph" w:styleId="5">
    <w:name w:val="heading 4"/>
    <w:basedOn w:val="1"/>
    <w:next w:val="1"/>
    <w:qFormat/>
    <w:locked/>
    <w:uiPriority w:val="0"/>
    <w:pPr>
      <w:keepNext/>
      <w:keepLines/>
      <w:spacing w:before="280" w:after="290" w:line="376" w:lineRule="auto"/>
      <w:outlineLvl w:val="3"/>
    </w:pPr>
    <w:rPr>
      <w:rFonts w:ascii="Arial" w:hAnsi="Arial" w:eastAsia="黑体"/>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6">
    <w:name w:val="Normal Indent"/>
    <w:basedOn w:val="1"/>
    <w:qFormat/>
    <w:locked/>
    <w:uiPriority w:val="99"/>
    <w:pPr>
      <w:spacing w:line="360" w:lineRule="auto"/>
      <w:ind w:firstLine="420" w:firstLineChars="200"/>
    </w:pPr>
    <w:rPr>
      <w:sz w:val="24"/>
    </w:rPr>
  </w:style>
  <w:style w:type="paragraph" w:styleId="7">
    <w:name w:val="caption"/>
    <w:basedOn w:val="1"/>
    <w:next w:val="1"/>
    <w:unhideWhenUsed/>
    <w:qFormat/>
    <w:locked/>
    <w:uiPriority w:val="0"/>
    <w:pPr>
      <w:ind w:firstLine="0" w:firstLineChars="0"/>
      <w:jc w:val="center"/>
    </w:pPr>
    <w:rPr>
      <w:rFonts w:ascii="黑体" w:hAnsi="黑体" w:eastAsia="黑体" w:cstheme="majorBidi"/>
      <w:b/>
    </w:rPr>
  </w:style>
  <w:style w:type="paragraph" w:styleId="8">
    <w:name w:val="annotation text"/>
    <w:basedOn w:val="1"/>
    <w:link w:val="49"/>
    <w:semiHidden/>
    <w:qFormat/>
    <w:uiPriority w:val="0"/>
    <w:pPr>
      <w:jc w:val="left"/>
    </w:pPr>
    <w:rPr>
      <w:kern w:val="0"/>
      <w:sz w:val="24"/>
      <w:szCs w:val="20"/>
    </w:rPr>
  </w:style>
  <w:style w:type="paragraph" w:styleId="9">
    <w:name w:val="Body Text 3"/>
    <w:basedOn w:val="1"/>
    <w:qFormat/>
    <w:locked/>
    <w:uiPriority w:val="0"/>
    <w:pPr>
      <w:spacing w:line="560" w:lineRule="exact"/>
    </w:pPr>
    <w:rPr>
      <w:rFonts w:ascii="宋体"/>
      <w:sz w:val="28"/>
    </w:rPr>
  </w:style>
  <w:style w:type="paragraph" w:styleId="10">
    <w:name w:val="Body Text"/>
    <w:basedOn w:val="1"/>
    <w:link w:val="50"/>
    <w:qFormat/>
    <w:uiPriority w:val="0"/>
    <w:pPr>
      <w:widowControl/>
      <w:snapToGrid w:val="0"/>
      <w:spacing w:before="60" w:after="160" w:line="259" w:lineRule="auto"/>
      <w:ind w:right="113"/>
    </w:pPr>
    <w:rPr>
      <w:kern w:val="0"/>
      <w:sz w:val="18"/>
      <w:szCs w:val="20"/>
    </w:rPr>
  </w:style>
  <w:style w:type="paragraph" w:styleId="11">
    <w:name w:val="Body Text Indent"/>
    <w:basedOn w:val="1"/>
    <w:next w:val="1"/>
    <w:link w:val="51"/>
    <w:qFormat/>
    <w:uiPriority w:val="0"/>
    <w:pPr>
      <w:spacing w:after="120"/>
      <w:ind w:left="420" w:leftChars="200"/>
    </w:pPr>
    <w:rPr>
      <w:kern w:val="0"/>
      <w:sz w:val="24"/>
      <w:szCs w:val="20"/>
    </w:rPr>
  </w:style>
  <w:style w:type="paragraph" w:styleId="12">
    <w:name w:val="List 2"/>
    <w:basedOn w:val="1"/>
    <w:unhideWhenUsed/>
    <w:qFormat/>
    <w:locked/>
    <w:uiPriority w:val="0"/>
    <w:pPr>
      <w:widowControl w:val="0"/>
      <w:adjustRightInd/>
      <w:snapToGrid/>
      <w:ind w:left="100" w:leftChars="200" w:hanging="200" w:hangingChars="200"/>
      <w:contextualSpacing/>
    </w:pPr>
    <w:rPr>
      <w:szCs w:val="22"/>
      <w:lang w:bidi="ar-SA"/>
    </w:rPr>
  </w:style>
  <w:style w:type="paragraph" w:styleId="13">
    <w:name w:val="Block Text"/>
    <w:basedOn w:val="1"/>
    <w:qFormat/>
    <w:locked/>
    <w:uiPriority w:val="0"/>
    <w:pPr>
      <w:spacing w:after="120" w:afterLines="0" w:afterAutospacing="0"/>
      <w:ind w:left="1440" w:leftChars="700" w:rightChars="700"/>
    </w:pPr>
  </w:style>
  <w:style w:type="paragraph" w:styleId="14">
    <w:name w:val="Plain Text"/>
    <w:basedOn w:val="1"/>
    <w:next w:val="9"/>
    <w:qFormat/>
    <w:locked/>
    <w:uiPriority w:val="0"/>
    <w:rPr>
      <w:rFonts w:ascii="宋体" w:hAnsi="Courier New" w:eastAsia="Times New Roman"/>
      <w:kern w:val="0"/>
      <w:sz w:val="20"/>
      <w:szCs w:val="21"/>
    </w:rPr>
  </w:style>
  <w:style w:type="paragraph" w:styleId="15">
    <w:name w:val="List Bullet 5"/>
    <w:basedOn w:val="1"/>
    <w:qFormat/>
    <w:locked/>
    <w:uiPriority w:val="0"/>
    <w:pPr>
      <w:numPr>
        <w:ilvl w:val="0"/>
        <w:numId w:val="1"/>
      </w:numPr>
    </w:pPr>
  </w:style>
  <w:style w:type="paragraph" w:styleId="16">
    <w:name w:val="Date"/>
    <w:basedOn w:val="1"/>
    <w:next w:val="1"/>
    <w:link w:val="52"/>
    <w:qFormat/>
    <w:uiPriority w:val="0"/>
    <w:pPr>
      <w:ind w:left="100" w:leftChars="2500"/>
    </w:pPr>
    <w:rPr>
      <w:kern w:val="0"/>
      <w:sz w:val="24"/>
      <w:szCs w:val="20"/>
    </w:rPr>
  </w:style>
  <w:style w:type="paragraph" w:styleId="17">
    <w:name w:val="Body Text Indent 2"/>
    <w:basedOn w:val="1"/>
    <w:qFormat/>
    <w:locked/>
    <w:uiPriority w:val="0"/>
    <w:pPr>
      <w:spacing w:after="120" w:line="480" w:lineRule="auto"/>
      <w:ind w:left="420" w:leftChars="200"/>
    </w:pPr>
  </w:style>
  <w:style w:type="paragraph" w:styleId="18">
    <w:name w:val="Balloon Text"/>
    <w:basedOn w:val="1"/>
    <w:link w:val="53"/>
    <w:semiHidden/>
    <w:qFormat/>
    <w:uiPriority w:val="0"/>
    <w:rPr>
      <w:kern w:val="0"/>
      <w:sz w:val="18"/>
      <w:szCs w:val="20"/>
    </w:rPr>
  </w:style>
  <w:style w:type="paragraph" w:styleId="19">
    <w:name w:val="footer"/>
    <w:basedOn w:val="1"/>
    <w:link w:val="54"/>
    <w:qFormat/>
    <w:uiPriority w:val="99"/>
    <w:pPr>
      <w:tabs>
        <w:tab w:val="center" w:pos="4153"/>
        <w:tab w:val="right" w:pos="8306"/>
      </w:tabs>
      <w:snapToGrid w:val="0"/>
      <w:jc w:val="left"/>
    </w:pPr>
    <w:rPr>
      <w:kern w:val="0"/>
      <w:sz w:val="18"/>
      <w:szCs w:val="20"/>
    </w:rPr>
  </w:style>
  <w:style w:type="paragraph" w:styleId="20">
    <w:name w:val="header"/>
    <w:basedOn w:val="1"/>
    <w:next w:val="21"/>
    <w:link w:val="58"/>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1">
    <w:name w:val="样式5"/>
    <w:basedOn w:val="22"/>
    <w:qFormat/>
    <w:uiPriority w:val="0"/>
  </w:style>
  <w:style w:type="paragraph" w:customStyle="1" w:styleId="22">
    <w:name w:val="样式3"/>
    <w:basedOn w:val="1"/>
    <w:qFormat/>
    <w:uiPriority w:val="0"/>
    <w:pPr>
      <w:spacing w:line="520" w:lineRule="exact"/>
      <w:ind w:firstLine="480" w:firstLineChars="200"/>
    </w:pPr>
    <w:rPr>
      <w:color w:val="0070C0"/>
      <w:sz w:val="24"/>
    </w:rPr>
  </w:style>
  <w:style w:type="paragraph" w:styleId="23">
    <w:name w:val="toc 1"/>
    <w:basedOn w:val="1"/>
    <w:next w:val="1"/>
    <w:qFormat/>
    <w:locked/>
    <w:uiPriority w:val="0"/>
  </w:style>
  <w:style w:type="paragraph" w:styleId="24">
    <w:name w:val="index heading"/>
    <w:basedOn w:val="1"/>
    <w:next w:val="25"/>
    <w:unhideWhenUsed/>
    <w:qFormat/>
    <w:locked/>
    <w:uiPriority w:val="99"/>
    <w:rPr>
      <w:rFonts w:ascii="Cambria" w:hAnsi="Cambria" w:eastAsia="宋体" w:cs="Times New Roman"/>
      <w:b/>
      <w:bCs/>
      <w:spacing w:val="5"/>
      <w:sz w:val="25"/>
      <w:szCs w:val="25"/>
    </w:rPr>
  </w:style>
  <w:style w:type="paragraph" w:styleId="25">
    <w:name w:val="index 1"/>
    <w:basedOn w:val="1"/>
    <w:next w:val="1"/>
    <w:qFormat/>
    <w:locked/>
    <w:uiPriority w:val="0"/>
    <w:pPr>
      <w:ind w:firstLine="0"/>
    </w:pPr>
  </w:style>
  <w:style w:type="paragraph" w:styleId="26">
    <w:name w:val="List"/>
    <w:basedOn w:val="1"/>
    <w:next w:val="1"/>
    <w:qFormat/>
    <w:locked/>
    <w:uiPriority w:val="0"/>
    <w:pPr>
      <w:ind w:left="200" w:hanging="200" w:hangingChars="200"/>
    </w:pPr>
    <w:rPr>
      <w:rFonts w:ascii="Times New Roman" w:hAnsi="Times New Roman" w:eastAsia="宋体" w:cs="Times New Roman"/>
      <w:szCs w:val="24"/>
    </w:rPr>
  </w:style>
  <w:style w:type="paragraph" w:styleId="27">
    <w:name w:val="table of figures"/>
    <w:basedOn w:val="1"/>
    <w:next w:val="1"/>
    <w:unhideWhenUsed/>
    <w:qFormat/>
    <w:locked/>
    <w:uiPriority w:val="99"/>
    <w:pPr>
      <w:jc w:val="center"/>
    </w:pPr>
    <w:rPr>
      <w:sz w:val="24"/>
    </w:rPr>
  </w:style>
  <w:style w:type="paragraph" w:styleId="28">
    <w:name w:val="Body Text 2"/>
    <w:basedOn w:val="1"/>
    <w:qFormat/>
    <w:locked/>
    <w:uiPriority w:val="0"/>
    <w:pPr>
      <w:jc w:val="left"/>
    </w:pPr>
  </w:style>
  <w:style w:type="paragraph" w:styleId="29">
    <w:name w:val="Normal (Web)"/>
    <w:basedOn w:val="1"/>
    <w:link w:val="56"/>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8"/>
    <w:next w:val="8"/>
    <w:link w:val="57"/>
    <w:semiHidden/>
    <w:qFormat/>
    <w:uiPriority w:val="0"/>
    <w:rPr>
      <w:b/>
      <w:sz w:val="24"/>
      <w:szCs w:val="20"/>
    </w:rPr>
  </w:style>
  <w:style w:type="paragraph" w:styleId="31">
    <w:name w:val="Body Text First Indent"/>
    <w:basedOn w:val="10"/>
    <w:next w:val="1"/>
    <w:qFormat/>
    <w:locked/>
    <w:uiPriority w:val="0"/>
    <w:pPr>
      <w:adjustRightInd/>
      <w:spacing w:after="120"/>
      <w:ind w:firstLine="420" w:firstLineChars="100"/>
    </w:pPr>
    <w:rPr>
      <w:sz w:val="21"/>
      <w:szCs w:val="24"/>
    </w:rPr>
  </w:style>
  <w:style w:type="paragraph" w:styleId="32">
    <w:name w:val="Body Text First Indent 2"/>
    <w:basedOn w:val="11"/>
    <w:next w:val="1"/>
    <w:unhideWhenUsed/>
    <w:qFormat/>
    <w:locked/>
    <w:uiPriority w:val="99"/>
    <w:pPr>
      <w:ind w:firstLine="420" w:firstLineChars="200"/>
    </w:p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basedOn w:val="35"/>
    <w:qFormat/>
    <w:locked/>
    <w:uiPriority w:val="0"/>
  </w:style>
  <w:style w:type="character" w:styleId="38">
    <w:name w:val="Emphasis"/>
    <w:basedOn w:val="35"/>
    <w:qFormat/>
    <w:locked/>
    <w:uiPriority w:val="0"/>
    <w:rPr>
      <w:i/>
    </w:rPr>
  </w:style>
  <w:style w:type="character" w:styleId="39">
    <w:name w:val="Hyperlink"/>
    <w:basedOn w:val="35"/>
    <w:qFormat/>
    <w:locked/>
    <w:uiPriority w:val="0"/>
    <w:rPr>
      <w:color w:val="0000FF"/>
      <w:u w:val="single"/>
    </w:rPr>
  </w:style>
  <w:style w:type="character" w:styleId="40">
    <w:name w:val="annotation reference"/>
    <w:semiHidden/>
    <w:qFormat/>
    <w:uiPriority w:val="0"/>
    <w:rPr>
      <w:sz w:val="21"/>
    </w:rPr>
  </w:style>
  <w:style w:type="paragraph" w:customStyle="1" w:styleId="41">
    <w:name w:val="Char Char Char Char Char Char Char Char Char1 Char"/>
    <w:basedOn w:val="1"/>
    <w:next w:val="42"/>
    <w:qFormat/>
    <w:uiPriority w:val="0"/>
    <w:pPr>
      <w:spacing w:line="360" w:lineRule="auto"/>
      <w:ind w:firstLine="200" w:firstLineChars="200"/>
    </w:pPr>
    <w:rPr>
      <w:rFonts w:hAnsi="宋体" w:cs="宋体"/>
      <w:spacing w:val="0"/>
      <w:sz w:val="24"/>
      <w:szCs w:val="24"/>
    </w:rPr>
  </w:style>
  <w:style w:type="paragraph" w:customStyle="1" w:styleId="42">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customStyle="1" w:styleId="43">
    <w:name w:val="表格文字"/>
    <w:basedOn w:val="31"/>
    <w:next w:val="1"/>
    <w:qFormat/>
    <w:uiPriority w:val="0"/>
    <w:pPr>
      <w:jc w:val="center"/>
    </w:pPr>
    <w:rPr>
      <w:rFonts w:ascii="Calibri" w:hAnsi="Calibri"/>
      <w:szCs w:val="22"/>
    </w:rPr>
  </w:style>
  <w:style w:type="paragraph" w:customStyle="1" w:styleId="44">
    <w:name w:val="Default"/>
    <w:basedOn w:val="45"/>
    <w:next w:val="1"/>
    <w:qFormat/>
    <w:uiPriority w:val="0"/>
    <w:pPr>
      <w:widowControl w:val="0"/>
      <w:autoSpaceDE w:val="0"/>
      <w:autoSpaceDN w:val="0"/>
    </w:pPr>
    <w:rPr>
      <w:rFonts w:hint="eastAsia" w:ascii="仿宋_GB2312" w:hAnsi="仿宋_GB2312" w:eastAsia="宋体" w:cs="Times New Roman"/>
      <w:color w:val="000000"/>
      <w:sz w:val="24"/>
      <w:szCs w:val="22"/>
      <w:lang w:val="en-US" w:eastAsia="zh-CN" w:bidi="ar-SA"/>
    </w:rPr>
  </w:style>
  <w:style w:type="paragraph" w:customStyle="1" w:styleId="45">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46">
    <w:name w:val="正文2"/>
    <w:qFormat/>
    <w:uiPriority w:val="0"/>
    <w:pPr>
      <w:widowControl w:val="0"/>
      <w:autoSpaceDE w:val="0"/>
      <w:autoSpaceDN w:val="0"/>
      <w:adjustRightInd w:val="0"/>
      <w:spacing w:line="360" w:lineRule="auto"/>
      <w:ind w:firstLine="560" w:firstLineChars="200"/>
      <w:jc w:val="both"/>
    </w:pPr>
    <w:rPr>
      <w:rFonts w:ascii="Times New Roman" w:hAnsi="Times New Roman" w:eastAsia="宋体" w:cs="Times New Roman"/>
      <w:color w:val="auto"/>
      <w:sz w:val="24"/>
      <w:szCs w:val="24"/>
    </w:rPr>
  </w:style>
  <w:style w:type="paragraph" w:customStyle="1" w:styleId="47">
    <w:name w:val="样式 表内容 + 行距: 固定值 28 磅"/>
    <w:basedOn w:val="48"/>
    <w:qFormat/>
    <w:uiPriority w:val="0"/>
    <w:rPr>
      <w:rFonts w:cs="宋体"/>
      <w:spacing w:val="5"/>
      <w:szCs w:val="20"/>
    </w:rPr>
  </w:style>
  <w:style w:type="paragraph" w:customStyle="1" w:styleId="48">
    <w:name w:val="表内容"/>
    <w:basedOn w:val="1"/>
    <w:next w:val="1"/>
    <w:qFormat/>
    <w:uiPriority w:val="0"/>
    <w:pPr>
      <w:jc w:val="center"/>
    </w:pPr>
    <w:rPr>
      <w:rFonts w:hAnsi="宋体"/>
    </w:rPr>
  </w:style>
  <w:style w:type="character" w:customStyle="1" w:styleId="49">
    <w:name w:val="批注文字 Char"/>
    <w:link w:val="8"/>
    <w:qFormat/>
    <w:locked/>
    <w:uiPriority w:val="0"/>
    <w:rPr>
      <w:rFonts w:ascii="Times New Roman" w:hAnsi="Times New Roman" w:eastAsia="宋体"/>
      <w:sz w:val="24"/>
    </w:rPr>
  </w:style>
  <w:style w:type="character" w:customStyle="1" w:styleId="50">
    <w:name w:val="正文文本 Char"/>
    <w:link w:val="10"/>
    <w:qFormat/>
    <w:locked/>
    <w:uiPriority w:val="0"/>
    <w:rPr>
      <w:sz w:val="18"/>
    </w:rPr>
  </w:style>
  <w:style w:type="character" w:customStyle="1" w:styleId="51">
    <w:name w:val="正文文本缩进 Char"/>
    <w:link w:val="11"/>
    <w:semiHidden/>
    <w:qFormat/>
    <w:locked/>
    <w:uiPriority w:val="0"/>
    <w:rPr>
      <w:rFonts w:ascii="Times New Roman" w:hAnsi="Times New Roman" w:eastAsia="宋体"/>
      <w:sz w:val="24"/>
    </w:rPr>
  </w:style>
  <w:style w:type="character" w:customStyle="1" w:styleId="52">
    <w:name w:val="日期 Char"/>
    <w:link w:val="16"/>
    <w:qFormat/>
    <w:locked/>
    <w:uiPriority w:val="0"/>
    <w:rPr>
      <w:rFonts w:ascii="Times New Roman" w:hAnsi="Times New Roman" w:eastAsia="宋体"/>
      <w:sz w:val="24"/>
    </w:rPr>
  </w:style>
  <w:style w:type="character" w:customStyle="1" w:styleId="53">
    <w:name w:val="批注框文本 Char"/>
    <w:link w:val="18"/>
    <w:semiHidden/>
    <w:qFormat/>
    <w:locked/>
    <w:uiPriority w:val="0"/>
    <w:rPr>
      <w:rFonts w:ascii="Times New Roman" w:hAnsi="Times New Roman" w:eastAsia="宋体"/>
      <w:sz w:val="18"/>
    </w:rPr>
  </w:style>
  <w:style w:type="character" w:customStyle="1" w:styleId="54">
    <w:name w:val="页脚 Char"/>
    <w:link w:val="19"/>
    <w:qFormat/>
    <w:locked/>
    <w:uiPriority w:val="99"/>
    <w:rPr>
      <w:sz w:val="18"/>
    </w:rPr>
  </w:style>
  <w:style w:type="character" w:customStyle="1" w:styleId="55">
    <w:name w:val="页眉 字符"/>
    <w:basedOn w:val="35"/>
    <w:link w:val="20"/>
    <w:qFormat/>
    <w:uiPriority w:val="0"/>
  </w:style>
  <w:style w:type="character" w:customStyle="1" w:styleId="56">
    <w:name w:val="普通(网站) Char"/>
    <w:link w:val="29"/>
    <w:qFormat/>
    <w:locked/>
    <w:uiPriority w:val="0"/>
    <w:rPr>
      <w:rFonts w:ascii="宋体" w:hAnsi="宋体" w:eastAsia="宋体"/>
      <w:sz w:val="24"/>
    </w:rPr>
  </w:style>
  <w:style w:type="character" w:customStyle="1" w:styleId="57">
    <w:name w:val="批注主题 Char"/>
    <w:link w:val="30"/>
    <w:semiHidden/>
    <w:qFormat/>
    <w:locked/>
    <w:uiPriority w:val="0"/>
    <w:rPr>
      <w:rFonts w:ascii="Times New Roman" w:hAnsi="Times New Roman" w:eastAsia="宋体"/>
      <w:b/>
      <w:kern w:val="2"/>
      <w:sz w:val="24"/>
    </w:rPr>
  </w:style>
  <w:style w:type="character" w:customStyle="1" w:styleId="58">
    <w:name w:val="页眉 Char"/>
    <w:link w:val="20"/>
    <w:qFormat/>
    <w:locked/>
    <w:uiPriority w:val="0"/>
    <w:rPr>
      <w:sz w:val="18"/>
    </w:rPr>
  </w:style>
  <w:style w:type="paragraph" w:customStyle="1" w:styleId="59">
    <w:name w:val="表格内"/>
    <w:basedOn w:val="1"/>
    <w:qFormat/>
    <w:uiPriority w:val="99"/>
    <w:pPr>
      <w:adjustRightInd w:val="0"/>
      <w:spacing w:line="240" w:lineRule="atLeast"/>
      <w:jc w:val="center"/>
      <w:textAlignment w:val="baseline"/>
    </w:pPr>
    <w:rPr>
      <w:rFonts w:ascii="宋体"/>
      <w:kern w:val="0"/>
      <w:sz w:val="28"/>
      <w:szCs w:val="20"/>
    </w:rPr>
  </w:style>
  <w:style w:type="paragraph" w:customStyle="1" w:styleId="60">
    <w:name w:val="样式 首行缩进:  2 字符1"/>
    <w:basedOn w:val="1"/>
    <w:qFormat/>
    <w:uiPriority w:val="0"/>
    <w:pPr>
      <w:spacing w:before="120" w:line="400" w:lineRule="exact"/>
    </w:pPr>
    <w:rPr>
      <w:rFonts w:ascii="宋体"/>
      <w:szCs w:val="20"/>
    </w:rPr>
  </w:style>
  <w:style w:type="character" w:customStyle="1" w:styleId="61">
    <w:name w:val="textbig1"/>
    <w:basedOn w:val="35"/>
    <w:qFormat/>
    <w:uiPriority w:val="0"/>
    <w:rPr>
      <w:sz w:val="18"/>
      <w:szCs w:val="18"/>
    </w:rPr>
  </w:style>
  <w:style w:type="character" w:customStyle="1" w:styleId="62">
    <w:name w:val="font61"/>
    <w:basedOn w:val="35"/>
    <w:qFormat/>
    <w:uiPriority w:val="0"/>
    <w:rPr>
      <w:rFonts w:hint="eastAsia" w:ascii="宋体" w:hAnsi="宋体" w:eastAsia="宋体" w:cs="宋体"/>
      <w:color w:val="000000"/>
      <w:sz w:val="22"/>
      <w:szCs w:val="22"/>
      <w:u w:val="none"/>
    </w:rPr>
  </w:style>
  <w:style w:type="character" w:customStyle="1" w:styleId="63">
    <w:name w:val="表格 Char"/>
    <w:link w:val="64"/>
    <w:qFormat/>
    <w:locked/>
    <w:uiPriority w:val="0"/>
    <w:rPr>
      <w:rFonts w:ascii="宋体"/>
      <w:sz w:val="21"/>
    </w:rPr>
  </w:style>
  <w:style w:type="paragraph" w:customStyle="1" w:styleId="64">
    <w:name w:val="表格"/>
    <w:basedOn w:val="65"/>
    <w:next w:val="1"/>
    <w:link w:val="63"/>
    <w:qFormat/>
    <w:uiPriority w:val="0"/>
    <w:pPr>
      <w:adjustRightInd w:val="0"/>
      <w:snapToGrid w:val="0"/>
      <w:spacing w:beforeLines="10" w:afterLines="10" w:line="259" w:lineRule="auto"/>
      <w:jc w:val="center"/>
    </w:pPr>
    <w:rPr>
      <w:rFonts w:ascii="宋体"/>
      <w:kern w:val="0"/>
      <w:szCs w:val="20"/>
    </w:rPr>
  </w:style>
  <w:style w:type="paragraph" w:customStyle="1" w:styleId="65">
    <w:name w:val="Table Paragraph"/>
    <w:basedOn w:val="1"/>
    <w:qFormat/>
    <w:uiPriority w:val="1"/>
    <w:rPr>
      <w:rFonts w:ascii="仿宋" w:hAnsi="仿宋" w:eastAsia="仿宋" w:cs="仿宋"/>
      <w:lang w:val="zh-CN" w:eastAsia="zh-CN" w:bidi="zh-CN"/>
    </w:rPr>
  </w:style>
  <w:style w:type="paragraph" w:customStyle="1" w:styleId="66">
    <w:name w:val="样式 标题 2 + 首行缩进:  2 字符"/>
    <w:basedOn w:val="3"/>
    <w:next w:val="67"/>
    <w:qFormat/>
    <w:uiPriority w:val="0"/>
    <w:pPr>
      <w:widowControl/>
      <w:autoSpaceDE/>
      <w:autoSpaceDN/>
      <w:spacing w:before="0" w:after="0" w:line="300" w:lineRule="auto"/>
      <w:ind w:left="1320" w:hanging="420"/>
      <w:outlineLvl w:val="1"/>
    </w:pPr>
    <w:rPr>
      <w:rFonts w:ascii="Times New Roman" w:eastAsia="黑体"/>
      <w:b w:val="0"/>
      <w:sz w:val="30"/>
    </w:rPr>
  </w:style>
  <w:style w:type="paragraph" w:customStyle="1" w:styleId="67">
    <w:name w:val="图号"/>
    <w:next w:val="68"/>
    <w:qFormat/>
    <w:uiPriority w:val="0"/>
    <w:pPr>
      <w:widowControl w:val="0"/>
      <w:spacing w:line="529" w:lineRule="exact"/>
      <w:ind w:left="198"/>
    </w:pPr>
    <w:rPr>
      <w:rFonts w:ascii="宋体" w:hAnsi="Times New Roman" w:eastAsia="宋体" w:cs="Times New Roman"/>
      <w:b/>
      <w:sz w:val="24"/>
      <w:lang w:val="en-US" w:eastAsia="zh-CN" w:bidi="ar-SA"/>
    </w:rPr>
  </w:style>
  <w:style w:type="paragraph" w:customStyle="1" w:styleId="68">
    <w:name w:val=" Char Char Char Char Char Char Char Char Char Char Char Char Char Char Char Char Char Char Char Char Char Char"/>
    <w:basedOn w:val="1"/>
    <w:next w:val="1"/>
    <w:qFormat/>
    <w:uiPriority w:val="0"/>
    <w:pPr>
      <w:widowControl w:val="0"/>
      <w:autoSpaceDE/>
      <w:autoSpaceDN/>
      <w:spacing w:before="0" w:after="0" w:line="360" w:lineRule="auto"/>
      <w:ind w:left="0" w:firstLine="200"/>
    </w:pPr>
    <w:rPr>
      <w:rFonts w:ascii="宋体" w:eastAsia="宋体"/>
      <w:sz w:val="24"/>
    </w:rPr>
  </w:style>
  <w:style w:type="character" w:customStyle="1" w:styleId="69">
    <w:name w:val="页脚 字符"/>
    <w:basedOn w:val="35"/>
    <w:qFormat/>
    <w:uiPriority w:val="99"/>
  </w:style>
  <w:style w:type="character" w:customStyle="1" w:styleId="70">
    <w:name w:val="日期 字符"/>
    <w:semiHidden/>
    <w:qFormat/>
    <w:uiPriority w:val="0"/>
    <w:rPr>
      <w:rFonts w:ascii="Times New Roman" w:hAnsi="Times New Roman" w:eastAsia="宋体"/>
      <w:sz w:val="24"/>
    </w:rPr>
  </w:style>
  <w:style w:type="character" w:customStyle="1" w:styleId="71">
    <w:name w:val="批注文字 字符1"/>
    <w:semiHidden/>
    <w:qFormat/>
    <w:uiPriority w:val="0"/>
    <w:rPr>
      <w:rFonts w:ascii="Times New Roman" w:hAnsi="Times New Roman" w:eastAsia="宋体"/>
      <w:sz w:val="24"/>
    </w:rPr>
  </w:style>
  <w:style w:type="character" w:customStyle="1" w:styleId="72">
    <w:name w:val="正文文本 字符1"/>
    <w:semiHidden/>
    <w:qFormat/>
    <w:uiPriority w:val="0"/>
    <w:rPr>
      <w:rFonts w:ascii="Times New Roman" w:hAnsi="Times New Roman" w:eastAsia="宋体"/>
      <w:sz w:val="24"/>
    </w:rPr>
  </w:style>
  <w:style w:type="paragraph" w:customStyle="1" w:styleId="73">
    <w:name w:val="纯文本1"/>
    <w:basedOn w:val="1"/>
    <w:qFormat/>
    <w:uiPriority w:val="99"/>
    <w:rPr>
      <w:rFonts w:ascii="宋体" w:hAnsi="Courier New"/>
      <w:sz w:val="28"/>
    </w:rPr>
  </w:style>
  <w:style w:type="paragraph" w:customStyle="1" w:styleId="74">
    <w:name w:val="报告表格"/>
    <w:basedOn w:val="1"/>
    <w:qFormat/>
    <w:uiPriority w:val="0"/>
    <w:pPr>
      <w:autoSpaceDE w:val="0"/>
      <w:autoSpaceDN w:val="0"/>
      <w:adjustRightInd w:val="0"/>
      <w:spacing w:before="40" w:after="40"/>
      <w:jc w:val="center"/>
    </w:pPr>
    <w:rPr>
      <w:kern w:val="0"/>
    </w:rPr>
  </w:style>
  <w:style w:type="paragraph" w:customStyle="1" w:styleId="75">
    <w:name w:val="正文文本缩进1"/>
    <w:basedOn w:val="1"/>
    <w:qFormat/>
    <w:uiPriority w:val="0"/>
    <w:pPr>
      <w:spacing w:line="560" w:lineRule="exact"/>
      <w:ind w:firstLine="560" w:firstLineChars="200"/>
    </w:pPr>
    <w:rPr>
      <w:sz w:val="28"/>
    </w:rPr>
  </w:style>
  <w:style w:type="paragraph" w:customStyle="1" w:styleId="76">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7">
    <w:name w:val="Char3"/>
    <w:basedOn w:val="1"/>
    <w:qFormat/>
    <w:uiPriority w:val="0"/>
    <w:pPr>
      <w:spacing w:line="360" w:lineRule="auto"/>
      <w:ind w:firstLine="200" w:firstLineChars="200"/>
    </w:pPr>
    <w:rPr>
      <w:szCs w:val="20"/>
    </w:rPr>
  </w:style>
  <w:style w:type="paragraph" w:customStyle="1" w:styleId="7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报告正文小四"/>
    <w:basedOn w:val="1"/>
    <w:qFormat/>
    <w:uiPriority w:val="0"/>
    <w:pPr>
      <w:adjustRightInd w:val="0"/>
      <w:snapToGrid w:val="0"/>
      <w:spacing w:line="360" w:lineRule="auto"/>
      <w:ind w:firstLine="420"/>
      <w:jc w:val="left"/>
    </w:pPr>
    <w:rPr>
      <w:kern w:val="0"/>
      <w:sz w:val="24"/>
    </w:rPr>
  </w:style>
  <w:style w:type="paragraph" w:customStyle="1" w:styleId="8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1">
    <w:name w:val="样式 小四 首行缩进:  0.85 厘米 行距: 1.5 倍行距1"/>
    <w:basedOn w:val="1"/>
    <w:qFormat/>
    <w:uiPriority w:val="0"/>
    <w:pPr>
      <w:spacing w:line="360" w:lineRule="auto"/>
      <w:ind w:firstLine="480"/>
    </w:pPr>
    <w:rPr>
      <w:rFonts w:ascii="宋体" w:hAnsi="宋体"/>
      <w:kern w:val="0"/>
      <w:sz w:val="24"/>
      <w:szCs w:val="20"/>
    </w:rPr>
  </w:style>
  <w:style w:type="paragraph" w:customStyle="1" w:styleId="82">
    <w:name w:val="No Spacing"/>
    <w:basedOn w:val="1"/>
    <w:qFormat/>
    <w:uiPriority w:val="0"/>
    <w:rPr>
      <w:szCs w:val="21"/>
    </w:rPr>
  </w:style>
  <w:style w:type="paragraph" w:customStyle="1" w:styleId="83">
    <w:name w:val="正文(首行缩进)"/>
    <w:basedOn w:val="1"/>
    <w:next w:val="3"/>
    <w:qFormat/>
    <w:uiPriority w:val="0"/>
    <w:pPr>
      <w:spacing w:line="360" w:lineRule="auto"/>
      <w:ind w:firstLine="488" w:firstLineChars="200"/>
    </w:pPr>
    <w:rPr>
      <w:bCs/>
      <w:snapToGrid w:val="0"/>
      <w:spacing w:val="2"/>
      <w:kern w:val="0"/>
      <w:sz w:val="24"/>
    </w:rPr>
  </w:style>
  <w:style w:type="paragraph" w:customStyle="1" w:styleId="84">
    <w:name w:val="正文格式"/>
    <w:basedOn w:val="1"/>
    <w:qFormat/>
    <w:uiPriority w:val="0"/>
    <w:pPr>
      <w:spacing w:before="25" w:beforeLines="25" w:after="25" w:afterLines="25" w:line="360" w:lineRule="auto"/>
      <w:ind w:firstLine="40"/>
      <w:jc w:val="left"/>
    </w:pPr>
    <w:rPr>
      <w:rFonts w:ascii="Times New Roman" w:hAnsi="Times New Roman" w:eastAsia="宋体"/>
      <w:kern w:val="0"/>
      <w:sz w:val="24"/>
    </w:rPr>
  </w:style>
  <w:style w:type="paragraph" w:customStyle="1" w:styleId="85">
    <w:name w:val="表格内文字"/>
    <w:basedOn w:val="1"/>
    <w:qFormat/>
    <w:uiPriority w:val="0"/>
    <w:pPr>
      <w:tabs>
        <w:tab w:val="left" w:pos="0"/>
      </w:tabs>
      <w:adjustRightInd w:val="0"/>
      <w:snapToGrid w:val="0"/>
      <w:jc w:val="center"/>
    </w:pPr>
    <w:rPr>
      <w:rFonts w:eastAsia="仿宋_GB2312"/>
      <w:sz w:val="21"/>
      <w:szCs w:val="28"/>
    </w:rPr>
  </w:style>
  <w:style w:type="paragraph" w:customStyle="1" w:styleId="86">
    <w:name w:val="正文01"/>
    <w:basedOn w:val="1"/>
    <w:qFormat/>
    <w:uiPriority w:val="0"/>
    <w:pPr>
      <w:spacing w:before="60" w:line="460" w:lineRule="exact"/>
      <w:ind w:firstLine="200" w:firstLineChars="200"/>
    </w:pPr>
    <w:rPr>
      <w:bCs/>
      <w:sz w:val="24"/>
      <w:szCs w:val="24"/>
    </w:rPr>
  </w:style>
  <w:style w:type="paragraph" w:customStyle="1" w:styleId="87">
    <w:name w:val="00.正文格式"/>
    <w:basedOn w:val="6"/>
    <w:qFormat/>
    <w:uiPriority w:val="0"/>
    <w:pPr>
      <w:snapToGrid/>
      <w:spacing w:line="360" w:lineRule="auto"/>
      <w:ind w:firstLine="480" w:firstLineChars="200"/>
      <w:jc w:val="both"/>
    </w:pPr>
    <w:rPr>
      <w:rFonts w:ascii="Times New Roman" w:hAnsi="Times New Roman" w:cs="Times New Roman"/>
      <w:snapToGrid w:val="0"/>
      <w:color w:val="000000"/>
    </w:rPr>
  </w:style>
  <w:style w:type="paragraph" w:customStyle="1" w:styleId="88">
    <w:name w:val="Heading 6"/>
    <w:basedOn w:val="1"/>
    <w:qFormat/>
    <w:uiPriority w:val="1"/>
    <w:pPr>
      <w:autoSpaceDE w:val="0"/>
      <w:autoSpaceDN w:val="0"/>
      <w:jc w:val="center"/>
      <w:outlineLvl w:val="6"/>
    </w:pPr>
    <w:rPr>
      <w:rFonts w:ascii="宋体" w:hAnsi="宋体" w:cs="宋体"/>
      <w:b/>
      <w:bCs/>
      <w:kern w:val="0"/>
      <w:sz w:val="24"/>
      <w:lang w:val="zh-CN" w:bidi="zh-CN"/>
    </w:rPr>
  </w:style>
  <w:style w:type="paragraph" w:customStyle="1" w:styleId="89">
    <w:name w:val="lifr正文"/>
    <w:basedOn w:val="1"/>
    <w:qFormat/>
    <w:uiPriority w:val="0"/>
    <w:pPr>
      <w:spacing w:line="360" w:lineRule="auto"/>
      <w:ind w:firstLine="200" w:firstLineChars="200"/>
    </w:pPr>
    <w:rPr>
      <w:sz w:val="24"/>
    </w:rPr>
  </w:style>
  <w:style w:type="paragraph" w:customStyle="1" w:styleId="90">
    <w:name w:val="样式 宋体 小四 段后: 5 磅 行距: 固定值 22 磅"/>
    <w:basedOn w:val="1"/>
    <w:qFormat/>
    <w:uiPriority w:val="0"/>
    <w:pPr>
      <w:spacing w:line="440" w:lineRule="exact"/>
    </w:pPr>
    <w:rPr>
      <w:rFonts w:ascii="宋体" w:hAnsi="宋体" w:cs="宋体"/>
      <w:sz w:val="24"/>
    </w:rPr>
  </w:style>
  <w:style w:type="paragraph" w:customStyle="1" w:styleId="91">
    <w:name w:val="正文文本1"/>
    <w:basedOn w:val="1"/>
    <w:qFormat/>
    <w:uiPriority w:val="0"/>
    <w:pPr>
      <w:spacing w:line="460" w:lineRule="exact"/>
    </w:pPr>
    <w:rPr>
      <w:rFonts w:ascii="宋体"/>
      <w:b/>
      <w:kern w:val="0"/>
      <w:sz w:val="28"/>
    </w:rPr>
  </w:style>
  <w:style w:type="paragraph" w:customStyle="1" w:styleId="92">
    <w:name w:val="表+五号"/>
    <w:basedOn w:val="1"/>
    <w:qFormat/>
    <w:uiPriority w:val="0"/>
    <w:rPr>
      <w:szCs w:val="28"/>
    </w:rPr>
  </w:style>
  <w:style w:type="paragraph" w:customStyle="1" w:styleId="93">
    <w:name w:val="表头、图号"/>
    <w:basedOn w:val="1"/>
    <w:qFormat/>
    <w:uiPriority w:val="0"/>
    <w:pPr>
      <w:jc w:val="center"/>
    </w:pPr>
    <w:rPr>
      <w:rFonts w:eastAsia="黑体"/>
      <w:b/>
      <w:szCs w:val="22"/>
    </w:rPr>
  </w:style>
  <w:style w:type="paragraph" w:customStyle="1" w:styleId="94">
    <w:name w:val="1正文"/>
    <w:basedOn w:val="1"/>
    <w:qFormat/>
    <w:uiPriority w:val="0"/>
    <w:pPr>
      <w:widowControl/>
      <w:spacing w:line="360" w:lineRule="auto"/>
      <w:ind w:firstLine="200" w:firstLineChars="200"/>
    </w:pPr>
    <w:rPr>
      <w:kern w:val="0"/>
      <w:sz w:val="24"/>
      <w:lang w:val="en-GB"/>
    </w:rPr>
  </w:style>
  <w:style w:type="paragraph" w:customStyle="1" w:styleId="95">
    <w:name w:val="正文文本缩进11"/>
    <w:basedOn w:val="1"/>
    <w:qFormat/>
    <w:uiPriority w:val="0"/>
    <w:pPr>
      <w:spacing w:line="360" w:lineRule="exact"/>
      <w:ind w:firstLine="480" w:firstLineChars="200"/>
    </w:pPr>
    <w:rPr>
      <w:sz w:val="24"/>
      <w:szCs w:val="24"/>
    </w:rPr>
  </w:style>
  <w:style w:type="paragraph" w:customStyle="1" w:styleId="96">
    <w:name w:val="表、图名"/>
    <w:basedOn w:val="1"/>
    <w:qFormat/>
    <w:uiPriority w:val="0"/>
    <w:pPr>
      <w:adjustRightInd w:val="0"/>
      <w:snapToGrid w:val="0"/>
      <w:jc w:val="center"/>
    </w:pPr>
    <w:rPr>
      <w:rFonts w:ascii="Times New Roman" w:hAnsi="Times New Roman" w:eastAsia="黑体"/>
      <w:b/>
      <w:snapToGrid w:val="0"/>
    </w:rPr>
  </w:style>
  <w:style w:type="paragraph" w:customStyle="1" w:styleId="97">
    <w:name w:val="Char"/>
    <w:qFormat/>
    <w:uiPriority w:val="0"/>
    <w:pPr>
      <w:widowControl w:val="0"/>
      <w:overflowPunct w:val="0"/>
      <w:snapToGrid w:val="0"/>
      <w:spacing w:line="360" w:lineRule="auto"/>
      <w:ind w:firstLine="480" w:firstLineChars="200"/>
    </w:pPr>
    <w:rPr>
      <w:rFonts w:ascii="仿宋_GB2312" w:hAnsi="宋体" w:eastAsia="仿宋_GB2312" w:cs="Times New Roman"/>
      <w:snapToGrid w:val="0"/>
      <w:sz w:val="24"/>
      <w:szCs w:val="24"/>
      <w:lang w:val="en-US" w:eastAsia="zh-CN" w:bidi="ar-SA"/>
    </w:rPr>
  </w:style>
  <w:style w:type="paragraph" w:customStyle="1" w:styleId="98">
    <w:name w:val="Char Char Char Char Char Char Char Char Char Char Char Char Char"/>
    <w:basedOn w:val="1"/>
    <w:qFormat/>
    <w:uiPriority w:val="0"/>
    <w:pPr>
      <w:spacing w:after="160" w:line="240" w:lineRule="exact"/>
      <w:jc w:val="left"/>
    </w:pPr>
    <w:rPr>
      <w:rFonts w:ascii="Arial" w:hAnsi="Arial" w:eastAsia="Times New Roman" w:cs="Verdana"/>
      <w:b/>
      <w:kern w:val="0"/>
      <w:sz w:val="24"/>
      <w:szCs w:val="24"/>
      <w:lang w:eastAsia="en-US"/>
    </w:rPr>
  </w:style>
  <w:style w:type="paragraph" w:customStyle="1" w:styleId="99">
    <w:name w:val="表中文字"/>
    <w:basedOn w:val="1"/>
    <w:qFormat/>
    <w:uiPriority w:val="0"/>
    <w:pPr>
      <w:snapToGrid w:val="0"/>
      <w:spacing w:line="240" w:lineRule="auto"/>
      <w:ind w:firstLine="0" w:firstLineChars="0"/>
      <w:jc w:val="center"/>
      <w:textAlignment w:val="center"/>
    </w:pPr>
    <w:rPr>
      <w:bCs/>
      <w:color w:val="000000"/>
      <w:kern w:val="0"/>
      <w:sz w:val="21"/>
      <w:szCs w:val="18"/>
    </w:rPr>
  </w:style>
  <w:style w:type="paragraph" w:customStyle="1" w:styleId="100">
    <w:name w:val="样式4"/>
    <w:basedOn w:val="1"/>
    <w:qFormat/>
    <w:uiPriority w:val="0"/>
    <w:pPr>
      <w:snapToGrid w:val="0"/>
      <w:spacing w:line="620" w:lineRule="exact"/>
      <w:ind w:firstLine="200" w:firstLineChars="200"/>
      <w:textAlignment w:val="auto"/>
    </w:pPr>
    <w:rPr>
      <w:rFonts w:ascii="宋体" w:hAnsi="宋体" w:eastAsia="宋体"/>
      <w:spacing w:val="-6"/>
      <w:kern w:val="2"/>
      <w:sz w:val="28"/>
      <w:szCs w:val="28"/>
      <w:lang w:val="en-US" w:eastAsia="zh-CN" w:bidi="ar-SA"/>
    </w:rPr>
  </w:style>
  <w:style w:type="paragraph" w:customStyle="1" w:styleId="10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02">
    <w:name w:val="List Paragraph"/>
    <w:basedOn w:val="1"/>
    <w:unhideWhenUsed/>
    <w:qFormat/>
    <w:uiPriority w:val="99"/>
    <w:pPr>
      <w:ind w:firstLine="420" w:firstLineChars="200"/>
    </w:pPr>
    <w:rPr>
      <w:szCs w:val="22"/>
    </w:rPr>
  </w:style>
  <w:style w:type="paragraph" w:customStyle="1" w:styleId="103">
    <w:name w:val="表头及表尾"/>
    <w:qFormat/>
    <w:uiPriority w:val="0"/>
    <w:pPr>
      <w:tabs>
        <w:tab w:val="center" w:pos="4200"/>
        <w:tab w:val="right" w:pos="8400"/>
      </w:tabs>
      <w:adjustRightInd w:val="0"/>
      <w:snapToGrid w:val="0"/>
      <w:spacing w:line="360" w:lineRule="auto"/>
      <w:jc w:val="center"/>
    </w:pPr>
    <w:rPr>
      <w:rFonts w:ascii="Times New Roman" w:hAnsi="Times New Roman" w:eastAsia="宋体" w:cs="Times New Roman"/>
      <w:b/>
      <w:sz w:val="21"/>
      <w:szCs w:val="21"/>
      <w:lang w:val="en-US" w:eastAsia="zh-CN" w:bidi="ar-SA"/>
    </w:rPr>
  </w:style>
  <w:style w:type="paragraph" w:customStyle="1" w:styleId="104">
    <w:name w:val="表题"/>
    <w:basedOn w:val="1"/>
    <w:next w:val="1"/>
    <w:qFormat/>
    <w:uiPriority w:val="0"/>
    <w:pPr>
      <w:spacing w:before="50" w:beforeLines="50" w:line="240" w:lineRule="auto"/>
      <w:ind w:firstLine="0" w:firstLineChars="0"/>
      <w:jc w:val="center"/>
    </w:pPr>
    <w:rPr>
      <w:b/>
      <w:sz w:val="21"/>
    </w:rPr>
  </w:style>
  <w:style w:type="character" w:customStyle="1" w:styleId="105">
    <w:name w:val="bold align2"/>
    <w:basedOn w:val="35"/>
    <w:qFormat/>
    <w:uiPriority w:val="0"/>
  </w:style>
  <w:style w:type="character" w:customStyle="1" w:styleId="106">
    <w:name w:val="apple-converted-space"/>
    <w:basedOn w:val="35"/>
    <w:qFormat/>
    <w:uiPriority w:val="0"/>
  </w:style>
  <w:style w:type="character" w:customStyle="1" w:styleId="107">
    <w:name w:val="bold align1"/>
    <w:basedOn w:val="35"/>
    <w:qFormat/>
    <w:uiPriority w:val="0"/>
  </w:style>
  <w:style w:type="character" w:customStyle="1" w:styleId="108">
    <w:name w:val="bold"/>
    <w:basedOn w:val="35"/>
    <w:qFormat/>
    <w:uiPriority w:val="0"/>
  </w:style>
  <w:style w:type="paragraph" w:customStyle="1" w:styleId="109">
    <w:name w:val="表头"/>
    <w:basedOn w:val="74"/>
    <w:next w:val="1"/>
    <w:qFormat/>
    <w:uiPriority w:val="0"/>
    <w:pPr>
      <w:adjustRightInd w:val="0"/>
      <w:spacing w:line="240" w:lineRule="auto"/>
      <w:ind w:firstLine="0" w:firstLineChars="0"/>
      <w:jc w:val="center"/>
      <w:textAlignment w:val="baseline"/>
    </w:pPr>
    <w:rPr>
      <w:rFonts w:ascii="黑体"/>
      <w:b/>
      <w:kern w:val="0"/>
      <w:sz w:val="21"/>
      <w:szCs w:val="20"/>
    </w:rPr>
  </w:style>
  <w:style w:type="paragraph" w:customStyle="1" w:styleId="110">
    <w:name w:val="正文文字缩进"/>
    <w:basedOn w:val="1"/>
    <w:qFormat/>
    <w:uiPriority w:val="0"/>
    <w:pPr>
      <w:spacing w:line="440" w:lineRule="exact"/>
      <w:ind w:firstLine="425" w:firstLineChars="177"/>
    </w:pPr>
    <w:rPr>
      <w:rFonts w:ascii="Calibri" w:hAnsi="Calibri"/>
      <w:bCs/>
      <w:sz w:val="24"/>
      <w:szCs w:val="22"/>
    </w:rPr>
  </w:style>
  <w:style w:type="paragraph" w:customStyle="1" w:styleId="111">
    <w:name w:val="一级标题"/>
    <w:basedOn w:val="1"/>
    <w:qFormat/>
    <w:uiPriority w:val="0"/>
    <w:pPr>
      <w:spacing w:line="360" w:lineRule="auto"/>
      <w:ind w:firstLine="0" w:firstLineChars="0"/>
    </w:pPr>
    <w:rPr>
      <w:rFonts w:eastAsia="黑体"/>
      <w:b/>
    </w:rPr>
  </w:style>
  <w:style w:type="paragraph" w:customStyle="1" w:styleId="112">
    <w:name w:val="正文新"/>
    <w:basedOn w:val="6"/>
    <w:qFormat/>
    <w:uiPriority w:val="0"/>
    <w:pPr>
      <w:spacing w:line="360" w:lineRule="auto"/>
      <w:ind w:firstLine="880"/>
    </w:pPr>
    <w:rPr>
      <w:rFonts w:ascii="Times New Roman" w:hAnsi="Times New Roman" w:eastAsia="宋体"/>
      <w:sz w:val="28"/>
      <w:szCs w:val="28"/>
      <w:lang w:val="zh-CN"/>
    </w:rPr>
  </w:style>
  <w:style w:type="paragraph" w:customStyle="1" w:styleId="113">
    <w:name w:val="。正文格式"/>
    <w:qFormat/>
    <w:uiPriority w:val="0"/>
    <w:pPr>
      <w:widowControl w:val="0"/>
      <w:spacing w:line="360" w:lineRule="auto"/>
      <w:ind w:firstLine="200" w:firstLineChars="200"/>
    </w:pPr>
    <w:rPr>
      <w:rFonts w:ascii="Times New Roman" w:hAnsi="Times New Roman" w:eastAsia="宋体" w:cs="Times New Roman"/>
      <w:sz w:val="24"/>
      <w:lang w:val="en-US" w:eastAsia="zh-CN" w:bidi="ar-SA"/>
    </w:rPr>
  </w:style>
  <w:style w:type="paragraph" w:customStyle="1" w:styleId="114">
    <w:name w:val="。。。。。。。。。2级标题"/>
    <w:qFormat/>
    <w:uiPriority w:val="0"/>
    <w:pPr>
      <w:keepNext/>
      <w:keepLines/>
      <w:widowControl w:val="0"/>
      <w:tabs>
        <w:tab w:val="left" w:pos="425"/>
        <w:tab w:val="left" w:pos="567"/>
      </w:tabs>
      <w:spacing w:line="360" w:lineRule="auto"/>
      <w:jc w:val="both"/>
      <w:outlineLvl w:val="1"/>
    </w:pPr>
    <w:rPr>
      <w:rFonts w:ascii="Times New Roman" w:hAnsi="Times New Roman" w:eastAsia="宋体" w:cs="Times New Roman"/>
      <w:b/>
      <w:bCs/>
      <w:kern w:val="2"/>
      <w:sz w:val="30"/>
      <w:szCs w:val="30"/>
      <w:lang w:val="en-US" w:eastAsia="zh-CN" w:bidi="ar-SA"/>
    </w:rPr>
  </w:style>
  <w:style w:type="paragraph" w:customStyle="1" w:styleId="115">
    <w:name w:val="正文首行缩进  2字符"/>
    <w:basedOn w:val="1"/>
    <w:qFormat/>
    <w:uiPriority w:val="0"/>
    <w:pPr>
      <w:widowControl/>
      <w:ind w:firstLine="480"/>
      <w:jc w:val="left"/>
    </w:pPr>
    <w:rPr>
      <w:szCs w:val="20"/>
    </w:rPr>
  </w:style>
  <w:style w:type="paragraph" w:customStyle="1" w:styleId="116">
    <w:name w:val="Table Text"/>
    <w:basedOn w:val="1"/>
    <w:semiHidden/>
    <w:qFormat/>
    <w:uiPriority w:val="0"/>
    <w:rPr>
      <w:rFonts w:ascii="宋体" w:hAnsi="宋体" w:eastAsia="宋体" w:cs="宋体"/>
      <w:sz w:val="24"/>
      <w:szCs w:val="24"/>
      <w:lang w:val="en-US" w:eastAsia="en-US" w:bidi="ar-SA"/>
    </w:rPr>
  </w:style>
  <w:style w:type="table" w:customStyle="1" w:styleId="117">
    <w:name w:val="Table Normal"/>
    <w:semiHidden/>
    <w:unhideWhenUsed/>
    <w:qFormat/>
    <w:uiPriority w:val="0"/>
    <w:tblPr>
      <w:tblCellMar>
        <w:top w:w="0" w:type="dxa"/>
        <w:left w:w="0" w:type="dxa"/>
        <w:bottom w:w="0" w:type="dxa"/>
        <w:right w:w="0" w:type="dxa"/>
      </w:tblCellMar>
    </w:tblPr>
  </w:style>
  <w:style w:type="character" w:customStyle="1" w:styleId="118">
    <w:name w:val="_Style 1"/>
    <w:qFormat/>
    <w:uiPriority w:val="0"/>
    <w:rPr>
      <w:b/>
      <w:smallCaps/>
      <w:spacing w:val="5"/>
    </w:rPr>
  </w:style>
  <w:style w:type="paragraph" w:customStyle="1" w:styleId="119">
    <w:name w:val="表格正文"/>
    <w:qFormat/>
    <w:uiPriority w:val="0"/>
    <w:pPr>
      <w:autoSpaceDE w:val="0"/>
      <w:autoSpaceDN w:val="0"/>
      <w:adjustRightInd w:val="0"/>
      <w:jc w:val="center"/>
      <w:textAlignment w:val="baseline"/>
    </w:pPr>
    <w:rPr>
      <w:rFonts w:ascii="Times New Roman" w:hAnsi="Times New Roman" w:eastAsia="宋体" w:cs="Times New Roman"/>
      <w:kern w:val="0"/>
      <w:sz w:val="21"/>
      <w:szCs w:val="21"/>
    </w:rPr>
  </w:style>
  <w:style w:type="paragraph" w:customStyle="1" w:styleId="120">
    <w:name w:val="正文1"/>
    <w:basedOn w:val="6"/>
    <w:next w:val="1"/>
    <w:qFormat/>
    <w:uiPriority w:val="0"/>
    <w:rPr>
      <w:szCs w:val="20"/>
    </w:rPr>
  </w:style>
  <w:style w:type="paragraph" w:customStyle="1" w:styleId="121">
    <w:name w:val="表格后空行"/>
    <w:basedOn w:val="1"/>
    <w:qFormat/>
    <w:uiPriority w:val="0"/>
    <w:pPr>
      <w:widowControl/>
      <w:spacing w:line="240" w:lineRule="exact"/>
      <w:textAlignment w:val="baseline"/>
    </w:pPr>
    <w:rPr>
      <w:rFonts w:ascii="宋体" w:cs="宋体"/>
      <w:color w:val="000000"/>
      <w:kern w:val="0"/>
      <w:sz w:val="18"/>
      <w:szCs w:val="20"/>
      <w:u w:val="none" w:color="000000"/>
    </w:rPr>
  </w:style>
  <w:style w:type="paragraph" w:customStyle="1" w:styleId="122">
    <w:name w:val="文本"/>
    <w:basedOn w:val="11"/>
    <w:qFormat/>
    <w:uiPriority w:val="0"/>
    <w:pPr>
      <w:adjustRightInd w:val="0"/>
      <w:snapToGrid w:val="0"/>
      <w:spacing w:line="520" w:lineRule="exact"/>
      <w:ind w:firstLine="200" w:firstLineChars="200"/>
    </w:pPr>
    <w:rPr>
      <w:rFonts w:ascii="宋体" w:eastAsia="仿宋_GB2312"/>
      <w:sz w:val="24"/>
      <w:szCs w:val="24"/>
    </w:rPr>
  </w:style>
  <w:style w:type="paragraph" w:customStyle="1" w:styleId="123">
    <w:name w:val="报告书三级标题"/>
    <w:basedOn w:val="1"/>
    <w:qFormat/>
    <w:uiPriority w:val="0"/>
    <w:pPr>
      <w:keepNext/>
      <w:keepLines/>
      <w:spacing w:before="120" w:after="120" w:line="360" w:lineRule="auto"/>
      <w:outlineLvl w:val="2"/>
    </w:pPr>
    <w:rPr>
      <w:b/>
      <w:sz w:val="28"/>
      <w:szCs w:val="22"/>
    </w:rPr>
  </w:style>
  <w:style w:type="paragraph" w:customStyle="1" w:styleId="124">
    <w:name w:val="默认段落"/>
    <w:basedOn w:val="1"/>
    <w:qFormat/>
    <w:uiPriority w:val="99"/>
    <w:pPr>
      <w:widowControl/>
      <w:spacing w:line="360" w:lineRule="auto"/>
      <w:ind w:firstLine="200" w:firstLineChars="200"/>
      <w:jc w:val="left"/>
    </w:pPr>
    <w:rPr>
      <w:rFonts w:ascii="仿宋_GB2312" w:eastAsia="仿宋_GB2312" w:cs="宋体"/>
      <w:kern w:val="0"/>
      <w:sz w:val="28"/>
      <w:szCs w:val="24"/>
    </w:rPr>
  </w:style>
  <w:style w:type="paragraph" w:customStyle="1" w:styleId="125">
    <w:name w:val="1"/>
    <w:basedOn w:val="1"/>
    <w:next w:val="28"/>
    <w:qFormat/>
    <w:uiPriority w:val="0"/>
    <w:pPr>
      <w:widowControl/>
      <w:adjustRightInd w:val="0"/>
      <w:spacing w:after="160" w:line="240" w:lineRule="exact"/>
      <w:jc w:val="left"/>
      <w:textAlignment w:val="baseline"/>
    </w:pPr>
    <w:rPr>
      <w:rFonts w:ascii="Arial" w:hAnsi="Arial" w:eastAsia="Times New Roman" w:cs="Verdana"/>
      <w:b/>
      <w:kern w:val="0"/>
      <w:szCs w:val="24"/>
      <w:lang w:eastAsia="en-US"/>
    </w:rPr>
  </w:style>
  <w:style w:type="paragraph" w:customStyle="1" w:styleId="126">
    <w:name w:val="表格内容"/>
    <w:basedOn w:val="1"/>
    <w:qFormat/>
    <w:uiPriority w:val="0"/>
    <w:pPr>
      <w:overflowPunct w:val="0"/>
      <w:topLinePunct/>
      <w:autoSpaceDE w:val="0"/>
      <w:autoSpaceDN w:val="0"/>
      <w:spacing w:line="240" w:lineRule="auto"/>
      <w:jc w:val="center"/>
    </w:pPr>
    <w:rPr>
      <w:rFonts w:cs="宋体"/>
      <w:kern w:val="0"/>
      <w:sz w:val="21"/>
      <w:szCs w:val="22"/>
      <w:lang w:val="zh-CN" w:bidi="zh-CN"/>
    </w:rPr>
  </w:style>
  <w:style w:type="paragraph" w:customStyle="1" w:styleId="127">
    <w:name w:val="_Style 3"/>
    <w:basedOn w:val="11"/>
    <w:next w:val="32"/>
    <w:qFormat/>
    <w:uiPriority w:val="0"/>
    <w:pPr>
      <w:ind w:firstLine="420" w:firstLineChars="200"/>
    </w:pPr>
    <w:rPr>
      <w:rFonts w:ascii="Times New Roman" w:hAnsi="Times New Roman" w:eastAsia="宋体" w:cs="Times New Roman"/>
      <w:kern w:val="0"/>
      <w:sz w:val="24"/>
      <w:szCs w:val="20"/>
    </w:rPr>
  </w:style>
  <w:style w:type="paragraph" w:customStyle="1" w:styleId="128">
    <w:name w:val="正文 + 宋体"/>
    <w:basedOn w:val="1"/>
    <w:qFormat/>
    <w:uiPriority w:val="0"/>
    <w:pPr>
      <w:widowControl/>
      <w:adjustRightInd w:val="0"/>
      <w:snapToGrid w:val="0"/>
      <w:spacing w:line="400" w:lineRule="exact"/>
      <w:ind w:firstLine="480"/>
      <w:jc w:val="left"/>
      <w:textAlignment w:val="baseline"/>
    </w:pPr>
    <w:rPr>
      <w:rFonts w:ascii="Calibri" w:hAnsi="Calibri"/>
      <w:color w:val="000000"/>
      <w:kern w:val="0"/>
      <w:sz w:val="24"/>
      <w:lang w:eastAsia="en-US" w:bidi="en-US"/>
    </w:rPr>
  </w:style>
  <w:style w:type="character" w:customStyle="1" w:styleId="129">
    <w:name w:val="font11"/>
    <w:basedOn w:val="35"/>
    <w:qFormat/>
    <w:uiPriority w:val="0"/>
    <w:rPr>
      <w:rFonts w:hint="eastAsia" w:ascii="楷体_GB2312" w:eastAsia="楷体_GB2312" w:cs="楷体_GB2312"/>
      <w:color w:val="000000"/>
      <w:sz w:val="16"/>
      <w:szCs w:val="16"/>
      <w:u w:val="none"/>
    </w:rPr>
  </w:style>
  <w:style w:type="character" w:customStyle="1" w:styleId="130">
    <w:name w:val="font31"/>
    <w:basedOn w:val="35"/>
    <w:qFormat/>
    <w:uiPriority w:val="0"/>
    <w:rPr>
      <w:rFonts w:hint="default" w:ascii="Times New Roman" w:hAnsi="Times New Roman" w:cs="Times New Roman"/>
      <w:color w:val="000000"/>
      <w:sz w:val="16"/>
      <w:szCs w:val="16"/>
      <w:u w:val="none"/>
    </w:rPr>
  </w:style>
  <w:style w:type="character" w:customStyle="1" w:styleId="131">
    <w:name w:val="font21"/>
    <w:basedOn w:val="35"/>
    <w:qFormat/>
    <w:uiPriority w:val="0"/>
    <w:rPr>
      <w:rFonts w:hint="eastAsia" w:ascii="宋体" w:hAnsi="宋体" w:eastAsia="宋体" w:cs="宋体"/>
      <w:color w:val="000000"/>
      <w:sz w:val="16"/>
      <w:szCs w:val="16"/>
      <w:u w:val="none"/>
    </w:rPr>
  </w:style>
  <w:style w:type="character" w:customStyle="1" w:styleId="132">
    <w:name w:val="font41"/>
    <w:basedOn w:val="35"/>
    <w:qFormat/>
    <w:uiPriority w:val="0"/>
    <w:rPr>
      <w:rFonts w:hint="eastAsia" w:ascii="宋体" w:hAnsi="宋体" w:eastAsia="宋体" w:cs="宋体"/>
      <w:color w:val="000000"/>
      <w:sz w:val="16"/>
      <w:szCs w:val="16"/>
      <w:u w:val="none"/>
    </w:rPr>
  </w:style>
  <w:style w:type="character" w:customStyle="1" w:styleId="133">
    <w:name w:val="font51"/>
    <w:basedOn w:val="35"/>
    <w:qFormat/>
    <w:uiPriority w:val="0"/>
    <w:rPr>
      <w:rFonts w:hint="eastAsia" w:ascii="等线" w:hAnsi="等线" w:eastAsia="等线" w:cs="等线"/>
      <w:color w:val="000000"/>
      <w:sz w:val="16"/>
      <w:szCs w:val="16"/>
      <w:u w:val="none"/>
    </w:rPr>
  </w:style>
  <w:style w:type="paragraph" w:customStyle="1" w:styleId="134">
    <w:name w:val="+正文"/>
    <w:basedOn w:val="1"/>
    <w:qFormat/>
    <w:uiPriority w:val="0"/>
    <w:pPr>
      <w:spacing w:line="360" w:lineRule="auto"/>
      <w:ind w:firstLine="200" w:firstLineChars="200"/>
    </w:pPr>
    <w:rPr>
      <w:sz w:val="28"/>
      <w:szCs w:val="28"/>
    </w:rPr>
  </w:style>
  <w:style w:type="character" w:customStyle="1" w:styleId="135">
    <w:name w:val="_Style 5"/>
    <w:qFormat/>
    <w:uiPriority w:val="0"/>
    <w:rPr>
      <w:b/>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jpeg"/><Relationship Id="rId31" Type="http://schemas.openxmlformats.org/officeDocument/2006/relationships/image" Target="media/image20.jpeg"/><Relationship Id="rId30" Type="http://schemas.openxmlformats.org/officeDocument/2006/relationships/image" Target="media/image19.jpeg"/><Relationship Id="rId3" Type="http://schemas.openxmlformats.org/officeDocument/2006/relationships/footer" Target="footer1.xml"/><Relationship Id="rId29" Type="http://schemas.openxmlformats.org/officeDocument/2006/relationships/image" Target="media/image18.jpeg"/><Relationship Id="rId28" Type="http://schemas.openxmlformats.org/officeDocument/2006/relationships/image" Target="media/image17.jpeg"/><Relationship Id="rId27" Type="http://schemas.openxmlformats.org/officeDocument/2006/relationships/image" Target="media/image16.jpeg"/><Relationship Id="rId26" Type="http://schemas.openxmlformats.org/officeDocument/2006/relationships/image" Target="media/image15.wmf"/><Relationship Id="rId25" Type="http://schemas.openxmlformats.org/officeDocument/2006/relationships/image" Target="media/image14.wmf"/><Relationship Id="rId24" Type="http://schemas.openxmlformats.org/officeDocument/2006/relationships/oleObject" Target="embeddings/oleObject5.bin"/><Relationship Id="rId23" Type="http://schemas.openxmlformats.org/officeDocument/2006/relationships/image" Target="media/image13.wmf"/><Relationship Id="rId22" Type="http://schemas.openxmlformats.org/officeDocument/2006/relationships/oleObject" Target="embeddings/oleObject4.bin"/><Relationship Id="rId21" Type="http://schemas.openxmlformats.org/officeDocument/2006/relationships/image" Target="media/image12.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Q4MTEzNDkxNTgzIiwKCSJHcm91cElkIiA6ICIyNzY0ODIxMTIiLAoJIkltYWdlIiA6ICJpVkJPUncwS0dnb0FBQUFOU1VoRVVnQUFDRUFBQUFaUENBWUFBQUNDTEJkMEFBQUFBWE5TUjBJQXJzNGM2UUFBSUFCSlJFRlVlSnpzM1h1WVZtVzlQLzczbWhrT0lpcUtCMVJVUkR4RXlsRlF2cVo1ck1RdGU2ZVc3a296TXkwUE8vdHFHaDd5V1BJenJjeXliYVk3YzZ0cG5uY2IzZWpPQTVxV0lTaWVoU1NGUkNSREpCaGdadGJ2RCtINXpzZ01EREE0REwxZTErVjFyVm5ydnUvMVdZL1B6UE5jclBlNjd3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RDhmNHp1SmlOdVFmaUNBQUFBQUVsRlRrU3VRbUNDIiwKCSJUaGVtZSIgOiAiIiwKCSJUeXBlIiA6ICJmbG93IiwKCSJVc2VySWQiIDogIjMxNzM5NjczMyIsCgkiVmVyc2lvbiIgOiAiODEiCn0K"/>
    </extobj>
    <extobj name="ECB019B1-382A-4266-B25C-5B523AA43C14-2">
      <extobjdata type="ECB019B1-382A-4266-B25C-5B523AA43C14" data="ewoJIkZpbGVJZCIgOiAiNDQ4MTE5NzU3OTY0IiwKCSJHcm91cElkIiA6ICIyNzY0ODIxMTIiLAoJIkltYWdlIiA6ICJpVkJPUncwS0dnb0FBQUFOU1VoRVVnQUFBd2NBQUFVcENBWUFBQUF5TG5vekFBQUFBWE5TUjBJQXJzNGM2UUFBSUFCSlJFRlVlSnpzM1hsNFRHZjdCL0R2bVprc1FqWnJrSkkwbHFxcWpPMHR0Vk82b1BYYXF5aXhDeEt4Tk5TK3hGSWhFUlRsSjJtcXBHaXJSV21WMnFLVXhCSmJRaFloUVVUSUtqTTU1L2RITS9OT2tra3kyYmZ2NTdwY21Ubm5lWjV6bjVIbDNPYzhDME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BLzZ6L0EzVmVud1EzTWJEc0FBQUFBRWxGVGtTdVFtQ0MiLAoJIlRoZW1lIiA6ICIiLAoJIlR5cGUiIDogImZsb3ciLAoJIlVzZXJJZCIgOiAiMzE3Mzk2NzMzIiwKCSJWZXJzaW9uIiA6ICIyM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66</Pages>
  <Words>11158</Words>
  <Characters>11995</Characters>
  <Lines>13</Lines>
  <Paragraphs>3</Paragraphs>
  <TotalTime>18</TotalTime>
  <ScaleCrop>false</ScaleCrop>
  <LinksUpToDate>false</LinksUpToDate>
  <CharactersWithSpaces>12089</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2025-09-25T01:55:00Z</cp:lastPrinted>
  <dcterms:modified xsi:type="dcterms:W3CDTF">2025-10-13T08:04:45Z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8107B8A5CA7C4440B3472E07A1CFB923</vt:lpwstr>
  </property>
  <property fmtid="{D5CDD505-2E9C-101B-9397-08002B2CF9AE}" pid="4" name="KSOTemplateDocerSaveRecord">
    <vt:lpwstr>eyJoZGlkIjoiOGYyNjNhNmJiNzNmOGMxODNhOGJhZDk1MDYxMDZkMGQiLCJ1c2VySWQiOiIzMTczOTY3MzMifQ==</vt:lpwstr>
  </property>
</Properties>
</file>