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auto"/>
          <w:sz w:val="36"/>
          <w:szCs w:val="36"/>
          <w:lang w:val="en-US" w:eastAsia="zh-CN"/>
        </w:rPr>
      </w:pPr>
    </w:p>
    <w:p>
      <w:pPr>
        <w:rPr>
          <w:rFonts w:ascii="仿宋_GB2312" w:hAnsi="仿宋_GB2312" w:eastAsia="仿宋_GB2312" w:cs="仿宋_GB2312"/>
          <w:color w:val="auto"/>
          <w:sz w:val="36"/>
          <w:szCs w:val="36"/>
        </w:rPr>
      </w:pPr>
    </w:p>
    <w:p>
      <w:pPr>
        <w:ind w:firstLine="480"/>
        <w:rPr>
          <w:color w:val="auto"/>
        </w:rPr>
      </w:pPr>
    </w:p>
    <w:p>
      <w:pPr>
        <w:jc w:val="center"/>
        <w:outlineLvl w:val="0"/>
        <w:rPr>
          <w:bCs/>
          <w:color w:val="auto"/>
          <w:sz w:val="72"/>
          <w:szCs w:val="72"/>
        </w:rPr>
      </w:pPr>
      <w:r>
        <w:rPr>
          <w:bCs/>
          <w:color w:val="auto"/>
          <w:sz w:val="72"/>
          <w:szCs w:val="72"/>
        </w:rPr>
        <w:t>建设项目环境影响报告表</w:t>
      </w:r>
    </w:p>
    <w:p>
      <w:pPr>
        <w:spacing w:before="192" w:beforeLines="80"/>
        <w:jc w:val="center"/>
        <w:rPr>
          <w:bCs/>
          <w:color w:val="auto"/>
          <w:sz w:val="48"/>
          <w:szCs w:val="48"/>
        </w:rPr>
      </w:pPr>
      <w:r>
        <w:rPr>
          <w:bCs/>
          <w:color w:val="auto"/>
          <w:sz w:val="48"/>
          <w:szCs w:val="48"/>
        </w:rPr>
        <w:t>（污染影响类）</w:t>
      </w:r>
    </w:p>
    <w:p>
      <w:pPr>
        <w:spacing w:line="288" w:lineRule="auto"/>
        <w:jc w:val="center"/>
        <w:outlineLvl w:val="0"/>
        <w:rPr>
          <w:color w:val="auto"/>
          <w:kern w:val="44"/>
          <w:sz w:val="44"/>
          <w:szCs w:val="44"/>
        </w:rPr>
      </w:pPr>
    </w:p>
    <w:p>
      <w:pPr>
        <w:ind w:firstLine="1040"/>
        <w:rPr>
          <w:color w:val="auto"/>
          <w:sz w:val="44"/>
          <w:szCs w:val="44"/>
        </w:rPr>
      </w:pPr>
    </w:p>
    <w:p>
      <w:pPr>
        <w:ind w:firstLine="1040"/>
        <w:rPr>
          <w:color w:val="auto"/>
          <w:sz w:val="44"/>
          <w:szCs w:val="44"/>
        </w:rPr>
      </w:pPr>
    </w:p>
    <w:p>
      <w:pPr>
        <w:ind w:left="1980" w:leftChars="150" w:hanging="1620" w:hangingChars="450"/>
        <w:jc w:val="both"/>
        <w:rPr>
          <w:rFonts w:hint="eastAsia" w:eastAsia="宋体"/>
          <w:color w:val="auto"/>
          <w:sz w:val="36"/>
          <w:szCs w:val="36"/>
          <w:u w:val="single"/>
          <w:lang w:eastAsia="zh-CN"/>
        </w:rPr>
      </w:pPr>
      <w:r>
        <w:rPr>
          <w:color w:val="auto"/>
          <w:sz w:val="36"/>
          <w:szCs w:val="36"/>
        </w:rPr>
        <w:t>项目名称：</w:t>
      </w:r>
      <w:r>
        <w:rPr>
          <w:rFonts w:hint="eastAsia"/>
          <w:color w:val="auto"/>
          <w:sz w:val="36"/>
          <w:szCs w:val="36"/>
          <w:u w:val="single"/>
        </w:rPr>
        <w:t>新疆诚诺食品有限公司辣椒产业建设项目</w:t>
      </w:r>
    </w:p>
    <w:p>
      <w:pPr>
        <w:ind w:left="2160" w:leftChars="150" w:hanging="1800" w:hangingChars="500"/>
        <w:jc w:val="both"/>
        <w:rPr>
          <w:rFonts w:hint="default" w:eastAsia="宋体"/>
          <w:color w:val="auto"/>
          <w:sz w:val="36"/>
          <w:szCs w:val="36"/>
          <w:u w:val="single"/>
          <w:lang w:val="en-US" w:eastAsia="zh-CN"/>
        </w:rPr>
      </w:pPr>
      <w:r>
        <w:rPr>
          <w:color w:val="auto"/>
          <w:sz w:val="36"/>
          <w:szCs w:val="36"/>
        </w:rPr>
        <w:t>建设单位（盖章）：</w:t>
      </w:r>
      <w:r>
        <w:rPr>
          <w:rFonts w:hint="eastAsia"/>
          <w:color w:val="auto"/>
          <w:sz w:val="36"/>
          <w:szCs w:val="36"/>
          <w:u w:val="single"/>
        </w:rPr>
        <w:t>新疆诚诺食品有限公司</w:t>
      </w:r>
      <w:r>
        <w:rPr>
          <w:rFonts w:hint="eastAsia"/>
          <w:color w:val="auto"/>
          <w:sz w:val="36"/>
          <w:szCs w:val="36"/>
          <w:u w:val="single"/>
          <w:lang w:val="en-US" w:eastAsia="zh-CN"/>
        </w:rPr>
        <w:t xml:space="preserve">    </w:t>
      </w:r>
    </w:p>
    <w:p>
      <w:pPr>
        <w:ind w:firstLine="360" w:firstLineChars="100"/>
        <w:jc w:val="both"/>
        <w:rPr>
          <w:color w:val="auto"/>
          <w:sz w:val="36"/>
          <w:szCs w:val="36"/>
          <w:u w:val="single"/>
        </w:rPr>
      </w:pPr>
      <w:r>
        <w:rPr>
          <w:color w:val="auto"/>
          <w:sz w:val="36"/>
          <w:szCs w:val="36"/>
        </w:rPr>
        <w:t>编制日期：</w:t>
      </w:r>
      <w:r>
        <w:rPr>
          <w:color w:val="auto"/>
          <w:sz w:val="36"/>
          <w:szCs w:val="36"/>
          <w:u w:val="single"/>
        </w:rPr>
        <w:t xml:space="preserve">     </w:t>
      </w:r>
      <w:r>
        <w:rPr>
          <w:rFonts w:hint="eastAsia" w:ascii="方正小标宋_GBK" w:eastAsia="方正小标宋_GBK"/>
          <w:color w:val="auto"/>
          <w:sz w:val="36"/>
          <w:szCs w:val="36"/>
          <w:u w:val="single"/>
        </w:rPr>
        <w:t xml:space="preserve">    </w:t>
      </w:r>
      <w:r>
        <w:rPr>
          <w:color w:val="auto"/>
          <w:sz w:val="36"/>
          <w:szCs w:val="36"/>
          <w:u w:val="single"/>
        </w:rPr>
        <w:t xml:space="preserve"> 202</w:t>
      </w:r>
      <w:r>
        <w:rPr>
          <w:rFonts w:hint="eastAsia"/>
          <w:color w:val="auto"/>
          <w:sz w:val="36"/>
          <w:szCs w:val="36"/>
          <w:u w:val="single"/>
          <w:lang w:val="en-US" w:eastAsia="zh-CN"/>
        </w:rPr>
        <w:t>5</w:t>
      </w:r>
      <w:r>
        <w:rPr>
          <w:color w:val="auto"/>
          <w:sz w:val="36"/>
          <w:szCs w:val="36"/>
          <w:u w:val="single"/>
        </w:rPr>
        <w:t>年</w:t>
      </w:r>
      <w:r>
        <w:rPr>
          <w:rFonts w:hint="eastAsia"/>
          <w:color w:val="auto"/>
          <w:sz w:val="36"/>
          <w:szCs w:val="36"/>
          <w:u w:val="single"/>
          <w:lang w:val="en-US" w:eastAsia="zh-CN"/>
        </w:rPr>
        <w:t>12</w:t>
      </w:r>
      <w:r>
        <w:rPr>
          <w:color w:val="auto"/>
          <w:sz w:val="36"/>
          <w:szCs w:val="36"/>
          <w:u w:val="single"/>
        </w:rPr>
        <w:t>月</w:t>
      </w:r>
      <w:r>
        <w:rPr>
          <w:rFonts w:hint="eastAsia"/>
          <w:color w:val="auto"/>
          <w:sz w:val="36"/>
          <w:szCs w:val="36"/>
          <w:u w:val="single"/>
        </w:rPr>
        <w:t xml:space="preserve"> </w:t>
      </w:r>
      <w:r>
        <w:rPr>
          <w:color w:val="auto"/>
          <w:sz w:val="36"/>
          <w:szCs w:val="36"/>
          <w:u w:val="single"/>
        </w:rPr>
        <w:t xml:space="preserve"> </w:t>
      </w:r>
      <w:r>
        <w:rPr>
          <w:rFonts w:hint="eastAsia"/>
          <w:color w:val="auto"/>
          <w:sz w:val="36"/>
          <w:szCs w:val="36"/>
          <w:u w:val="single"/>
          <w:lang w:val="en-US" w:eastAsia="zh-CN"/>
        </w:rPr>
        <w:t xml:space="preserve">         </w:t>
      </w:r>
      <w:r>
        <w:rPr>
          <w:color w:val="auto"/>
          <w:sz w:val="36"/>
          <w:szCs w:val="36"/>
          <w:u w:val="single"/>
        </w:rPr>
        <w:t xml:space="preserve">    </w:t>
      </w:r>
      <w:r>
        <w:rPr>
          <w:rFonts w:hint="eastAsia"/>
          <w:color w:val="auto"/>
          <w:sz w:val="36"/>
          <w:szCs w:val="36"/>
          <w:u w:val="single"/>
        </w:rPr>
        <w:t xml:space="preserve"> </w:t>
      </w:r>
    </w:p>
    <w:p>
      <w:pPr>
        <w:jc w:val="both"/>
        <w:rPr>
          <w:color w:val="auto"/>
          <w:sz w:val="36"/>
          <w:szCs w:val="36"/>
          <w:u w:val="single"/>
        </w:rPr>
      </w:pPr>
      <w:bookmarkStart w:id="0" w:name="_Hlk57884087"/>
    </w:p>
    <w:p>
      <w:pPr>
        <w:spacing w:line="288" w:lineRule="auto"/>
        <w:ind w:firstLine="1040"/>
        <w:rPr>
          <w:color w:val="auto"/>
          <w:sz w:val="36"/>
          <w:szCs w:val="36"/>
        </w:rPr>
      </w:pPr>
    </w:p>
    <w:p>
      <w:pPr>
        <w:spacing w:line="288" w:lineRule="auto"/>
        <w:rPr>
          <w:color w:val="auto"/>
          <w:sz w:val="36"/>
          <w:szCs w:val="36"/>
        </w:rPr>
      </w:pPr>
    </w:p>
    <w:p>
      <w:pPr>
        <w:spacing w:line="288" w:lineRule="auto"/>
        <w:rPr>
          <w:color w:val="auto"/>
          <w:sz w:val="36"/>
          <w:szCs w:val="36"/>
        </w:rPr>
      </w:pPr>
    </w:p>
    <w:p>
      <w:pPr>
        <w:spacing w:line="288" w:lineRule="auto"/>
        <w:rPr>
          <w:color w:val="auto"/>
          <w:sz w:val="36"/>
          <w:szCs w:val="36"/>
        </w:rPr>
      </w:pPr>
    </w:p>
    <w:bookmarkEnd w:id="0"/>
    <w:p>
      <w:pPr>
        <w:spacing w:line="288" w:lineRule="auto"/>
        <w:jc w:val="center"/>
        <w:rPr>
          <w:color w:val="auto"/>
          <w:sz w:val="36"/>
          <w:szCs w:val="36"/>
        </w:rPr>
      </w:pPr>
      <w:r>
        <w:rPr>
          <w:color w:val="auto"/>
          <w:sz w:val="36"/>
          <w:szCs w:val="36"/>
        </w:rPr>
        <w:t>中华人民共和国生态环境部制</w:t>
      </w:r>
    </w:p>
    <w:p>
      <w:pPr>
        <w:spacing w:line="288" w:lineRule="auto"/>
        <w:ind w:firstLine="1040"/>
        <w:rPr>
          <w:rFonts w:ascii="仿宋_GB2312" w:eastAsia="仿宋_GB2312"/>
          <w:color w:val="auto"/>
          <w:sz w:val="36"/>
          <w:szCs w:val="36"/>
        </w:rPr>
        <w:sectPr>
          <w:headerReference r:id="rId5" w:type="default"/>
          <w:footerReference r:id="rId6" w:type="default"/>
          <w:footerReference r:id="rId7"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pPr>
        <w:jc w:val="center"/>
        <w:outlineLvl w:val="0"/>
        <w:rPr>
          <w:rFonts w:ascii="黑体" w:hAnsi="黑体" w:eastAsia="黑体"/>
          <w:color w:val="auto"/>
          <w:sz w:val="30"/>
          <w:szCs w:val="30"/>
        </w:rPr>
      </w:pPr>
      <w:r>
        <w:rPr>
          <w:rFonts w:hint="eastAsia" w:ascii="黑体" w:hAnsi="黑体" w:eastAsia="黑体"/>
          <w:color w:val="auto"/>
          <w:sz w:val="30"/>
          <w:szCs w:val="30"/>
        </w:rPr>
        <w:t>一、建设项目基本情况</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78"/>
        <w:gridCol w:w="896"/>
        <w:gridCol w:w="1108"/>
        <w:gridCol w:w="1637"/>
        <w:gridCol w:w="1910"/>
        <w:gridCol w:w="29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3"/>
            <w:tcMar>
              <w:top w:w="16" w:type="dxa"/>
              <w:left w:w="16" w:type="dxa"/>
              <w:right w:w="16" w:type="dxa"/>
            </w:tcMar>
            <w:vAlign w:val="center"/>
          </w:tcPr>
          <w:p>
            <w:pPr>
              <w:spacing w:line="240" w:lineRule="auto"/>
              <w:jc w:val="center"/>
              <w:rPr>
                <w:rFonts w:hint="default" w:ascii="Times New Roman" w:hAnsi="Times New Roman" w:cs="Times New Roman"/>
                <w:color w:val="auto"/>
              </w:rPr>
            </w:pPr>
            <w:r>
              <w:rPr>
                <w:rFonts w:hint="default" w:ascii="Times New Roman" w:hAnsi="Times New Roman" w:cs="Times New Roman"/>
                <w:color w:val="auto"/>
              </w:rPr>
              <w:t>建设项目名称</w:t>
            </w:r>
          </w:p>
        </w:tc>
        <w:tc>
          <w:tcPr>
            <w:tcW w:w="6488" w:type="dxa"/>
            <w:gridSpan w:val="3"/>
            <w:vAlign w:val="center"/>
          </w:tcPr>
          <w:p>
            <w:pPr>
              <w:spacing w:line="240" w:lineRule="auto"/>
              <w:jc w:val="center"/>
              <w:rPr>
                <w:rFonts w:hint="default" w:ascii="Times New Roman" w:hAnsi="Times New Roman" w:cs="Times New Roman"/>
                <w:color w:val="auto"/>
              </w:rPr>
            </w:pPr>
            <w:r>
              <w:rPr>
                <w:rFonts w:hint="default" w:ascii="Times New Roman" w:hAnsi="Times New Roman" w:cs="Times New Roman"/>
                <w:color w:val="auto"/>
              </w:rPr>
              <w:t>新疆诚诺食品有限公司辣椒产业建设项目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3"/>
            <w:tcMar>
              <w:top w:w="16" w:type="dxa"/>
              <w:left w:w="16" w:type="dxa"/>
              <w:right w:w="16" w:type="dxa"/>
            </w:tcMar>
            <w:vAlign w:val="center"/>
          </w:tcPr>
          <w:p>
            <w:pPr>
              <w:spacing w:line="240" w:lineRule="auto"/>
              <w:jc w:val="center"/>
              <w:rPr>
                <w:rFonts w:hint="default" w:ascii="Times New Roman" w:hAnsi="Times New Roman" w:cs="Times New Roman"/>
                <w:color w:val="auto"/>
              </w:rPr>
            </w:pPr>
            <w:r>
              <w:rPr>
                <w:rFonts w:hint="default" w:ascii="Times New Roman" w:hAnsi="Times New Roman" w:cs="Times New Roman"/>
                <w:color w:val="auto"/>
              </w:rPr>
              <w:t>项目代码</w:t>
            </w:r>
          </w:p>
        </w:tc>
        <w:tc>
          <w:tcPr>
            <w:tcW w:w="6488" w:type="dxa"/>
            <w:gridSpan w:val="3"/>
            <w:vAlign w:val="center"/>
          </w:tcPr>
          <w:p>
            <w:pPr>
              <w:spacing w:line="240" w:lineRule="auto"/>
              <w:jc w:val="center"/>
              <w:rPr>
                <w:rFonts w:hint="default" w:ascii="Times New Roman" w:hAnsi="Times New Roman" w:eastAsia="宋体" w:cs="Times New Roman"/>
                <w:color w:val="auto"/>
                <w:lang w:val="en-US" w:eastAsia="zh-CN"/>
              </w:rPr>
            </w:pPr>
            <w:bookmarkStart w:id="24" w:name="_GoBack"/>
            <w:bookmarkEnd w:id="2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3"/>
            <w:tcMar>
              <w:top w:w="16" w:type="dxa"/>
              <w:left w:w="16" w:type="dxa"/>
              <w:right w:w="16" w:type="dxa"/>
            </w:tcMar>
            <w:vAlign w:val="center"/>
          </w:tcPr>
          <w:p>
            <w:pPr>
              <w:spacing w:line="240" w:lineRule="auto"/>
              <w:jc w:val="center"/>
              <w:rPr>
                <w:rFonts w:hint="default" w:ascii="Times New Roman" w:hAnsi="Times New Roman" w:cs="Times New Roman"/>
                <w:color w:val="auto"/>
              </w:rPr>
            </w:pPr>
            <w:r>
              <w:rPr>
                <w:rFonts w:hint="default" w:ascii="Times New Roman" w:hAnsi="Times New Roman" w:cs="Times New Roman"/>
                <w:color w:val="auto"/>
              </w:rPr>
              <w:t>建设单位联系人</w:t>
            </w:r>
          </w:p>
        </w:tc>
        <w:tc>
          <w:tcPr>
            <w:tcW w:w="1637" w:type="dxa"/>
            <w:vAlign w:val="center"/>
          </w:tcPr>
          <w:p>
            <w:pPr>
              <w:spacing w:line="240" w:lineRule="auto"/>
              <w:jc w:val="center"/>
              <w:rPr>
                <w:rFonts w:hint="default" w:ascii="Times New Roman" w:hAnsi="Times New Roman" w:eastAsia="宋体" w:cs="Times New Roman"/>
                <w:color w:val="auto"/>
                <w:lang w:val="en-US" w:eastAsia="zh-CN"/>
              </w:rPr>
            </w:pPr>
          </w:p>
        </w:tc>
        <w:tc>
          <w:tcPr>
            <w:tcW w:w="1910" w:type="dxa"/>
            <w:vAlign w:val="center"/>
          </w:tcPr>
          <w:p>
            <w:pPr>
              <w:spacing w:line="240" w:lineRule="auto"/>
              <w:jc w:val="center"/>
              <w:rPr>
                <w:rFonts w:hint="default" w:ascii="Times New Roman" w:hAnsi="Times New Roman" w:cs="Times New Roman"/>
                <w:color w:val="auto"/>
              </w:rPr>
            </w:pPr>
          </w:p>
        </w:tc>
        <w:tc>
          <w:tcPr>
            <w:tcW w:w="2941" w:type="dxa"/>
            <w:vAlign w:val="center"/>
          </w:tcPr>
          <w:p>
            <w:pPr>
              <w:spacing w:line="240" w:lineRule="auto"/>
              <w:jc w:val="center"/>
              <w:rPr>
                <w:rFonts w:hint="default" w:ascii="Times New Roman" w:hAnsi="Times New Roman" w:eastAsia="宋体" w:cs="Times New Roman"/>
                <w:color w:val="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3"/>
            <w:tcMar>
              <w:top w:w="16" w:type="dxa"/>
              <w:left w:w="16" w:type="dxa"/>
              <w:right w:w="16" w:type="dxa"/>
            </w:tcMar>
            <w:vAlign w:val="center"/>
          </w:tcPr>
          <w:p>
            <w:pPr>
              <w:spacing w:line="240" w:lineRule="auto"/>
              <w:jc w:val="center"/>
              <w:rPr>
                <w:rFonts w:hint="default" w:ascii="Times New Roman" w:hAnsi="Times New Roman" w:cs="Times New Roman"/>
                <w:color w:val="auto"/>
              </w:rPr>
            </w:pPr>
            <w:r>
              <w:rPr>
                <w:rFonts w:hint="default" w:ascii="Times New Roman" w:hAnsi="Times New Roman" w:cs="Times New Roman"/>
                <w:color w:val="auto"/>
              </w:rPr>
              <w:t>建设地点</w:t>
            </w:r>
          </w:p>
        </w:tc>
        <w:tc>
          <w:tcPr>
            <w:tcW w:w="6488" w:type="dxa"/>
            <w:gridSpan w:val="3"/>
            <w:vAlign w:val="center"/>
          </w:tcPr>
          <w:p>
            <w:pPr>
              <w:spacing w:line="240" w:lineRule="auto"/>
              <w:jc w:val="center"/>
              <w:rPr>
                <w:rFonts w:hint="default" w:ascii="Times New Roman" w:hAnsi="Times New Roman" w:eastAsia="宋体" w:cs="Times New Roman"/>
                <w:color w:val="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3"/>
            <w:tcMar>
              <w:top w:w="16" w:type="dxa"/>
              <w:left w:w="16" w:type="dxa"/>
              <w:right w:w="16" w:type="dxa"/>
            </w:tcMar>
            <w:vAlign w:val="center"/>
          </w:tcPr>
          <w:p>
            <w:pPr>
              <w:spacing w:line="240" w:lineRule="auto"/>
              <w:jc w:val="center"/>
              <w:rPr>
                <w:rFonts w:hint="default" w:ascii="Times New Roman" w:hAnsi="Times New Roman" w:cs="Times New Roman"/>
                <w:color w:val="auto"/>
              </w:rPr>
            </w:pPr>
            <w:r>
              <w:rPr>
                <w:rFonts w:hint="default" w:ascii="Times New Roman" w:hAnsi="Times New Roman" w:cs="Times New Roman"/>
                <w:color w:val="auto"/>
              </w:rPr>
              <w:t>地理坐标</w:t>
            </w:r>
          </w:p>
        </w:tc>
        <w:tc>
          <w:tcPr>
            <w:tcW w:w="6488" w:type="dxa"/>
            <w:gridSpan w:val="3"/>
            <w:vAlign w:val="center"/>
          </w:tcPr>
          <w:p>
            <w:pPr>
              <w:spacing w:line="240" w:lineRule="auto"/>
              <w:jc w:val="center"/>
              <w:rPr>
                <w:rFonts w:hint="default"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382" w:type="dxa"/>
            <w:gridSpan w:val="3"/>
            <w:tcMar>
              <w:top w:w="16" w:type="dxa"/>
              <w:left w:w="16" w:type="dxa"/>
              <w:right w:w="16" w:type="dxa"/>
            </w:tcMar>
            <w:vAlign w:val="center"/>
          </w:tcPr>
          <w:p>
            <w:pPr>
              <w:spacing w:line="240" w:lineRule="auto"/>
              <w:jc w:val="center"/>
              <w:rPr>
                <w:rFonts w:hint="default" w:ascii="Times New Roman" w:hAnsi="Times New Roman" w:cs="Times New Roman"/>
                <w:color w:val="auto"/>
              </w:rPr>
            </w:pPr>
            <w:r>
              <w:rPr>
                <w:rFonts w:hint="default" w:ascii="Times New Roman" w:hAnsi="Times New Roman" w:cs="Times New Roman"/>
                <w:color w:val="auto"/>
              </w:rPr>
              <w:t>国民经济</w:t>
            </w:r>
          </w:p>
          <w:p>
            <w:pPr>
              <w:spacing w:line="240" w:lineRule="auto"/>
              <w:jc w:val="center"/>
              <w:rPr>
                <w:rFonts w:hint="default" w:ascii="Times New Roman" w:hAnsi="Times New Roman" w:cs="Times New Roman"/>
                <w:color w:val="auto"/>
              </w:rPr>
            </w:pPr>
            <w:r>
              <w:rPr>
                <w:rFonts w:hint="default" w:ascii="Times New Roman" w:hAnsi="Times New Roman" w:cs="Times New Roman"/>
                <w:color w:val="auto"/>
              </w:rPr>
              <w:t>行业类别</w:t>
            </w:r>
          </w:p>
        </w:tc>
        <w:tc>
          <w:tcPr>
            <w:tcW w:w="1637" w:type="dxa"/>
            <w:vAlign w:val="center"/>
          </w:tcPr>
          <w:p>
            <w:pPr>
              <w:spacing w:line="240" w:lineRule="auto"/>
              <w:jc w:val="center"/>
              <w:rPr>
                <w:rFonts w:hint="default" w:ascii="Times New Roman" w:hAnsi="Times New Roman" w:cs="Times New Roman"/>
                <w:color w:val="auto"/>
              </w:rPr>
            </w:pPr>
            <w:r>
              <w:rPr>
                <w:rFonts w:hint="eastAsia" w:cs="Times New Roman"/>
                <w:color w:val="auto"/>
                <w:lang w:val="en-US" w:eastAsia="zh-CN"/>
              </w:rPr>
              <w:t>C1499其他未列明食品</w:t>
            </w:r>
            <w:r>
              <w:rPr>
                <w:rFonts w:hint="default" w:ascii="Times New Roman" w:hAnsi="Times New Roman" w:cs="Times New Roman"/>
                <w:color w:val="auto"/>
              </w:rPr>
              <w:t>制造</w:t>
            </w:r>
          </w:p>
        </w:tc>
        <w:tc>
          <w:tcPr>
            <w:tcW w:w="1910" w:type="dxa"/>
            <w:vAlign w:val="center"/>
          </w:tcPr>
          <w:p>
            <w:pPr>
              <w:spacing w:line="240" w:lineRule="auto"/>
              <w:jc w:val="center"/>
              <w:rPr>
                <w:rFonts w:hint="default" w:ascii="Times New Roman" w:hAnsi="Times New Roman" w:cs="Times New Roman"/>
                <w:color w:val="auto"/>
              </w:rPr>
            </w:pPr>
            <w:bookmarkStart w:id="1" w:name="_Hlk49843745"/>
            <w:r>
              <w:rPr>
                <w:rFonts w:hint="default" w:ascii="Times New Roman" w:hAnsi="Times New Roman" w:cs="Times New Roman"/>
                <w:color w:val="auto"/>
              </w:rPr>
              <w:t>建设项目</w:t>
            </w:r>
          </w:p>
          <w:p>
            <w:pPr>
              <w:spacing w:line="240" w:lineRule="auto"/>
              <w:jc w:val="center"/>
              <w:rPr>
                <w:rFonts w:hint="default" w:ascii="Times New Roman" w:hAnsi="Times New Roman" w:cs="Times New Roman"/>
                <w:color w:val="auto"/>
              </w:rPr>
            </w:pPr>
            <w:r>
              <w:rPr>
                <w:rFonts w:hint="default" w:ascii="Times New Roman" w:hAnsi="Times New Roman" w:cs="Times New Roman"/>
                <w:color w:val="auto"/>
              </w:rPr>
              <w:t>行业类别</w:t>
            </w:r>
            <w:bookmarkEnd w:id="1"/>
          </w:p>
        </w:tc>
        <w:tc>
          <w:tcPr>
            <w:tcW w:w="2941" w:type="dxa"/>
            <w:vAlign w:val="center"/>
          </w:tcPr>
          <w:p>
            <w:pPr>
              <w:spacing w:line="240" w:lineRule="auto"/>
              <w:jc w:val="center"/>
              <w:rPr>
                <w:rFonts w:hint="default" w:ascii="Times New Roman" w:hAnsi="Times New Roman" w:eastAsia="宋体" w:cs="Times New Roman"/>
                <w:color w:val="auto"/>
                <w:lang w:val="en-US" w:eastAsia="zh-CN"/>
              </w:rPr>
            </w:pPr>
            <w:r>
              <w:rPr>
                <w:rFonts w:hint="eastAsia" w:cs="Times New Roman"/>
                <w:color w:val="auto"/>
                <w:lang w:val="en-US" w:eastAsia="zh-CN"/>
              </w:rPr>
              <w:t>十一、食品制造14其他食品制造149盐加工；营养食品制造、保健食品制造、冷冻饮品及食用冰制造、无发酵工艺的食品及饲料添加剂制造、其他未列明食品制造以上均不含单纯混合、分装的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382" w:type="dxa"/>
            <w:gridSpan w:val="3"/>
            <w:tcMar>
              <w:top w:w="16" w:type="dxa"/>
              <w:left w:w="16" w:type="dxa"/>
              <w:right w:w="16" w:type="dxa"/>
            </w:tcMar>
            <w:vAlign w:val="center"/>
          </w:tcPr>
          <w:p>
            <w:pPr>
              <w:spacing w:line="240" w:lineRule="auto"/>
              <w:jc w:val="center"/>
              <w:rPr>
                <w:rFonts w:hint="default" w:ascii="Times New Roman" w:hAnsi="Times New Roman" w:cs="Times New Roman"/>
                <w:color w:val="auto"/>
              </w:rPr>
            </w:pPr>
            <w:r>
              <w:rPr>
                <w:rFonts w:hint="default" w:ascii="Times New Roman" w:hAnsi="Times New Roman" w:cs="Times New Roman"/>
                <w:color w:val="auto"/>
              </w:rPr>
              <w:t>建设性质</w:t>
            </w:r>
          </w:p>
        </w:tc>
        <w:tc>
          <w:tcPr>
            <w:tcW w:w="1637" w:type="dxa"/>
            <w:vAlign w:val="center"/>
          </w:tcPr>
          <w:p>
            <w:pPr>
              <w:spacing w:line="240" w:lineRule="auto"/>
              <w:rPr>
                <w:rFonts w:hint="default" w:ascii="Times New Roman" w:hAnsi="Times New Roman" w:cs="Times New Roman"/>
                <w:color w:val="auto"/>
              </w:rPr>
            </w:pPr>
            <w:r>
              <w:rPr>
                <w:rFonts w:hint="default" w:ascii="Times New Roman" w:hAnsi="Times New Roman" w:cs="Times New Roman"/>
                <w:color w:val="auto"/>
              </w:rPr>
              <w:sym w:font="Wingdings 2" w:char="F052"/>
            </w:r>
            <w:r>
              <w:rPr>
                <w:rFonts w:hint="default" w:ascii="Times New Roman" w:hAnsi="Times New Roman" w:cs="Times New Roman"/>
                <w:color w:val="auto"/>
              </w:rPr>
              <w:t>新建（迁建）</w:t>
            </w:r>
          </w:p>
          <w:p>
            <w:pPr>
              <w:spacing w:line="240" w:lineRule="auto"/>
              <w:rPr>
                <w:rFonts w:hint="default" w:ascii="Times New Roman" w:hAnsi="Times New Roman" w:cs="Times New Roman"/>
                <w:color w:val="auto"/>
              </w:rPr>
            </w:pPr>
            <w:r>
              <w:rPr>
                <w:rFonts w:hint="default" w:ascii="Times New Roman" w:hAnsi="Times New Roman" w:cs="Times New Roman"/>
                <w:color w:val="auto"/>
              </w:rPr>
              <w:sym w:font="Wingdings 2" w:char="00A3"/>
            </w:r>
            <w:r>
              <w:rPr>
                <w:rFonts w:hint="default" w:ascii="Times New Roman" w:hAnsi="Times New Roman" w:cs="Times New Roman"/>
                <w:color w:val="auto"/>
              </w:rPr>
              <w:t>改建</w:t>
            </w:r>
          </w:p>
          <w:p>
            <w:pPr>
              <w:spacing w:line="240" w:lineRule="auto"/>
              <w:rPr>
                <w:rFonts w:hint="default" w:ascii="Times New Roman" w:hAnsi="Times New Roman" w:cs="Times New Roman"/>
                <w:color w:val="auto"/>
              </w:rPr>
            </w:pPr>
            <w:r>
              <w:rPr>
                <w:rFonts w:hint="default" w:ascii="Times New Roman" w:hAnsi="Times New Roman" w:cs="Times New Roman"/>
                <w:color w:val="auto"/>
              </w:rPr>
              <w:sym w:font="Wingdings 2" w:char="00A3"/>
            </w:r>
            <w:r>
              <w:rPr>
                <w:rFonts w:hint="default" w:ascii="Times New Roman" w:hAnsi="Times New Roman" w:cs="Times New Roman"/>
                <w:color w:val="auto"/>
              </w:rPr>
              <w:t>扩建</w:t>
            </w:r>
          </w:p>
          <w:p>
            <w:pPr>
              <w:spacing w:line="240" w:lineRule="auto"/>
              <w:rPr>
                <w:rFonts w:hint="default" w:ascii="Times New Roman" w:hAnsi="Times New Roman" w:cs="Times New Roman"/>
                <w:color w:val="auto"/>
              </w:rPr>
            </w:pPr>
            <w:r>
              <w:rPr>
                <w:rFonts w:hint="default" w:ascii="Times New Roman" w:hAnsi="Times New Roman" w:cs="Times New Roman"/>
                <w:color w:val="auto"/>
              </w:rPr>
              <w:sym w:font="Wingdings 2" w:char="00A3"/>
            </w:r>
            <w:r>
              <w:rPr>
                <w:rFonts w:hint="default" w:ascii="Times New Roman" w:hAnsi="Times New Roman" w:cs="Times New Roman"/>
                <w:color w:val="auto"/>
              </w:rPr>
              <w:t>技术改造</w:t>
            </w:r>
          </w:p>
        </w:tc>
        <w:tc>
          <w:tcPr>
            <w:tcW w:w="1910" w:type="dxa"/>
            <w:vAlign w:val="center"/>
          </w:tcPr>
          <w:p>
            <w:pPr>
              <w:spacing w:line="240" w:lineRule="auto"/>
              <w:jc w:val="center"/>
              <w:rPr>
                <w:rFonts w:hint="default" w:ascii="Times New Roman" w:hAnsi="Times New Roman" w:cs="Times New Roman"/>
                <w:color w:val="auto"/>
              </w:rPr>
            </w:pPr>
            <w:r>
              <w:rPr>
                <w:rFonts w:hint="default" w:ascii="Times New Roman" w:hAnsi="Times New Roman" w:cs="Times New Roman"/>
                <w:color w:val="auto"/>
              </w:rPr>
              <w:t>建设项目</w:t>
            </w:r>
          </w:p>
          <w:p>
            <w:pPr>
              <w:spacing w:line="240" w:lineRule="auto"/>
              <w:jc w:val="center"/>
              <w:rPr>
                <w:rFonts w:hint="default" w:ascii="Times New Roman" w:hAnsi="Times New Roman" w:cs="Times New Roman"/>
                <w:color w:val="auto"/>
              </w:rPr>
            </w:pPr>
            <w:r>
              <w:rPr>
                <w:rFonts w:hint="default" w:ascii="Times New Roman" w:hAnsi="Times New Roman" w:cs="Times New Roman"/>
                <w:color w:val="auto"/>
              </w:rPr>
              <w:t>申报情形</w:t>
            </w:r>
          </w:p>
        </w:tc>
        <w:tc>
          <w:tcPr>
            <w:tcW w:w="2941" w:type="dxa"/>
            <w:vAlign w:val="center"/>
          </w:tcPr>
          <w:p>
            <w:pPr>
              <w:spacing w:line="240" w:lineRule="auto"/>
              <w:rPr>
                <w:rFonts w:hint="default" w:ascii="Times New Roman" w:hAnsi="Times New Roman" w:cs="Times New Roman"/>
                <w:color w:val="auto"/>
              </w:rPr>
            </w:pPr>
            <w:r>
              <w:rPr>
                <w:rFonts w:hint="default" w:ascii="Times New Roman" w:hAnsi="Times New Roman" w:cs="Times New Roman"/>
                <w:color w:val="auto"/>
              </w:rPr>
              <w:sym w:font="Wingdings 2" w:char="F052"/>
            </w:r>
            <w:r>
              <w:rPr>
                <w:rFonts w:hint="default" w:ascii="Times New Roman" w:hAnsi="Times New Roman" w:cs="Times New Roman"/>
                <w:color w:val="auto"/>
              </w:rPr>
              <w:t>首次申报项目</w:t>
            </w:r>
          </w:p>
          <w:p>
            <w:pPr>
              <w:spacing w:line="240" w:lineRule="auto"/>
              <w:rPr>
                <w:rFonts w:hint="default" w:ascii="Times New Roman" w:hAnsi="Times New Roman" w:cs="Times New Roman"/>
                <w:color w:val="auto"/>
              </w:rPr>
            </w:pPr>
            <w:r>
              <w:rPr>
                <w:rFonts w:hint="default" w:ascii="Times New Roman" w:hAnsi="Times New Roman" w:cs="Times New Roman"/>
                <w:color w:val="auto"/>
              </w:rPr>
              <w:sym w:font="Wingdings 2" w:char="00A3"/>
            </w:r>
            <w:r>
              <w:rPr>
                <w:rFonts w:hint="default" w:ascii="Times New Roman" w:hAnsi="Times New Roman" w:cs="Times New Roman"/>
                <w:color w:val="auto"/>
              </w:rPr>
              <w:t>不予批准后再次申报项目</w:t>
            </w:r>
          </w:p>
          <w:p>
            <w:pPr>
              <w:spacing w:line="240" w:lineRule="auto"/>
              <w:rPr>
                <w:rFonts w:hint="default" w:ascii="Times New Roman" w:hAnsi="Times New Roman" w:cs="Times New Roman"/>
                <w:color w:val="auto"/>
              </w:rPr>
            </w:pPr>
            <w:r>
              <w:rPr>
                <w:rFonts w:hint="default" w:ascii="Times New Roman" w:hAnsi="Times New Roman" w:cs="Times New Roman"/>
                <w:color w:val="auto"/>
              </w:rPr>
              <w:sym w:font="Wingdings 2" w:char="00A3"/>
            </w:r>
            <w:r>
              <w:rPr>
                <w:rFonts w:hint="default" w:ascii="Times New Roman" w:hAnsi="Times New Roman" w:cs="Times New Roman"/>
                <w:color w:val="auto"/>
              </w:rPr>
              <w:t>超五年重新审核项目</w:t>
            </w:r>
          </w:p>
          <w:p>
            <w:pPr>
              <w:spacing w:line="240" w:lineRule="auto"/>
              <w:rPr>
                <w:rFonts w:hint="default" w:ascii="Times New Roman" w:hAnsi="Times New Roman" w:cs="Times New Roman"/>
                <w:color w:val="auto"/>
              </w:rPr>
            </w:pPr>
            <w:r>
              <w:rPr>
                <w:rFonts w:hint="default" w:ascii="Times New Roman" w:hAnsi="Times New Roman" w:cs="Times New Roman"/>
                <w:color w:val="auto"/>
              </w:rPr>
              <w:sym w:font="Wingdings 2" w:char="00A3"/>
            </w:r>
            <w:r>
              <w:rPr>
                <w:rFonts w:hint="default" w:ascii="Times New Roman" w:hAnsi="Times New Roman" w:cs="Times New Roman"/>
                <w:color w:val="auto"/>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382" w:type="dxa"/>
            <w:gridSpan w:val="3"/>
            <w:tcMar>
              <w:top w:w="16" w:type="dxa"/>
              <w:left w:w="16" w:type="dxa"/>
              <w:right w:w="16" w:type="dxa"/>
            </w:tcMar>
            <w:vAlign w:val="center"/>
          </w:tcPr>
          <w:p>
            <w:pPr>
              <w:spacing w:line="240" w:lineRule="auto"/>
              <w:jc w:val="center"/>
              <w:rPr>
                <w:rFonts w:hint="default" w:ascii="Times New Roman" w:hAnsi="Times New Roman" w:cs="Times New Roman"/>
                <w:color w:val="auto"/>
              </w:rPr>
            </w:pPr>
            <w:r>
              <w:rPr>
                <w:rFonts w:hint="default" w:ascii="Times New Roman" w:hAnsi="Times New Roman" w:cs="Times New Roman"/>
                <w:color w:val="auto"/>
              </w:rPr>
              <w:t>项目审批（核准/</w:t>
            </w:r>
          </w:p>
          <w:p>
            <w:pPr>
              <w:spacing w:line="240" w:lineRule="auto"/>
              <w:jc w:val="center"/>
              <w:rPr>
                <w:rFonts w:hint="default" w:ascii="Times New Roman" w:hAnsi="Times New Roman" w:cs="Times New Roman"/>
                <w:color w:val="auto"/>
              </w:rPr>
            </w:pPr>
            <w:r>
              <w:rPr>
                <w:rFonts w:hint="default" w:ascii="Times New Roman" w:hAnsi="Times New Roman" w:cs="Times New Roman"/>
                <w:color w:val="auto"/>
              </w:rPr>
              <w:t>备案）部门（选填）</w:t>
            </w:r>
          </w:p>
        </w:tc>
        <w:tc>
          <w:tcPr>
            <w:tcW w:w="1637" w:type="dxa"/>
            <w:vAlign w:val="center"/>
          </w:tcPr>
          <w:p>
            <w:pPr>
              <w:spacing w:line="240" w:lineRule="auto"/>
              <w:jc w:val="center"/>
              <w:rPr>
                <w:rFonts w:hint="default" w:ascii="Times New Roman" w:hAnsi="Times New Roman" w:cs="Times New Roman"/>
                <w:color w:val="auto"/>
              </w:rPr>
            </w:pPr>
            <w:r>
              <w:rPr>
                <w:rFonts w:hint="eastAsia" w:cs="Times New Roman"/>
                <w:color w:val="auto"/>
                <w:lang w:val="en-US" w:eastAsia="zh-CN"/>
              </w:rPr>
              <w:t>和硕县</w:t>
            </w:r>
            <w:r>
              <w:rPr>
                <w:rFonts w:hint="default" w:ascii="Times New Roman" w:hAnsi="Times New Roman" w:cs="Times New Roman"/>
                <w:color w:val="auto"/>
                <w:lang w:val="en-US" w:eastAsia="zh-CN"/>
              </w:rPr>
              <w:t>发展和改革委员会</w:t>
            </w:r>
          </w:p>
        </w:tc>
        <w:tc>
          <w:tcPr>
            <w:tcW w:w="1910" w:type="dxa"/>
            <w:vAlign w:val="center"/>
          </w:tcPr>
          <w:p>
            <w:pPr>
              <w:spacing w:line="240" w:lineRule="auto"/>
              <w:jc w:val="center"/>
              <w:rPr>
                <w:rFonts w:hint="default" w:ascii="Times New Roman" w:hAnsi="Times New Roman" w:cs="Times New Roman"/>
                <w:color w:val="auto"/>
              </w:rPr>
            </w:pPr>
            <w:r>
              <w:rPr>
                <w:rFonts w:hint="default" w:ascii="Times New Roman" w:hAnsi="Times New Roman" w:cs="Times New Roman"/>
                <w:color w:val="auto"/>
              </w:rPr>
              <w:t>项目审批（核准/</w:t>
            </w:r>
          </w:p>
          <w:p>
            <w:pPr>
              <w:spacing w:line="240" w:lineRule="auto"/>
              <w:jc w:val="center"/>
              <w:rPr>
                <w:rFonts w:hint="default" w:ascii="Times New Roman" w:hAnsi="Times New Roman" w:cs="Times New Roman"/>
                <w:color w:val="auto"/>
              </w:rPr>
            </w:pPr>
            <w:r>
              <w:rPr>
                <w:rFonts w:hint="default" w:ascii="Times New Roman" w:hAnsi="Times New Roman" w:cs="Times New Roman"/>
                <w:color w:val="auto"/>
              </w:rPr>
              <w:t>备案）文号（选填）</w:t>
            </w:r>
          </w:p>
        </w:tc>
        <w:tc>
          <w:tcPr>
            <w:tcW w:w="2941" w:type="dxa"/>
            <w:vAlign w:val="center"/>
          </w:tcPr>
          <w:p>
            <w:pPr>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2511061866652828000107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3"/>
            <w:tcMar>
              <w:top w:w="16" w:type="dxa"/>
              <w:left w:w="16" w:type="dxa"/>
              <w:right w:w="16" w:type="dxa"/>
            </w:tcMar>
            <w:vAlign w:val="center"/>
          </w:tcPr>
          <w:p>
            <w:pPr>
              <w:spacing w:line="240" w:lineRule="auto"/>
              <w:jc w:val="center"/>
              <w:rPr>
                <w:rFonts w:hint="default" w:ascii="Times New Roman" w:hAnsi="Times New Roman" w:cs="Times New Roman"/>
                <w:color w:val="auto"/>
              </w:rPr>
            </w:pPr>
            <w:r>
              <w:rPr>
                <w:rFonts w:hint="default" w:ascii="Times New Roman" w:hAnsi="Times New Roman" w:cs="Times New Roman"/>
                <w:color w:val="auto"/>
              </w:rPr>
              <w:t>总投资（万元）</w:t>
            </w:r>
          </w:p>
        </w:tc>
        <w:tc>
          <w:tcPr>
            <w:tcW w:w="1637" w:type="dxa"/>
            <w:vAlign w:val="center"/>
          </w:tcPr>
          <w:p>
            <w:pPr>
              <w:spacing w:line="240" w:lineRule="auto"/>
              <w:jc w:val="center"/>
              <w:rPr>
                <w:rFonts w:hint="default" w:ascii="Times New Roman" w:hAnsi="Times New Roman" w:cs="Times New Roman"/>
                <w:color w:val="auto"/>
                <w:highlight w:val="none"/>
                <w:lang w:val="en-US"/>
              </w:rPr>
            </w:pPr>
            <w:r>
              <w:rPr>
                <w:rFonts w:hint="eastAsia" w:cs="Times New Roman"/>
                <w:color w:val="auto"/>
                <w:highlight w:val="none"/>
                <w:lang w:val="en-US" w:eastAsia="zh-CN"/>
              </w:rPr>
              <w:t>1800</w:t>
            </w:r>
          </w:p>
        </w:tc>
        <w:tc>
          <w:tcPr>
            <w:tcW w:w="1910" w:type="dxa"/>
            <w:tcMar>
              <w:top w:w="16" w:type="dxa"/>
              <w:left w:w="16" w:type="dxa"/>
              <w:right w:w="16" w:type="dxa"/>
            </w:tcMar>
            <w:vAlign w:val="center"/>
          </w:tcPr>
          <w:p>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环保投资（万元）</w:t>
            </w:r>
          </w:p>
        </w:tc>
        <w:tc>
          <w:tcPr>
            <w:tcW w:w="2941" w:type="dxa"/>
            <w:vAlign w:val="center"/>
          </w:tcPr>
          <w:p>
            <w:pPr>
              <w:spacing w:line="240" w:lineRule="auto"/>
              <w:jc w:val="center"/>
              <w:rPr>
                <w:rFonts w:hint="default" w:ascii="Times New Roman" w:hAnsi="Times New Roman" w:cs="Times New Roman"/>
                <w:color w:val="auto"/>
                <w:highlight w:val="none"/>
                <w:lang w:val="en-US"/>
              </w:rPr>
            </w:pPr>
            <w:r>
              <w:rPr>
                <w:rFonts w:hint="eastAsia" w:cs="Times New Roman"/>
                <w:color w:val="auto"/>
                <w:highlight w:val="none"/>
                <w:lang w:val="en-US" w:eastAsia="zh-CN"/>
              </w:rPr>
              <w:t>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3"/>
            <w:tcMar>
              <w:top w:w="16" w:type="dxa"/>
              <w:left w:w="16" w:type="dxa"/>
              <w:right w:w="16" w:type="dxa"/>
            </w:tcMar>
            <w:vAlign w:val="center"/>
          </w:tcPr>
          <w:p>
            <w:pPr>
              <w:spacing w:line="240" w:lineRule="auto"/>
              <w:jc w:val="center"/>
              <w:rPr>
                <w:rFonts w:hint="default" w:ascii="Times New Roman" w:hAnsi="Times New Roman" w:cs="Times New Roman"/>
                <w:color w:val="auto"/>
              </w:rPr>
            </w:pPr>
            <w:r>
              <w:rPr>
                <w:rFonts w:hint="default" w:ascii="Times New Roman" w:hAnsi="Times New Roman" w:cs="Times New Roman"/>
                <w:color w:val="auto"/>
              </w:rPr>
              <w:t>环保投资占比（%）</w:t>
            </w:r>
          </w:p>
        </w:tc>
        <w:tc>
          <w:tcPr>
            <w:tcW w:w="1637" w:type="dxa"/>
            <w:vAlign w:val="center"/>
          </w:tcPr>
          <w:p>
            <w:pPr>
              <w:spacing w:line="240" w:lineRule="auto"/>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1.3</w:t>
            </w:r>
          </w:p>
        </w:tc>
        <w:tc>
          <w:tcPr>
            <w:tcW w:w="1910" w:type="dxa"/>
            <w:tcMar>
              <w:top w:w="16" w:type="dxa"/>
              <w:left w:w="16" w:type="dxa"/>
              <w:right w:w="16" w:type="dxa"/>
            </w:tcMar>
            <w:vAlign w:val="center"/>
          </w:tcPr>
          <w:p>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施工工期</w:t>
            </w:r>
          </w:p>
        </w:tc>
        <w:tc>
          <w:tcPr>
            <w:tcW w:w="2941" w:type="dxa"/>
            <w:vAlign w:val="center"/>
          </w:tcPr>
          <w:p>
            <w:pPr>
              <w:spacing w:line="240" w:lineRule="auto"/>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6</w:t>
            </w:r>
            <w:r>
              <w:rPr>
                <w:rFonts w:hint="default" w:ascii="Times New Roman" w:hAnsi="Times New Roman" w:cs="Times New Roman"/>
                <w:color w:val="auto"/>
                <w:highlight w:val="none"/>
                <w:lang w:val="en-US" w:eastAsia="zh-CN"/>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3"/>
            <w:tcMar>
              <w:top w:w="16" w:type="dxa"/>
              <w:left w:w="16" w:type="dxa"/>
              <w:right w:w="16" w:type="dxa"/>
            </w:tcMar>
            <w:vAlign w:val="center"/>
          </w:tcPr>
          <w:p>
            <w:pPr>
              <w:spacing w:line="240" w:lineRule="auto"/>
              <w:jc w:val="center"/>
              <w:rPr>
                <w:rFonts w:hint="default" w:ascii="Times New Roman" w:hAnsi="Times New Roman" w:cs="Times New Roman"/>
                <w:color w:val="auto"/>
              </w:rPr>
            </w:pPr>
            <w:r>
              <w:rPr>
                <w:rFonts w:hint="default" w:ascii="Times New Roman" w:hAnsi="Times New Roman" w:cs="Times New Roman"/>
                <w:color w:val="auto"/>
              </w:rPr>
              <w:t>是否开工建设</w:t>
            </w:r>
          </w:p>
        </w:tc>
        <w:tc>
          <w:tcPr>
            <w:tcW w:w="1637" w:type="dxa"/>
            <w:vAlign w:val="center"/>
          </w:tcPr>
          <w:p>
            <w:pPr>
              <w:spacing w:line="240" w:lineRule="auto"/>
              <w:rPr>
                <w:rFonts w:hint="default" w:ascii="Times New Roman" w:hAnsi="Times New Roman" w:cs="Times New Roman"/>
                <w:color w:val="auto"/>
              </w:rPr>
            </w:pPr>
            <w:r>
              <w:rPr>
                <w:rFonts w:hint="default" w:ascii="Times New Roman" w:hAnsi="Times New Roman" w:cs="Times New Roman"/>
                <w:color w:val="auto"/>
              </w:rPr>
              <w:sym w:font="Wingdings 2" w:char="0052"/>
            </w:r>
            <w:r>
              <w:rPr>
                <w:rFonts w:hint="default" w:ascii="Times New Roman" w:hAnsi="Times New Roman" w:cs="Times New Roman"/>
                <w:color w:val="auto"/>
              </w:rPr>
              <w:t>否</w:t>
            </w:r>
          </w:p>
          <w:p>
            <w:pPr>
              <w:spacing w:line="240" w:lineRule="auto"/>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rPr>
              <w:sym w:font="Wingdings 2" w:char="00A3"/>
            </w:r>
            <w:r>
              <w:rPr>
                <w:rFonts w:hint="default" w:ascii="Times New Roman" w:hAnsi="Times New Roman" w:cs="Times New Roman"/>
                <w:color w:val="auto"/>
              </w:rPr>
              <w:t>是：</w:t>
            </w:r>
            <w:r>
              <w:rPr>
                <w:rFonts w:hint="eastAsia" w:cs="Times New Roman"/>
                <w:color w:val="auto"/>
                <w:u w:val="single"/>
                <w:lang w:val="en-US" w:eastAsia="zh-CN"/>
              </w:rPr>
              <w:t xml:space="preserve">         </w:t>
            </w:r>
          </w:p>
        </w:tc>
        <w:tc>
          <w:tcPr>
            <w:tcW w:w="1910" w:type="dxa"/>
            <w:tcMar>
              <w:top w:w="16" w:type="dxa"/>
              <w:left w:w="16" w:type="dxa"/>
              <w:right w:w="16" w:type="dxa"/>
            </w:tcMar>
            <w:vAlign w:val="center"/>
          </w:tcPr>
          <w:p>
            <w:pPr>
              <w:spacing w:line="240" w:lineRule="auto"/>
              <w:jc w:val="center"/>
              <w:rPr>
                <w:rFonts w:hint="default" w:ascii="Times New Roman" w:hAnsi="Times New Roman" w:cs="Times New Roman"/>
                <w:color w:val="auto"/>
                <w:spacing w:val="-6"/>
              </w:rPr>
            </w:pPr>
            <w:r>
              <w:rPr>
                <w:rFonts w:hint="default" w:ascii="Times New Roman" w:hAnsi="Times New Roman" w:cs="Times New Roman"/>
                <w:color w:val="auto"/>
                <w:spacing w:val="-6"/>
              </w:rPr>
              <w:t>用地（用海）</w:t>
            </w:r>
          </w:p>
          <w:p>
            <w:pPr>
              <w:spacing w:line="240" w:lineRule="auto"/>
              <w:jc w:val="center"/>
              <w:rPr>
                <w:rFonts w:hint="default" w:ascii="Times New Roman" w:hAnsi="Times New Roman" w:cs="Times New Roman"/>
                <w:color w:val="auto"/>
              </w:rPr>
            </w:pPr>
            <w:r>
              <w:rPr>
                <w:rFonts w:hint="default" w:ascii="Times New Roman" w:hAnsi="Times New Roman" w:cs="Times New Roman"/>
                <w:color w:val="auto"/>
                <w:spacing w:val="-6"/>
              </w:rPr>
              <w:t>面积（m</w:t>
            </w:r>
            <w:r>
              <w:rPr>
                <w:rFonts w:hint="default" w:ascii="Times New Roman" w:hAnsi="Times New Roman" w:cs="Times New Roman"/>
                <w:color w:val="auto"/>
                <w:spacing w:val="-6"/>
                <w:vertAlign w:val="superscript"/>
              </w:rPr>
              <w:t>2</w:t>
            </w:r>
            <w:r>
              <w:rPr>
                <w:rFonts w:hint="default" w:ascii="Times New Roman" w:hAnsi="Times New Roman" w:cs="Times New Roman"/>
                <w:color w:val="auto"/>
                <w:spacing w:val="-6"/>
              </w:rPr>
              <w:t>）</w:t>
            </w:r>
          </w:p>
        </w:tc>
        <w:tc>
          <w:tcPr>
            <w:tcW w:w="2941" w:type="dxa"/>
            <w:vAlign w:val="center"/>
          </w:tcPr>
          <w:p>
            <w:pPr>
              <w:spacing w:line="240" w:lineRule="auto"/>
              <w:jc w:val="center"/>
              <w:rPr>
                <w:rFonts w:hint="default" w:ascii="Times New Roman" w:hAnsi="Times New Roman" w:eastAsia="宋体" w:cs="Times New Roman"/>
                <w:color w:val="auto"/>
                <w:lang w:val="en-US" w:eastAsia="zh-CN"/>
              </w:rPr>
            </w:pPr>
            <w:r>
              <w:rPr>
                <w:rFonts w:hint="eastAsia" w:cs="Times New Roman"/>
                <w:color w:val="auto"/>
                <w:lang w:val="en-US" w:eastAsia="zh-CN"/>
              </w:rPr>
              <w:t>22000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382" w:type="dxa"/>
            <w:gridSpan w:val="3"/>
            <w:vAlign w:val="center"/>
          </w:tcPr>
          <w:p>
            <w:pPr>
              <w:autoSpaceDE w:val="0"/>
              <w:autoSpaceDN w:val="0"/>
              <w:spacing w:line="240" w:lineRule="auto"/>
              <w:jc w:val="center"/>
              <w:rPr>
                <w:rFonts w:hint="default" w:ascii="Times New Roman" w:hAnsi="Times New Roman" w:cs="Times New Roman"/>
                <w:color w:val="auto"/>
              </w:rPr>
            </w:pPr>
            <w:r>
              <w:rPr>
                <w:rFonts w:hint="default" w:ascii="Times New Roman" w:hAnsi="Times New Roman" w:cs="Times New Roman"/>
                <w:color w:val="auto"/>
              </w:rPr>
              <w:t>专项评价设置情况</w:t>
            </w:r>
          </w:p>
        </w:tc>
        <w:tc>
          <w:tcPr>
            <w:tcW w:w="6488" w:type="dxa"/>
            <w:gridSpan w:val="3"/>
            <w:vAlign w:val="center"/>
          </w:tcPr>
          <w:p>
            <w:pPr>
              <w:autoSpaceDE w:val="0"/>
              <w:autoSpaceDN w:val="0"/>
              <w:spacing w:line="240" w:lineRule="auto"/>
              <w:jc w:val="center"/>
              <w:rPr>
                <w:rFonts w:hint="default" w:ascii="Times New Roman" w:hAnsi="Times New Roman" w:cs="Times New Roman"/>
                <w:color w:val="auto"/>
              </w:rPr>
            </w:pPr>
            <w:r>
              <w:rPr>
                <w:rFonts w:hint="default" w:ascii="Times New Roman" w:hAnsi="Times New Roman" w:cs="Times New Roman"/>
                <w:color w:val="auto"/>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382" w:type="dxa"/>
            <w:gridSpan w:val="3"/>
            <w:vAlign w:val="center"/>
          </w:tcPr>
          <w:p>
            <w:pPr>
              <w:autoSpaceDE w:val="0"/>
              <w:autoSpaceDN w:val="0"/>
              <w:spacing w:line="240" w:lineRule="auto"/>
              <w:jc w:val="center"/>
              <w:rPr>
                <w:rFonts w:hint="default" w:ascii="Times New Roman" w:hAnsi="Times New Roman" w:cs="Times New Roman"/>
                <w:color w:val="auto"/>
              </w:rPr>
            </w:pPr>
            <w:r>
              <w:rPr>
                <w:rFonts w:hint="default" w:ascii="Times New Roman" w:hAnsi="Times New Roman" w:cs="Times New Roman"/>
                <w:color w:val="auto"/>
              </w:rPr>
              <w:t>规划情况</w:t>
            </w:r>
          </w:p>
        </w:tc>
        <w:tc>
          <w:tcPr>
            <w:tcW w:w="6488" w:type="dxa"/>
            <w:gridSpan w:val="3"/>
            <w:shd w:val="clear" w:color="auto" w:fill="auto"/>
            <w:vAlign w:val="center"/>
          </w:tcPr>
          <w:p>
            <w:pPr>
              <w:pStyle w:val="57"/>
              <w:bidi w:val="0"/>
              <w:ind w:left="0" w:leftChars="0" w:firstLine="0" w:firstLineChars="0"/>
              <w:jc w:val="left"/>
              <w:rPr>
                <w:rFonts w:hint="default"/>
                <w:color w:val="auto"/>
                <w:lang w:val="en-US" w:eastAsia="zh-CN"/>
              </w:rPr>
            </w:pPr>
            <w:r>
              <w:rPr>
                <w:rFonts w:hint="default"/>
                <w:color w:val="auto"/>
                <w:lang w:val="en-US" w:eastAsia="zh-CN"/>
              </w:rPr>
              <w:t>规划名称：《和硕县多式联运产业物流园区总体规划</w:t>
            </w:r>
            <w:r>
              <w:rPr>
                <w:rFonts w:hint="eastAsia"/>
                <w:color w:val="auto"/>
                <w:lang w:val="en-US" w:eastAsia="zh-CN"/>
              </w:rPr>
              <w:t>（</w:t>
            </w:r>
            <w:r>
              <w:rPr>
                <w:rFonts w:hint="default"/>
                <w:color w:val="auto"/>
                <w:lang w:val="en-US" w:eastAsia="zh-CN"/>
              </w:rPr>
              <w:t>2018-2030年</w:t>
            </w:r>
            <w:r>
              <w:rPr>
                <w:rFonts w:hint="eastAsia"/>
                <w:color w:val="auto"/>
                <w:lang w:val="en-US" w:eastAsia="zh-CN"/>
              </w:rPr>
              <w:t>）》</w:t>
            </w:r>
          </w:p>
          <w:p>
            <w:pPr>
              <w:pStyle w:val="57"/>
              <w:bidi w:val="0"/>
              <w:ind w:left="0" w:leftChars="0" w:firstLine="0" w:firstLineChars="0"/>
              <w:jc w:val="left"/>
              <w:rPr>
                <w:rFonts w:hint="default"/>
                <w:color w:val="auto"/>
                <w:lang w:val="en-US" w:eastAsia="zh-CN"/>
              </w:rPr>
            </w:pPr>
            <w:r>
              <w:rPr>
                <w:rFonts w:hint="default"/>
                <w:color w:val="auto"/>
                <w:lang w:val="en-US" w:eastAsia="zh-CN"/>
              </w:rPr>
              <w:t>审批机关：</w:t>
            </w:r>
            <w:r>
              <w:rPr>
                <w:rFonts w:hint="eastAsia"/>
                <w:color w:val="auto"/>
                <w:lang w:val="en-US" w:eastAsia="zh-CN"/>
              </w:rPr>
              <w:t>巴音郭楞蒙古自治州人民政府</w:t>
            </w:r>
          </w:p>
          <w:p>
            <w:pPr>
              <w:pStyle w:val="57"/>
              <w:bidi w:val="0"/>
              <w:ind w:left="0" w:leftChars="0" w:firstLine="0" w:firstLineChars="0"/>
              <w:jc w:val="left"/>
              <w:rPr>
                <w:rFonts w:hint="default" w:ascii="Times New Roman" w:hAnsi="Times New Roman" w:eastAsia="宋体" w:cs="Times New Roman"/>
                <w:snapToGrid w:val="0"/>
                <w:color w:val="auto"/>
                <w:kern w:val="2"/>
                <w:sz w:val="24"/>
                <w:szCs w:val="24"/>
                <w:lang w:val="en-US" w:eastAsia="zh-CN" w:bidi="ar-SA"/>
                <w14:ligatures w14:val="none"/>
              </w:rPr>
            </w:pPr>
            <w:r>
              <w:rPr>
                <w:rFonts w:hint="default"/>
                <w:color w:val="auto"/>
                <w:lang w:val="en-US" w:eastAsia="zh-CN"/>
              </w:rPr>
              <w:t>审批文号：巴政函〔2018〕142号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2382" w:type="dxa"/>
            <w:gridSpan w:val="3"/>
            <w:vAlign w:val="center"/>
          </w:tcPr>
          <w:p>
            <w:pPr>
              <w:spacing w:line="240" w:lineRule="auto"/>
              <w:jc w:val="center"/>
              <w:rPr>
                <w:rFonts w:hint="default" w:ascii="Times New Roman" w:hAnsi="Times New Roman" w:cs="Times New Roman"/>
                <w:color w:val="auto"/>
              </w:rPr>
            </w:pPr>
            <w:r>
              <w:rPr>
                <w:rFonts w:hint="default" w:ascii="Times New Roman" w:hAnsi="Times New Roman" w:cs="Times New Roman"/>
                <w:color w:val="auto"/>
              </w:rPr>
              <w:t>规划环境影响</w:t>
            </w:r>
          </w:p>
          <w:p>
            <w:pPr>
              <w:spacing w:line="240" w:lineRule="auto"/>
              <w:jc w:val="center"/>
              <w:rPr>
                <w:rFonts w:hint="default" w:ascii="Times New Roman" w:hAnsi="Times New Roman" w:cs="Times New Roman"/>
                <w:color w:val="auto"/>
              </w:rPr>
            </w:pPr>
            <w:r>
              <w:rPr>
                <w:rFonts w:hint="default" w:ascii="Times New Roman" w:hAnsi="Times New Roman" w:cs="Times New Roman"/>
                <w:color w:val="auto"/>
              </w:rPr>
              <w:t>评价情况</w:t>
            </w:r>
          </w:p>
        </w:tc>
        <w:tc>
          <w:tcPr>
            <w:tcW w:w="6488" w:type="dxa"/>
            <w:gridSpan w:val="3"/>
            <w:shd w:val="clear" w:color="auto" w:fill="auto"/>
            <w:vAlign w:val="center"/>
          </w:tcPr>
          <w:p>
            <w:pPr>
              <w:pStyle w:val="57"/>
              <w:bidi w:val="0"/>
              <w:ind w:left="0" w:leftChars="0" w:firstLine="0" w:firstLineChars="0"/>
              <w:jc w:val="left"/>
              <w:rPr>
                <w:rFonts w:hint="default"/>
                <w:color w:val="auto"/>
                <w:lang w:val="en-US" w:eastAsia="zh-CN"/>
              </w:rPr>
            </w:pPr>
            <w:r>
              <w:rPr>
                <w:rFonts w:hint="eastAsia"/>
                <w:color w:val="auto"/>
                <w:lang w:val="en-US" w:eastAsia="zh-CN"/>
              </w:rPr>
              <w:t>规划环境影响评价名称：</w:t>
            </w:r>
            <w:r>
              <w:rPr>
                <w:rFonts w:hint="default"/>
                <w:color w:val="auto"/>
                <w:lang w:val="en-US" w:eastAsia="zh-CN"/>
              </w:rPr>
              <w:t>《和硕县多式联运产业物流园区总体规划环境影响报告书》</w:t>
            </w:r>
          </w:p>
          <w:p>
            <w:pPr>
              <w:pStyle w:val="57"/>
              <w:bidi w:val="0"/>
              <w:ind w:left="0" w:leftChars="0" w:firstLine="0" w:firstLineChars="0"/>
              <w:jc w:val="left"/>
              <w:rPr>
                <w:rFonts w:hint="default"/>
                <w:color w:val="auto"/>
                <w:lang w:val="en-US" w:eastAsia="zh-CN"/>
              </w:rPr>
            </w:pPr>
            <w:r>
              <w:rPr>
                <w:rFonts w:hint="eastAsia"/>
                <w:color w:val="auto"/>
                <w:lang w:val="en-US" w:eastAsia="zh-CN"/>
              </w:rPr>
              <w:t>审批</w:t>
            </w:r>
            <w:r>
              <w:rPr>
                <w:rFonts w:hint="default"/>
                <w:color w:val="auto"/>
                <w:lang w:val="en-US" w:eastAsia="zh-CN"/>
              </w:rPr>
              <w:t>机关：</w:t>
            </w:r>
            <w:r>
              <w:rPr>
                <w:rFonts w:hint="eastAsia"/>
                <w:color w:val="auto"/>
                <w:lang w:val="en-US" w:eastAsia="zh-CN"/>
              </w:rPr>
              <w:t>原新疆维吾尔自治区巴音郭楞蒙古自治州环境保护局</w:t>
            </w:r>
          </w:p>
          <w:p>
            <w:pPr>
              <w:pStyle w:val="57"/>
              <w:bidi w:val="0"/>
              <w:ind w:left="0" w:leftChars="0" w:firstLine="0" w:firstLineChars="0"/>
              <w:jc w:val="left"/>
              <w:rPr>
                <w:rFonts w:hint="default" w:ascii="Times New Roman" w:hAnsi="Times New Roman" w:eastAsia="宋体" w:cs="Times New Roman"/>
                <w:snapToGrid w:val="0"/>
                <w:color w:val="auto"/>
                <w:kern w:val="2"/>
                <w:sz w:val="24"/>
                <w:szCs w:val="24"/>
                <w:lang w:val="en-US" w:eastAsia="zh-CN" w:bidi="ar-SA"/>
                <w14:ligatures w14:val="none"/>
              </w:rPr>
            </w:pPr>
            <w:r>
              <w:rPr>
                <w:rFonts w:hint="default"/>
                <w:color w:val="auto"/>
                <w:lang w:val="en-US" w:eastAsia="zh-CN"/>
              </w:rPr>
              <w:t>审查文件名称及文号：关于《和硕县多式联运产业物流园区总体规划环境影响报告书》的审查意见</w:t>
            </w:r>
            <w:r>
              <w:rPr>
                <w:rFonts w:hint="eastAsia"/>
                <w:color w:val="auto"/>
                <w:lang w:val="en-US" w:eastAsia="zh-CN"/>
              </w:rPr>
              <w:t>（巴</w:t>
            </w:r>
            <w:r>
              <w:rPr>
                <w:rFonts w:hint="default"/>
                <w:color w:val="auto"/>
                <w:lang w:val="en-US" w:eastAsia="zh-CN"/>
              </w:rPr>
              <w:t>环</w:t>
            </w:r>
            <w:r>
              <w:rPr>
                <w:rFonts w:hint="eastAsia"/>
                <w:color w:val="auto"/>
                <w:lang w:val="en-US" w:eastAsia="zh-CN"/>
              </w:rPr>
              <w:t>评价函</w:t>
            </w:r>
            <w:r>
              <w:rPr>
                <w:rFonts w:hint="default"/>
                <w:color w:val="auto"/>
                <w:lang w:val="en-US" w:eastAsia="zh-CN"/>
              </w:rPr>
              <w:t>〔20</w:t>
            </w:r>
            <w:r>
              <w:rPr>
                <w:rFonts w:hint="eastAsia"/>
                <w:color w:val="auto"/>
                <w:lang w:val="en-US" w:eastAsia="zh-CN"/>
              </w:rPr>
              <w:t>18</w:t>
            </w:r>
            <w:r>
              <w:rPr>
                <w:rFonts w:hint="default"/>
                <w:color w:val="auto"/>
                <w:lang w:val="en-US" w:eastAsia="zh-CN"/>
              </w:rPr>
              <w:t>〕1</w:t>
            </w:r>
            <w:r>
              <w:rPr>
                <w:rFonts w:hint="eastAsia"/>
                <w:color w:val="auto"/>
                <w:lang w:val="en-US" w:eastAsia="zh-CN"/>
              </w:rPr>
              <w:t>8</w:t>
            </w:r>
            <w:r>
              <w:rPr>
                <w:rFonts w:hint="default"/>
                <w:color w:val="auto"/>
                <w:lang w:val="en-US" w:eastAsia="zh-CN"/>
              </w:rPr>
              <w:t>4号</w:t>
            </w:r>
            <w:r>
              <w:rPr>
                <w:rFonts w:hint="eastAsia"/>
                <w:color w:val="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274" w:type="dxa"/>
            <w:gridSpan w:val="2"/>
            <w:vAlign w:val="center"/>
          </w:tcPr>
          <w:p>
            <w:pPr>
              <w:autoSpaceDE w:val="0"/>
              <w:autoSpaceDN w:val="0"/>
              <w:spacing w:line="240" w:lineRule="auto"/>
              <w:jc w:val="center"/>
              <w:rPr>
                <w:rFonts w:hint="default" w:ascii="Times New Roman" w:hAnsi="Times New Roman" w:cs="Times New Roman"/>
                <w:color w:val="auto"/>
              </w:rPr>
            </w:pPr>
            <w:r>
              <w:rPr>
                <w:rFonts w:hint="default" w:ascii="Times New Roman" w:hAnsi="Times New Roman" w:cs="Times New Roman"/>
                <w:color w:val="auto"/>
              </w:rPr>
              <w:t>规划及规划环境</w:t>
            </w:r>
          </w:p>
          <w:p>
            <w:pPr>
              <w:autoSpaceDE w:val="0"/>
              <w:autoSpaceDN w:val="0"/>
              <w:spacing w:line="240" w:lineRule="auto"/>
              <w:jc w:val="center"/>
              <w:rPr>
                <w:rFonts w:hint="default" w:ascii="Times New Roman" w:hAnsi="Times New Roman" w:cs="Times New Roman"/>
                <w:color w:val="auto"/>
              </w:rPr>
            </w:pPr>
            <w:r>
              <w:rPr>
                <w:rFonts w:hint="default" w:ascii="Times New Roman" w:hAnsi="Times New Roman" w:cs="Times New Roman"/>
                <w:color w:val="auto"/>
              </w:rPr>
              <w:t>影响评价符合性分析</w:t>
            </w:r>
          </w:p>
        </w:tc>
        <w:tc>
          <w:tcPr>
            <w:tcW w:w="7596" w:type="dxa"/>
            <w:gridSpan w:val="4"/>
            <w:vAlign w:val="center"/>
          </w:tcPr>
          <w:p>
            <w:pPr>
              <w:keepNext w:val="0"/>
              <w:keepLines w:val="0"/>
              <w:pageBreakBefore w:val="0"/>
              <w:numPr>
                <w:ilvl w:val="0"/>
                <w:numId w:val="0"/>
              </w:numPr>
              <w:kinsoku/>
              <w:wordWrap/>
              <w:overflowPunct/>
              <w:topLinePunct w:val="0"/>
              <w:autoSpaceDE w:val="0"/>
              <w:autoSpaceDN w:val="0"/>
              <w:bidi w:val="0"/>
              <w:adjustRightInd w:val="0"/>
              <w:snapToGrid w:val="0"/>
              <w:spacing w:line="500" w:lineRule="exact"/>
              <w:jc w:val="both"/>
              <w:textAlignment w:val="auto"/>
              <w:rPr>
                <w:rFonts w:hint="default" w:ascii="Times New Roman" w:hAnsi="Times New Roman" w:cs="Times New Roman"/>
                <w:b/>
                <w:bCs/>
                <w:color w:val="auto"/>
                <w:kern w:val="0"/>
                <w:sz w:val="24"/>
                <w:szCs w:val="24"/>
                <w:highlight w:val="none"/>
                <w:lang w:val="en-US" w:eastAsia="zh-CN"/>
              </w:rPr>
            </w:pPr>
            <w:r>
              <w:rPr>
                <w:rFonts w:hint="default" w:ascii="Times New Roman" w:hAnsi="Times New Roman" w:cs="Times New Roman"/>
                <w:b/>
                <w:bCs/>
                <w:color w:val="auto"/>
                <w:kern w:val="0"/>
                <w:sz w:val="24"/>
                <w:szCs w:val="24"/>
                <w:highlight w:val="none"/>
                <w:lang w:val="en-US" w:eastAsia="zh-CN"/>
              </w:rPr>
              <w:t>1</w:t>
            </w:r>
            <w:r>
              <w:rPr>
                <w:rFonts w:hint="eastAsia" w:ascii="Times New Roman" w:hAnsi="Times New Roman" w:cs="Times New Roman"/>
                <w:b/>
                <w:bCs/>
                <w:color w:val="auto"/>
                <w:kern w:val="0"/>
                <w:sz w:val="24"/>
                <w:szCs w:val="24"/>
                <w:highlight w:val="none"/>
                <w:lang w:val="en-US" w:eastAsia="zh-CN"/>
              </w:rPr>
              <w:t>.1</w:t>
            </w:r>
            <w:r>
              <w:rPr>
                <w:rFonts w:hint="default" w:ascii="Times New Roman" w:hAnsi="Times New Roman" w:cs="Times New Roman"/>
                <w:b/>
                <w:bCs/>
                <w:color w:val="auto"/>
                <w:kern w:val="0"/>
                <w:sz w:val="24"/>
                <w:szCs w:val="24"/>
                <w:highlight w:val="none"/>
                <w:lang w:val="en-US" w:eastAsia="zh-CN"/>
              </w:rPr>
              <w:t>规划符合性分析</w:t>
            </w:r>
          </w:p>
          <w:p>
            <w:pPr>
              <w:keepNext w:val="0"/>
              <w:keepLines w:val="0"/>
              <w:pageBreakBefore w:val="0"/>
              <w:numPr>
                <w:ilvl w:val="0"/>
                <w:numId w:val="0"/>
              </w:numPr>
              <w:kinsoku/>
              <w:wordWrap/>
              <w:overflowPunct/>
              <w:topLinePunct w:val="0"/>
              <w:autoSpaceDE w:val="0"/>
              <w:autoSpaceDN w:val="0"/>
              <w:bidi w:val="0"/>
              <w:adjustRightInd w:val="0"/>
              <w:snapToGrid w:val="0"/>
              <w:spacing w:line="500" w:lineRule="exact"/>
              <w:ind w:firstLine="480" w:firstLineChars="200"/>
              <w:jc w:val="both"/>
              <w:textAlignment w:val="auto"/>
              <w:rPr>
                <w:rFonts w:hint="default" w:ascii="Times New Roman" w:hAnsi="Times New Roman"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（1）规划范围</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本次规划园区</w:t>
            </w:r>
            <w:r>
              <w:rPr>
                <w:rFonts w:hint="eastAsia" w:ascii="Times New Roman" w:hAnsi="Times New Roman" w:eastAsia="宋体" w:cs="Times New Roman"/>
                <w:color w:val="auto"/>
                <w:kern w:val="0"/>
                <w:sz w:val="24"/>
                <w:szCs w:val="24"/>
                <w:highlight w:val="none"/>
                <w:lang w:val="en-US" w:eastAsia="zh-CN" w:bidi="ar"/>
              </w:rPr>
              <w:t>用地规模9.89</w:t>
            </w:r>
            <w:r>
              <w:rPr>
                <w:rFonts w:hint="default" w:ascii="Times New Roman" w:hAnsi="Times New Roman" w:eastAsia="宋体" w:cs="Times New Roman"/>
                <w:color w:val="auto"/>
                <w:kern w:val="0"/>
                <w:sz w:val="24"/>
                <w:szCs w:val="24"/>
                <w:highlight w:val="none"/>
                <w:lang w:val="en-US" w:eastAsia="zh-CN" w:bidi="ar"/>
              </w:rPr>
              <w:t>km</w:t>
            </w:r>
            <w:r>
              <w:rPr>
                <w:rFonts w:hint="default" w:ascii="Times New Roman" w:hAnsi="Times New Roman" w:eastAsia="宋体" w:cs="Times New Roman"/>
                <w:color w:val="auto"/>
                <w:kern w:val="0"/>
                <w:sz w:val="24"/>
                <w:szCs w:val="24"/>
                <w:highlight w:val="none"/>
                <w:vertAlign w:val="superscript"/>
                <w:lang w:val="en-US" w:eastAsia="zh-CN" w:bidi="ar"/>
              </w:rPr>
              <w:t>2</w:t>
            </w:r>
            <w:r>
              <w:rPr>
                <w:rFonts w:hint="default" w:ascii="Times New Roman" w:hAnsi="Times New Roman" w:eastAsia="宋体" w:cs="Times New Roman"/>
                <w:color w:val="auto"/>
                <w:kern w:val="0"/>
                <w:sz w:val="24"/>
                <w:szCs w:val="24"/>
                <w:highlight w:val="none"/>
                <w:lang w:val="en-US" w:eastAsia="zh-CN" w:bidi="ar"/>
              </w:rPr>
              <w:t>，规划范围南至314国道以北约</w:t>
            </w:r>
            <w:r>
              <w:rPr>
                <w:rFonts w:hint="eastAsia" w:ascii="Times New Roman" w:hAnsi="Times New Roman" w:eastAsia="宋体" w:cs="Times New Roman"/>
                <w:color w:val="auto"/>
                <w:kern w:val="0"/>
                <w:sz w:val="24"/>
                <w:szCs w:val="24"/>
                <w:highlight w:val="none"/>
                <w:lang w:val="en-US" w:eastAsia="zh-CN" w:bidi="ar"/>
              </w:rPr>
              <w:t>1</w:t>
            </w:r>
            <w:r>
              <w:rPr>
                <w:rFonts w:hint="default" w:ascii="Times New Roman" w:hAnsi="Times New Roman" w:eastAsia="宋体" w:cs="Times New Roman"/>
                <w:color w:val="auto"/>
                <w:kern w:val="0"/>
                <w:sz w:val="24"/>
                <w:szCs w:val="24"/>
                <w:highlight w:val="none"/>
                <w:lang w:val="en-US" w:eastAsia="zh-CN" w:bidi="ar"/>
              </w:rPr>
              <w:t>公里处</w:t>
            </w:r>
            <w:r>
              <w:rPr>
                <w:rFonts w:hint="eastAsia"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东至县城公墓</w:t>
            </w:r>
            <w:r>
              <w:rPr>
                <w:rFonts w:hint="eastAsia"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西至戈壁荒漠，北至天山山脉，距和硕县主城区约8公里</w:t>
            </w:r>
            <w:r>
              <w:rPr>
                <w:rFonts w:hint="eastAsia" w:ascii="Times New Roman" w:hAnsi="Times New Roman" w:eastAsia="宋体" w:cs="Times New Roman"/>
                <w:color w:val="auto"/>
                <w:kern w:val="0"/>
                <w:sz w:val="24"/>
                <w:szCs w:val="24"/>
                <w:highlight w:val="none"/>
                <w:lang w:val="en-US" w:eastAsia="zh-CN" w:bidi="ar"/>
              </w:rPr>
              <w:t>。</w:t>
            </w:r>
          </w:p>
          <w:p>
            <w:pPr>
              <w:keepNext w:val="0"/>
              <w:keepLines w:val="0"/>
              <w:pageBreakBefore w:val="0"/>
              <w:widowControl/>
              <w:suppressLineNumbers w:val="0"/>
              <w:kinsoku/>
              <w:wordWrap/>
              <w:overflowPunct/>
              <w:topLinePunct w:val="0"/>
              <w:bidi w:val="0"/>
              <w:spacing w:line="500" w:lineRule="exact"/>
              <w:ind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（2）规划定位</w:t>
            </w:r>
          </w:p>
          <w:p>
            <w:pPr>
              <w:keepNext w:val="0"/>
              <w:keepLines w:val="0"/>
              <w:pageBreakBefore w:val="0"/>
              <w:widowControl/>
              <w:suppressLineNumbers w:val="0"/>
              <w:kinsoku/>
              <w:wordWrap/>
              <w:overflowPunct/>
              <w:topLinePunct w:val="0"/>
              <w:bidi w:val="0"/>
              <w:spacing w:line="500" w:lineRule="exact"/>
              <w:ind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基于和硕县及园区辐射区域内产业发展现状及需求，设置农产品产业区、医药、食品产业区、石材、建材产业区、机电配件及汽车产业区、电动车产业区、小微化工产业区、纺织服装产业区、整车仓储区、转口贸易区及产业配套服务区10</w:t>
            </w:r>
            <w:r>
              <w:rPr>
                <w:rFonts w:hint="eastAsia" w:ascii="Times New Roman" w:hAnsi="Times New Roman" w:eastAsia="宋体" w:cs="Times New Roman"/>
                <w:color w:val="auto"/>
                <w:kern w:val="0"/>
                <w:sz w:val="24"/>
                <w:szCs w:val="24"/>
                <w:highlight w:val="none"/>
                <w:lang w:val="en-US" w:eastAsia="zh-CN" w:bidi="ar"/>
              </w:rPr>
              <w:t>大</w:t>
            </w:r>
            <w:r>
              <w:rPr>
                <w:rFonts w:hint="default" w:ascii="Times New Roman" w:hAnsi="Times New Roman" w:eastAsia="宋体" w:cs="Times New Roman"/>
                <w:color w:val="auto"/>
                <w:kern w:val="0"/>
                <w:sz w:val="24"/>
                <w:szCs w:val="24"/>
                <w:highlight w:val="none"/>
                <w:lang w:val="en-US" w:eastAsia="zh-CN" w:bidi="ar"/>
              </w:rPr>
              <w:t>产业区以满足各产业生产、仓储、交易和保税等需求，并设置产业发展预留区满足园区未来产业扩张需求。</w:t>
            </w:r>
          </w:p>
          <w:p>
            <w:pPr>
              <w:keepNext w:val="0"/>
              <w:keepLines w:val="0"/>
              <w:pageBreakBefore w:val="0"/>
              <w:kinsoku/>
              <w:wordWrap/>
              <w:overflowPunct/>
              <w:topLinePunct w:val="0"/>
              <w:bidi w:val="0"/>
              <w:spacing w:line="500" w:lineRule="exact"/>
              <w:ind w:firstLine="480" w:firstLineChars="200"/>
              <w:textAlignment w:val="auto"/>
              <w:rPr>
                <w:rFonts w:hint="default"/>
                <w:color w:val="auto"/>
                <w:highlight w:val="none"/>
                <w:lang w:val="en-US" w:eastAsia="zh-CN"/>
              </w:rPr>
            </w:pPr>
            <w:r>
              <w:rPr>
                <w:rFonts w:hint="default"/>
                <w:color w:val="auto"/>
                <w:highlight w:val="none"/>
                <w:lang w:val="en-US" w:eastAsia="zh-CN"/>
              </w:rPr>
              <w:t>（3）</w:t>
            </w:r>
            <w:r>
              <w:rPr>
                <w:rFonts w:hint="eastAsia"/>
                <w:color w:val="auto"/>
                <w:highlight w:val="none"/>
                <w:lang w:val="en-US" w:eastAsia="zh-CN"/>
              </w:rPr>
              <w:t>农产品产业园区</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color w:val="auto"/>
                <w:highlight w:val="none"/>
                <w:lang w:val="en-US" w:eastAsia="zh-CN"/>
              </w:rPr>
            </w:pPr>
            <w:r>
              <w:rPr>
                <w:rFonts w:hint="default"/>
                <w:color w:val="auto"/>
                <w:highlight w:val="none"/>
                <w:lang w:val="en-US" w:eastAsia="zh-CN"/>
              </w:rPr>
              <w:t>基于北四县农产品产业特点，设置番茄、辣椒和葡萄酒产业区，既能满足农产品流通加工需求，又符合企业生产厂房和仓库一体化的传统运营模式。同时以公铁多式联运区的独特区位优势，设置各类农产品交易展示区，通过引入农产品加工企业直销商和代理分销商入驻，实现农产品的快速分销和转运，此外为兼顾其他农产品发展需求，设置其他农产品产业区。</w:t>
            </w:r>
          </w:p>
          <w:p>
            <w:pPr>
              <w:keepNext w:val="0"/>
              <w:keepLines w:val="0"/>
              <w:pageBreakBefore w:val="0"/>
              <w:kinsoku/>
              <w:wordWrap/>
              <w:overflowPunct/>
              <w:topLinePunct w:val="0"/>
              <w:bidi w:val="0"/>
              <w:spacing w:line="500" w:lineRule="exact"/>
              <w:ind w:firstLine="480" w:firstLineChars="200"/>
              <w:textAlignment w:val="auto"/>
              <w:rPr>
                <w:rFonts w:hint="default"/>
                <w:color w:val="auto"/>
                <w:highlight w:val="none"/>
                <w:lang w:val="en-US" w:eastAsia="zh-CN"/>
              </w:rPr>
            </w:pPr>
            <w:r>
              <w:rPr>
                <w:rFonts w:hint="default"/>
                <w:color w:val="auto"/>
                <w:highlight w:val="none"/>
                <w:lang w:val="en-US" w:eastAsia="zh-CN"/>
              </w:rPr>
              <w:t>本项目位于</w:t>
            </w:r>
            <w:r>
              <w:rPr>
                <w:rFonts w:hint="eastAsia"/>
                <w:color w:val="auto"/>
                <w:highlight w:val="none"/>
                <w:lang w:val="en-US" w:eastAsia="zh-CN"/>
              </w:rPr>
              <w:t>农产品产业</w:t>
            </w:r>
            <w:r>
              <w:rPr>
                <w:rFonts w:hint="default"/>
                <w:color w:val="auto"/>
                <w:highlight w:val="none"/>
                <w:lang w:val="en-US" w:eastAsia="zh-CN"/>
              </w:rPr>
              <w:t>区，</w:t>
            </w:r>
            <w:r>
              <w:rPr>
                <w:rFonts w:hint="eastAsia"/>
                <w:color w:val="auto"/>
                <w:highlight w:val="none"/>
                <w:lang w:val="en-US" w:eastAsia="zh-CN"/>
              </w:rPr>
              <w:t>与</w:t>
            </w:r>
            <w:r>
              <w:rPr>
                <w:rFonts w:hint="default"/>
                <w:color w:val="auto"/>
                <w:highlight w:val="none"/>
                <w:lang w:val="en-US" w:eastAsia="zh-CN"/>
              </w:rPr>
              <w:t>园区功能布局</w:t>
            </w:r>
            <w:r>
              <w:rPr>
                <w:rFonts w:hint="eastAsia"/>
                <w:color w:val="auto"/>
                <w:highlight w:val="none"/>
                <w:lang w:val="en-US" w:eastAsia="zh-CN"/>
              </w:rPr>
              <w:t>位置关系</w:t>
            </w:r>
            <w:r>
              <w:rPr>
                <w:rFonts w:hint="default"/>
                <w:color w:val="auto"/>
                <w:highlight w:val="none"/>
                <w:lang w:val="en-US" w:eastAsia="zh-CN"/>
              </w:rPr>
              <w:t>见</w:t>
            </w:r>
            <w:r>
              <w:rPr>
                <w:rFonts w:hint="eastAsia"/>
                <w:color w:val="auto"/>
                <w:highlight w:val="none"/>
                <w:lang w:val="en-US" w:eastAsia="zh-CN"/>
              </w:rPr>
              <w:t>附</w:t>
            </w:r>
            <w:r>
              <w:rPr>
                <w:rFonts w:hint="default"/>
                <w:color w:val="auto"/>
                <w:highlight w:val="none"/>
                <w:lang w:val="en-US" w:eastAsia="zh-CN"/>
              </w:rPr>
              <w:t>图</w:t>
            </w:r>
            <w:r>
              <w:rPr>
                <w:rFonts w:hint="eastAsia"/>
                <w:color w:val="auto"/>
                <w:highlight w:val="none"/>
                <w:lang w:val="en-US" w:eastAsia="zh-CN"/>
              </w:rPr>
              <w:t>1</w:t>
            </w:r>
            <w:r>
              <w:rPr>
                <w:rFonts w:hint="default"/>
                <w:color w:val="auto"/>
                <w:highlight w:val="none"/>
                <w:lang w:val="en-US" w:eastAsia="zh-CN"/>
              </w:rPr>
              <w:t>。</w:t>
            </w:r>
          </w:p>
          <w:p>
            <w:pPr>
              <w:keepNext w:val="0"/>
              <w:keepLines w:val="0"/>
              <w:pageBreakBefore w:val="0"/>
              <w:numPr>
                <w:ilvl w:val="0"/>
                <w:numId w:val="0"/>
              </w:numPr>
              <w:kinsoku/>
              <w:wordWrap/>
              <w:overflowPunct/>
              <w:topLinePunct w:val="0"/>
              <w:autoSpaceDE w:val="0"/>
              <w:autoSpaceDN w:val="0"/>
              <w:bidi w:val="0"/>
              <w:adjustRightInd w:val="0"/>
              <w:snapToGrid w:val="0"/>
              <w:spacing w:line="500" w:lineRule="exact"/>
              <w:jc w:val="both"/>
              <w:textAlignment w:val="auto"/>
              <w:rPr>
                <w:rFonts w:hint="default" w:ascii="Times New Roman" w:hAnsi="Times New Roman" w:cs="Times New Roman"/>
                <w:b/>
                <w:bCs/>
                <w:color w:val="auto"/>
                <w:kern w:val="0"/>
                <w:sz w:val="24"/>
                <w:szCs w:val="24"/>
                <w:highlight w:val="none"/>
                <w:lang w:val="en-US" w:eastAsia="zh-CN"/>
              </w:rPr>
            </w:pPr>
            <w:r>
              <w:rPr>
                <w:rFonts w:hint="eastAsia" w:ascii="Times New Roman" w:hAnsi="Times New Roman" w:cs="Times New Roman"/>
                <w:b/>
                <w:bCs/>
                <w:color w:val="auto"/>
                <w:kern w:val="0"/>
                <w:sz w:val="24"/>
                <w:szCs w:val="24"/>
                <w:highlight w:val="none"/>
                <w:lang w:val="en-US" w:eastAsia="zh-CN"/>
              </w:rPr>
              <w:t>1.</w:t>
            </w:r>
            <w:r>
              <w:rPr>
                <w:rFonts w:hint="default" w:ascii="Times New Roman" w:hAnsi="Times New Roman" w:cs="Times New Roman"/>
                <w:b/>
                <w:bCs/>
                <w:color w:val="auto"/>
                <w:kern w:val="0"/>
                <w:sz w:val="24"/>
                <w:szCs w:val="24"/>
                <w:highlight w:val="none"/>
                <w:lang w:val="en-US" w:eastAsia="zh-CN"/>
              </w:rPr>
              <w:t>2规划环评符合性分析</w:t>
            </w:r>
          </w:p>
          <w:p>
            <w:pPr>
              <w:keepNext w:val="0"/>
              <w:keepLines w:val="0"/>
              <w:pageBreakBefore w:val="0"/>
              <w:widowControl/>
              <w:suppressLineNumbers w:val="0"/>
              <w:kinsoku/>
              <w:wordWrap/>
              <w:overflowPunct/>
              <w:topLinePunct w:val="0"/>
              <w:bidi w:val="0"/>
              <w:spacing w:line="500" w:lineRule="exact"/>
              <w:ind w:firstLine="480" w:firstLineChars="200"/>
              <w:jc w:val="both"/>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项目与</w:t>
            </w:r>
            <w:r>
              <w:rPr>
                <w:rFonts w:hint="default"/>
                <w:color w:val="auto"/>
                <w:lang w:val="en-US" w:eastAsia="zh-CN"/>
              </w:rPr>
              <w:t>《和硕县多式联运产业物流园区总体规划</w:t>
            </w:r>
            <w:r>
              <w:rPr>
                <w:rFonts w:hint="eastAsia"/>
                <w:color w:val="auto"/>
                <w:lang w:val="en-US" w:eastAsia="zh-CN"/>
              </w:rPr>
              <w:t>（</w:t>
            </w:r>
            <w:r>
              <w:rPr>
                <w:rFonts w:hint="default"/>
                <w:color w:val="auto"/>
                <w:lang w:val="en-US" w:eastAsia="zh-CN"/>
              </w:rPr>
              <w:t>2018-2030年</w:t>
            </w:r>
            <w:r>
              <w:rPr>
                <w:rFonts w:hint="eastAsia"/>
                <w:color w:val="auto"/>
                <w:lang w:val="en-US" w:eastAsia="zh-CN"/>
              </w:rPr>
              <w:t>）》《</w:t>
            </w:r>
            <w:r>
              <w:rPr>
                <w:rFonts w:hint="default" w:ascii="Times New Roman" w:hAnsi="Times New Roman" w:eastAsia="宋体" w:cs="Times New Roman"/>
                <w:color w:val="auto"/>
                <w:kern w:val="0"/>
                <w:sz w:val="24"/>
                <w:szCs w:val="24"/>
                <w:highlight w:val="none"/>
                <w:lang w:val="en-US" w:eastAsia="zh-CN"/>
              </w:rPr>
              <w:t>和硕县</w:t>
            </w:r>
            <w:r>
              <w:rPr>
                <w:rFonts w:hint="eastAsia" w:ascii="Times New Roman" w:hAnsi="Times New Roman" w:eastAsia="宋体" w:cs="Times New Roman"/>
                <w:color w:val="auto"/>
                <w:kern w:val="0"/>
                <w:sz w:val="24"/>
                <w:szCs w:val="24"/>
                <w:highlight w:val="none"/>
                <w:lang w:val="en-US" w:eastAsia="zh-CN"/>
              </w:rPr>
              <w:t>多式联运产业物流园区</w:t>
            </w:r>
            <w:r>
              <w:rPr>
                <w:rFonts w:hint="default" w:ascii="Times New Roman" w:hAnsi="Times New Roman" w:eastAsia="宋体" w:cs="Times New Roman"/>
                <w:color w:val="auto"/>
                <w:kern w:val="0"/>
                <w:sz w:val="24"/>
                <w:szCs w:val="24"/>
                <w:highlight w:val="none"/>
                <w:lang w:val="en-US" w:eastAsia="zh-CN"/>
              </w:rPr>
              <w:t>总体规划环境影响报告书》</w:t>
            </w:r>
            <w:r>
              <w:rPr>
                <w:rFonts w:hint="eastAsia" w:ascii="Times New Roman" w:hAnsi="Times New Roman" w:eastAsia="宋体" w:cs="Times New Roman"/>
                <w:color w:val="auto"/>
                <w:kern w:val="0"/>
                <w:sz w:val="24"/>
                <w:szCs w:val="24"/>
                <w:highlight w:val="none"/>
                <w:lang w:val="en-US" w:eastAsia="zh-CN"/>
              </w:rPr>
              <w:t>及审查意见的符合性</w:t>
            </w:r>
            <w:r>
              <w:rPr>
                <w:rFonts w:hint="default" w:ascii="Times New Roman" w:hAnsi="Times New Roman" w:eastAsia="宋体" w:cs="Times New Roman"/>
                <w:color w:val="auto"/>
                <w:kern w:val="0"/>
                <w:sz w:val="24"/>
                <w:szCs w:val="24"/>
                <w:highlight w:val="none"/>
                <w:lang w:val="en-US" w:eastAsia="zh-CN"/>
              </w:rPr>
              <w:t>见表1</w:t>
            </w:r>
            <w:r>
              <w:rPr>
                <w:rFonts w:hint="eastAsia" w:cs="Times New Roman"/>
                <w:color w:val="auto"/>
                <w:kern w:val="0"/>
                <w:sz w:val="24"/>
                <w:szCs w:val="24"/>
                <w:highlight w:val="none"/>
                <w:lang w:val="en-US" w:eastAsia="zh-CN"/>
              </w:rPr>
              <w:t>.2</w:t>
            </w:r>
            <w:r>
              <w:rPr>
                <w:rFonts w:hint="default" w:ascii="Times New Roman" w:hAnsi="Times New Roman" w:eastAsia="宋体" w:cs="Times New Roman"/>
                <w:color w:val="auto"/>
                <w:kern w:val="0"/>
                <w:sz w:val="24"/>
                <w:szCs w:val="24"/>
                <w:highlight w:val="none"/>
                <w:lang w:val="en-US" w:eastAsia="zh-CN"/>
              </w:rPr>
              <w:t>-1。</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lang w:val="en-US" w:eastAsia="zh-CN" w:bidi="ar"/>
              </w:rPr>
            </w:pPr>
            <w:r>
              <w:rPr>
                <w:rFonts w:hint="eastAsia" w:ascii="Times New Roman" w:hAnsi="Times New Roman" w:eastAsia="宋体" w:cs="Times New Roman"/>
                <w:b/>
                <w:bCs/>
                <w:color w:val="auto"/>
                <w:sz w:val="21"/>
                <w:szCs w:val="21"/>
                <w:lang w:val="en-US" w:eastAsia="zh-CN"/>
              </w:rPr>
              <w:t>表1.2-1   项目与规划、规划环评及其审查意见符合性分析表</w:t>
            </w:r>
          </w:p>
          <w:tbl>
            <w:tblPr>
              <w:tblStyle w:val="2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2"/>
              <w:gridCol w:w="2422"/>
              <w:gridCol w:w="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pct"/>
                  <w:noWrap w:val="0"/>
                  <w:vAlign w:val="center"/>
                </w:tcPr>
                <w:p>
                  <w:pPr>
                    <w:pStyle w:val="5"/>
                    <w:bidi w:val="0"/>
                    <w:spacing w:line="240" w:lineRule="auto"/>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规划环评及审查意见相关要求</w:t>
                  </w:r>
                </w:p>
              </w:tc>
              <w:tc>
                <w:tcPr>
                  <w:tcW w:w="1643" w:type="pct"/>
                  <w:noWrap w:val="0"/>
                  <w:vAlign w:val="center"/>
                </w:tcPr>
                <w:p>
                  <w:pPr>
                    <w:pStyle w:val="5"/>
                    <w:bidi w:val="0"/>
                    <w:spacing w:line="240" w:lineRule="auto"/>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本项目情况</w:t>
                  </w:r>
                </w:p>
              </w:tc>
              <w:tc>
                <w:tcPr>
                  <w:tcW w:w="295" w:type="pct"/>
                  <w:noWrap w:val="0"/>
                  <w:vAlign w:val="center"/>
                </w:tcPr>
                <w:p>
                  <w:pPr>
                    <w:pStyle w:val="5"/>
                    <w:bidi w:val="0"/>
                    <w:spacing w:line="240" w:lineRule="auto"/>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pct"/>
                  <w:noWrap w:val="0"/>
                  <w:vAlign w:val="center"/>
                </w:tcPr>
                <w:p>
                  <w:pPr>
                    <w:pStyle w:val="5"/>
                    <w:keepNext/>
                    <w:keepLines/>
                    <w:pageBreakBefore w:val="0"/>
                    <w:widowControl w:val="0"/>
                    <w:kinsoku/>
                    <w:wordWrap/>
                    <w:overflowPunct/>
                    <w:topLinePunct w:val="0"/>
                    <w:autoSpaceDE/>
                    <w:autoSpaceDN/>
                    <w:bidi w:val="0"/>
                    <w:adjustRightInd w:val="0"/>
                    <w:snapToGrid w:val="0"/>
                    <w:spacing w:before="0" w:after="0" w:line="240" w:lineRule="auto"/>
                    <w:jc w:val="both"/>
                    <w:textAlignment w:val="auto"/>
                    <w:rPr>
                      <w:rFonts w:hint="default"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b w:val="0"/>
                      <w:bCs w:val="0"/>
                      <w:color w:val="auto"/>
                      <w:sz w:val="21"/>
                      <w:szCs w:val="21"/>
                      <w:highlight w:val="none"/>
                      <w:lang w:val="en-US" w:eastAsia="zh-CN"/>
                    </w:rPr>
                    <w:t>园</w:t>
                  </w:r>
                  <w:r>
                    <w:rPr>
                      <w:rFonts w:hint="default" w:ascii="Times New Roman" w:hAnsi="Times New Roman" w:eastAsia="宋体" w:cs="Times New Roman"/>
                      <w:b w:val="0"/>
                      <w:bCs w:val="0"/>
                      <w:color w:val="auto"/>
                      <w:sz w:val="21"/>
                      <w:szCs w:val="21"/>
                      <w:highlight w:val="none"/>
                      <w:lang w:val="en-US" w:eastAsia="zh-CN"/>
                    </w:rPr>
                    <w:t>区产业定位为</w:t>
                  </w:r>
                  <w:r>
                    <w:rPr>
                      <w:rFonts w:hint="eastAsia"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集加工制造、交易展示为主的特色产业孵化园及集综合运输、物流服务和信息服务等功能于一体的多式联运产业物流园。园区分为三期建设，其中一期建设发展阶段</w:t>
                  </w:r>
                  <w:r>
                    <w:rPr>
                      <w:rFonts w:hint="eastAsia" w:ascii="Times New Roman" w:hAns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2018年8月-2021年12月</w:t>
                  </w:r>
                  <w:r>
                    <w:rPr>
                      <w:rFonts w:hint="eastAsia" w:ascii="Times New Roman" w:hAns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，以建设基础物流设施设备为核心，同时重点建设辣椒、番茄等核心农产品产业区，食品医药产业区、石材产业区，机电及汽车配件产业区，电动车产业区。主要建设内容包括</w:t>
                  </w:r>
                  <w:r>
                    <w:rPr>
                      <w:rFonts w:hint="eastAsia" w:ascii="Times New Roman" w:hAns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南侧铁路专运线和车站综合仓储区，多式联运区，保税区，城市配送区，转运加工区，综合商务区，公路港，生活配套区，辣椒产业加工区辣椒产业仓储区，番茄产业加工区，番茄产业仓储区，石材仓储区，机电及汽车配件产业区，机电及汽车配件仓储区电动车仓储区，电动车产业区、食品加工区、食品仓储区</w:t>
                  </w:r>
                  <w:r>
                    <w:rPr>
                      <w:rFonts w:hint="eastAsia" w:ascii="Times New Roman" w:hAns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医药产业聚集区、医药仓储区，同时引进南华化工厂入驻园区西北角地块</w:t>
                  </w:r>
                  <w:r>
                    <w:rPr>
                      <w:rFonts w:hint="eastAsia" w:ascii="Times New Roman" w:hAns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期末园区交易量达到800万吨，交易额达到240亿元，货运量达到800万吨，仓储量达到860万吨。</w:t>
                  </w:r>
                </w:p>
              </w:tc>
              <w:tc>
                <w:tcPr>
                  <w:tcW w:w="1643" w:type="pct"/>
                  <w:noWrap w:val="0"/>
                  <w:vAlign w:val="center"/>
                </w:tcPr>
                <w:p>
                  <w:pPr>
                    <w:pStyle w:val="5"/>
                    <w:keepNext/>
                    <w:keepLines/>
                    <w:pageBreakBefore w:val="0"/>
                    <w:widowControl w:val="0"/>
                    <w:kinsoku/>
                    <w:wordWrap/>
                    <w:overflowPunct/>
                    <w:topLinePunct w:val="0"/>
                    <w:autoSpaceDE/>
                    <w:autoSpaceDN/>
                    <w:bidi w:val="0"/>
                    <w:adjustRightInd w:val="0"/>
                    <w:snapToGrid w:val="0"/>
                    <w:spacing w:before="0" w:after="0" w:line="240" w:lineRule="auto"/>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项目位于</w:t>
                  </w:r>
                  <w:r>
                    <w:rPr>
                      <w:rFonts w:hint="default" w:ascii="Times New Roman" w:hAnsi="Times New Roman" w:eastAsia="宋体" w:cs="Times New Roman"/>
                      <w:b w:val="0"/>
                      <w:bCs w:val="0"/>
                      <w:color w:val="auto"/>
                      <w:sz w:val="21"/>
                      <w:szCs w:val="21"/>
                      <w:highlight w:val="none"/>
                      <w:lang w:val="en-US" w:eastAsia="zh-CN"/>
                    </w:rPr>
                    <w:t>和硕县</w:t>
                  </w:r>
                  <w:r>
                    <w:rPr>
                      <w:rFonts w:hint="eastAsia" w:ascii="Times New Roman" w:hAnsi="Times New Roman" w:eastAsia="宋体" w:cs="Times New Roman"/>
                      <w:b w:val="0"/>
                      <w:bCs w:val="0"/>
                      <w:color w:val="auto"/>
                      <w:sz w:val="21"/>
                      <w:szCs w:val="21"/>
                      <w:highlight w:val="none"/>
                      <w:lang w:val="en-US" w:eastAsia="zh-CN"/>
                    </w:rPr>
                    <w:t>多式联运产业物流园农产品产业区</w:t>
                  </w:r>
                  <w:r>
                    <w:rPr>
                      <w:rFonts w:hint="default" w:ascii="Times New Roman" w:hAnsi="Times New Roman" w:eastAsia="宋体" w:cs="Times New Roman"/>
                      <w:b w:val="0"/>
                      <w:bCs w:val="0"/>
                      <w:color w:val="auto"/>
                      <w:sz w:val="21"/>
                      <w:szCs w:val="21"/>
                      <w:highlight w:val="none"/>
                    </w:rPr>
                    <w:t>，</w:t>
                  </w:r>
                  <w:r>
                    <w:rPr>
                      <w:rFonts w:hint="default" w:ascii="Times New Roman" w:hAnsi="Times New Roman" w:eastAsia="宋体" w:cs="Times New Roman"/>
                      <w:b w:val="0"/>
                      <w:bCs w:val="0"/>
                      <w:color w:val="auto"/>
                      <w:sz w:val="21"/>
                      <w:szCs w:val="21"/>
                      <w:highlight w:val="none"/>
                      <w:lang w:val="en-US" w:eastAsia="zh-CN"/>
                    </w:rPr>
                    <w:t>符合园区规划用地布局，属于</w:t>
                  </w:r>
                  <w:r>
                    <w:rPr>
                      <w:rFonts w:hint="eastAsia" w:ascii="Times New Roman" w:hAnsi="Times New Roman" w:eastAsia="宋体" w:cs="Times New Roman"/>
                      <w:b w:val="0"/>
                      <w:bCs w:val="0"/>
                      <w:color w:val="auto"/>
                      <w:sz w:val="21"/>
                      <w:szCs w:val="21"/>
                      <w:highlight w:val="none"/>
                      <w:lang w:val="en-US" w:eastAsia="zh-CN"/>
                    </w:rPr>
                    <w:t>辣椒产业加工</w:t>
                  </w:r>
                  <w:r>
                    <w:rPr>
                      <w:rFonts w:hint="default" w:ascii="Times New Roman" w:hAnsi="Times New Roman" w:eastAsia="宋体" w:cs="Times New Roman"/>
                      <w:b w:val="0"/>
                      <w:bCs w:val="0"/>
                      <w:color w:val="auto"/>
                      <w:sz w:val="21"/>
                      <w:szCs w:val="21"/>
                      <w:highlight w:val="none"/>
                      <w:lang w:val="en-US" w:eastAsia="zh-CN"/>
                    </w:rPr>
                    <w:t>，符合规划产业发展。</w:t>
                  </w:r>
                </w:p>
              </w:tc>
              <w:tc>
                <w:tcPr>
                  <w:tcW w:w="295" w:type="pct"/>
                  <w:noWrap w:val="0"/>
                  <w:vAlign w:val="center"/>
                </w:tcPr>
                <w:p>
                  <w:pPr>
                    <w:pStyle w:val="5"/>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pct"/>
                  <w:noWrap w:val="0"/>
                  <w:vAlign w:val="center"/>
                </w:tcPr>
                <w:p>
                  <w:pPr>
                    <w:pStyle w:val="5"/>
                    <w:keepNext/>
                    <w:keepLines/>
                    <w:pageBreakBefore w:val="0"/>
                    <w:widowControl w:val="0"/>
                    <w:kinsoku/>
                    <w:wordWrap/>
                    <w:overflowPunct/>
                    <w:topLinePunct w:val="0"/>
                    <w:autoSpaceDE/>
                    <w:autoSpaceDN/>
                    <w:bidi w:val="0"/>
                    <w:adjustRightInd w:val="0"/>
                    <w:snapToGrid w:val="0"/>
                    <w:spacing w:before="0" w:after="0" w:line="240" w:lineRule="auto"/>
                    <w:jc w:val="both"/>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pacing w:val="-11"/>
                      <w:sz w:val="21"/>
                      <w:szCs w:val="21"/>
                      <w:highlight w:val="none"/>
                      <w:lang w:val="en-US" w:eastAsia="zh-CN"/>
                    </w:rPr>
                    <w:t>园区排水采用雨污分流制，污水集中处理、中水尽量回用。雨、雪水就近排入绿地和荒漠，浇灌树木或绿化带</w:t>
                  </w:r>
                  <w:r>
                    <w:rPr>
                      <w:rFonts w:hint="eastAsia" w:ascii="Times New Roman" w:hAnsi="Times New Roman" w:cs="Times New Roman"/>
                      <w:b w:val="0"/>
                      <w:bCs w:val="0"/>
                      <w:color w:val="auto"/>
                      <w:spacing w:val="-11"/>
                      <w:sz w:val="21"/>
                      <w:szCs w:val="21"/>
                      <w:highlight w:val="none"/>
                      <w:lang w:val="en-US" w:eastAsia="zh-CN"/>
                    </w:rPr>
                    <w:t>：</w:t>
                  </w:r>
                  <w:r>
                    <w:rPr>
                      <w:rFonts w:hint="default" w:ascii="Times New Roman" w:hAnsi="Times New Roman" w:eastAsia="宋体" w:cs="Times New Roman"/>
                      <w:b w:val="0"/>
                      <w:bCs w:val="0"/>
                      <w:color w:val="auto"/>
                      <w:spacing w:val="-11"/>
                      <w:sz w:val="21"/>
                      <w:szCs w:val="21"/>
                      <w:highlight w:val="none"/>
                      <w:lang w:val="en-US" w:eastAsia="zh-CN"/>
                    </w:rPr>
                    <w:t>生活污水和工业废水</w:t>
                  </w:r>
                  <w:r>
                    <w:rPr>
                      <w:rFonts w:hint="eastAsia" w:ascii="Times New Roman" w:hAnsi="Times New Roman" w:eastAsia="宋体" w:cs="Times New Roman"/>
                      <w:b w:val="0"/>
                      <w:bCs w:val="0"/>
                      <w:color w:val="auto"/>
                      <w:spacing w:val="-11"/>
                      <w:sz w:val="21"/>
                      <w:szCs w:val="21"/>
                      <w:highlight w:val="none"/>
                      <w:lang w:val="en-US" w:eastAsia="zh-CN"/>
                    </w:rPr>
                    <w:t>（</w:t>
                  </w:r>
                  <w:r>
                    <w:rPr>
                      <w:rFonts w:hint="default" w:ascii="Times New Roman" w:hAnsi="Times New Roman" w:eastAsia="宋体" w:cs="Times New Roman"/>
                      <w:b w:val="0"/>
                      <w:bCs w:val="0"/>
                      <w:color w:val="auto"/>
                      <w:spacing w:val="-11"/>
                      <w:sz w:val="21"/>
                      <w:szCs w:val="21"/>
                      <w:highlight w:val="none"/>
                      <w:lang w:val="en-US" w:eastAsia="zh-CN"/>
                    </w:rPr>
                    <w:t>工业废水应在厂区内处理达到《污水综合排放标准》GB8978-1996三级排放标准</w:t>
                  </w:r>
                  <w:r>
                    <w:rPr>
                      <w:rFonts w:hint="eastAsia" w:ascii="Times New Roman" w:hAnsi="Times New Roman" w:eastAsia="宋体" w:cs="Times New Roman"/>
                      <w:b w:val="0"/>
                      <w:bCs w:val="0"/>
                      <w:color w:val="auto"/>
                      <w:spacing w:val="-11"/>
                      <w:sz w:val="21"/>
                      <w:szCs w:val="21"/>
                      <w:highlight w:val="none"/>
                      <w:lang w:val="en-US" w:eastAsia="zh-CN"/>
                    </w:rPr>
                    <w:t>）</w:t>
                  </w:r>
                  <w:r>
                    <w:rPr>
                      <w:rFonts w:hint="default" w:ascii="Times New Roman" w:hAnsi="Times New Roman" w:eastAsia="宋体" w:cs="Times New Roman"/>
                      <w:b w:val="0"/>
                      <w:bCs w:val="0"/>
                      <w:color w:val="auto"/>
                      <w:spacing w:val="-11"/>
                      <w:sz w:val="21"/>
                      <w:szCs w:val="21"/>
                      <w:highlight w:val="none"/>
                      <w:lang w:val="en-US" w:eastAsia="zh-CN"/>
                    </w:rPr>
                    <w:t>后，通过园区排水管道排入工业园区西南侧的污水处理厂</w:t>
                  </w:r>
                  <w:r>
                    <w:rPr>
                      <w:rFonts w:hint="eastAsia" w:ascii="Times New Roman" w:hAnsi="Times New Roman" w:eastAsia="宋体" w:cs="Times New Roman"/>
                      <w:b w:val="0"/>
                      <w:bCs w:val="0"/>
                      <w:color w:val="auto"/>
                      <w:spacing w:val="-11"/>
                      <w:sz w:val="21"/>
                      <w:szCs w:val="21"/>
                      <w:highlight w:val="none"/>
                      <w:lang w:val="en-US" w:eastAsia="zh-CN"/>
                    </w:rPr>
                    <w:t>。</w:t>
                  </w:r>
                  <w:r>
                    <w:rPr>
                      <w:rFonts w:hint="default" w:ascii="Times New Roman" w:hAnsi="Times New Roman" w:eastAsia="宋体" w:cs="Times New Roman"/>
                      <w:b w:val="0"/>
                      <w:bCs w:val="0"/>
                      <w:color w:val="auto"/>
                      <w:spacing w:val="-11"/>
                      <w:sz w:val="21"/>
                      <w:szCs w:val="21"/>
                      <w:highlight w:val="none"/>
                      <w:lang w:val="en-US" w:eastAsia="zh-CN"/>
                    </w:rPr>
                    <w:t>近期，由于入驻企业较少，新建污水处理厂由于运行负荷过低，难以持续运行，将园区污水集中收集后，通过和硕县城排水管网排入和硕县污水处理厂，处理达到《城镇污水处理厂污染物排放标准》</w:t>
                  </w:r>
                  <w:r>
                    <w:rPr>
                      <w:rFonts w:hint="eastAsia" w:ascii="Times New Roman" w:hAnsi="Times New Roman" w:eastAsia="宋体" w:cs="Times New Roman"/>
                      <w:b w:val="0"/>
                      <w:bCs w:val="0"/>
                      <w:color w:val="auto"/>
                      <w:spacing w:val="-11"/>
                      <w:sz w:val="21"/>
                      <w:szCs w:val="21"/>
                      <w:highlight w:val="none"/>
                      <w:lang w:val="en-US" w:eastAsia="zh-CN"/>
                    </w:rPr>
                    <w:t>（</w:t>
                  </w:r>
                  <w:r>
                    <w:rPr>
                      <w:rFonts w:hint="default" w:ascii="Times New Roman" w:hAnsi="Times New Roman" w:eastAsia="宋体" w:cs="Times New Roman"/>
                      <w:b w:val="0"/>
                      <w:bCs w:val="0"/>
                      <w:color w:val="auto"/>
                      <w:spacing w:val="-11"/>
                      <w:sz w:val="21"/>
                      <w:szCs w:val="21"/>
                      <w:highlight w:val="none"/>
                      <w:lang w:val="en-US" w:eastAsia="zh-CN"/>
                    </w:rPr>
                    <w:t>GB18918-2002</w:t>
                  </w:r>
                  <w:r>
                    <w:rPr>
                      <w:rFonts w:hint="eastAsia" w:ascii="Times New Roman" w:hAnsi="Times New Roman" w:eastAsia="宋体" w:cs="Times New Roman"/>
                      <w:b w:val="0"/>
                      <w:bCs w:val="0"/>
                      <w:color w:val="auto"/>
                      <w:spacing w:val="-11"/>
                      <w:sz w:val="21"/>
                      <w:szCs w:val="21"/>
                      <w:highlight w:val="none"/>
                      <w:lang w:val="en-US" w:eastAsia="zh-CN"/>
                    </w:rPr>
                    <w:t>）</w:t>
                  </w:r>
                  <w:r>
                    <w:rPr>
                      <w:rFonts w:hint="default" w:ascii="Times New Roman" w:hAnsi="Times New Roman" w:eastAsia="宋体" w:cs="Times New Roman"/>
                      <w:b w:val="0"/>
                      <w:bCs w:val="0"/>
                      <w:color w:val="auto"/>
                      <w:spacing w:val="-11"/>
                      <w:sz w:val="21"/>
                      <w:szCs w:val="21"/>
                      <w:highlight w:val="none"/>
                      <w:lang w:val="en-US" w:eastAsia="zh-CN"/>
                    </w:rPr>
                    <w:t>中的一级A标准，除绿化使用外，多余尾水排入新塔热乡布茨恩查干村城镇污水处理及工业尾水和低浓度农田排水人工湿地深度处理工程</w:t>
                  </w:r>
                  <w:r>
                    <w:rPr>
                      <w:rFonts w:hint="eastAsia" w:ascii="Times New Roman" w:hAnsi="Times New Roman" w:cs="Times New Roman"/>
                      <w:b w:val="0"/>
                      <w:bCs w:val="0"/>
                      <w:color w:val="auto"/>
                      <w:spacing w:val="-11"/>
                      <w:sz w:val="21"/>
                      <w:szCs w:val="21"/>
                      <w:highlight w:val="none"/>
                      <w:lang w:val="en-US" w:eastAsia="zh-CN"/>
                    </w:rPr>
                    <w:t>。</w:t>
                  </w:r>
                </w:p>
              </w:tc>
              <w:tc>
                <w:tcPr>
                  <w:tcW w:w="1643" w:type="pct"/>
                  <w:noWrap w:val="0"/>
                  <w:vAlign w:val="center"/>
                </w:tcPr>
                <w:p>
                  <w:pPr>
                    <w:pStyle w:val="5"/>
                    <w:keepNext/>
                    <w:keepLines/>
                    <w:pageBreakBefore w:val="0"/>
                    <w:widowControl w:val="0"/>
                    <w:kinsoku/>
                    <w:wordWrap/>
                    <w:overflowPunct/>
                    <w:topLinePunct w:val="0"/>
                    <w:autoSpaceDE/>
                    <w:autoSpaceDN/>
                    <w:bidi w:val="0"/>
                    <w:adjustRightInd w:val="0"/>
                    <w:snapToGrid w:val="0"/>
                    <w:spacing w:before="0" w:after="0" w:line="240" w:lineRule="auto"/>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本</w:t>
                  </w:r>
                  <w:r>
                    <w:rPr>
                      <w:rFonts w:hint="default" w:ascii="Times New Roman" w:hAnsi="Times New Roman" w:eastAsia="宋体" w:cs="Times New Roman"/>
                      <w:b w:val="0"/>
                      <w:bCs w:val="0"/>
                      <w:color w:val="auto"/>
                      <w:sz w:val="21"/>
                      <w:szCs w:val="21"/>
                      <w:highlight w:val="none"/>
                      <w:lang w:val="en-US" w:eastAsia="zh-CN"/>
                    </w:rPr>
                    <w:t>项目</w:t>
                  </w:r>
                  <w:r>
                    <w:rPr>
                      <w:rFonts w:hint="eastAsia" w:ascii="Times New Roman" w:hAnsi="Times New Roman" w:eastAsia="宋体" w:cs="Times New Roman"/>
                      <w:b w:val="0"/>
                      <w:bCs w:val="0"/>
                      <w:color w:val="auto"/>
                      <w:sz w:val="21"/>
                      <w:szCs w:val="21"/>
                      <w:highlight w:val="none"/>
                      <w:lang w:val="en-US" w:eastAsia="zh-CN"/>
                    </w:rPr>
                    <w:t>无生产废水</w:t>
                  </w:r>
                  <w:r>
                    <w:rPr>
                      <w:rFonts w:hint="eastAsia" w:ascii="Times New Roman" w:hAnsi="Times New Roman" w:cs="Times New Roman"/>
                      <w:b w:val="0"/>
                      <w:bCs w:val="0"/>
                      <w:color w:val="auto"/>
                      <w:sz w:val="21"/>
                      <w:szCs w:val="21"/>
                      <w:highlight w:val="none"/>
                      <w:lang w:val="en-US" w:eastAsia="zh-CN"/>
                    </w:rPr>
                    <w:t>，员工不在厂区内食宿，无</w:t>
                  </w:r>
                  <w:r>
                    <w:rPr>
                      <w:rFonts w:hint="eastAsia" w:ascii="Times New Roman" w:hAnsi="Times New Roman" w:eastAsia="宋体" w:cs="Times New Roman"/>
                      <w:b w:val="0"/>
                      <w:bCs w:val="0"/>
                      <w:color w:val="auto"/>
                      <w:sz w:val="21"/>
                      <w:szCs w:val="21"/>
                      <w:highlight w:val="none"/>
                      <w:lang w:val="en-US" w:eastAsia="zh-CN"/>
                    </w:rPr>
                    <w:t>生活污水。</w:t>
                  </w:r>
                </w:p>
              </w:tc>
              <w:tc>
                <w:tcPr>
                  <w:tcW w:w="295" w:type="pct"/>
                  <w:noWrap w:val="0"/>
                  <w:vAlign w:val="center"/>
                </w:tcPr>
                <w:p>
                  <w:pPr>
                    <w:pStyle w:val="5"/>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pct"/>
                  <w:noWrap w:val="0"/>
                  <w:vAlign w:val="center"/>
                </w:tcPr>
                <w:p>
                  <w:pPr>
                    <w:pStyle w:val="5"/>
                    <w:keepNext/>
                    <w:keepLines/>
                    <w:pageBreakBefore w:val="0"/>
                    <w:widowControl w:val="0"/>
                    <w:kinsoku/>
                    <w:wordWrap/>
                    <w:overflowPunct/>
                    <w:topLinePunct w:val="0"/>
                    <w:autoSpaceDE/>
                    <w:autoSpaceDN/>
                    <w:bidi w:val="0"/>
                    <w:adjustRightInd w:val="0"/>
                    <w:snapToGrid w:val="0"/>
                    <w:spacing w:before="0" w:after="0" w:line="240" w:lineRule="auto"/>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一期在辣椒产业仓储区中泰公司建立锅炉房一座，设2台35MW</w:t>
                  </w:r>
                  <w:r>
                    <w:rPr>
                      <w:rFonts w:hint="eastAsia"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50蒸吨</w:t>
                  </w:r>
                  <w:r>
                    <w:rPr>
                      <w:rFonts w:hint="eastAsia"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燃煤热水锅炉，二期增容1台32MW燃煤热水锅炉并扩建相应锅炉房土建规模，三期再增容1台32MW燃煤热水锅炉并扩建相应锅炉房。园区生活垃圾清运分二级，即垃圾收集点--垃圾</w:t>
                  </w:r>
                  <w:r>
                    <w:rPr>
                      <w:rFonts w:hint="eastAsia" w:ascii="Times New Roman" w:hAnsi="Times New Roman" w:cs="Times New Roman"/>
                      <w:b w:val="0"/>
                      <w:bCs w:val="0"/>
                      <w:color w:val="auto"/>
                      <w:sz w:val="21"/>
                      <w:szCs w:val="21"/>
                      <w:highlight w:val="none"/>
                      <w:lang w:val="en-US" w:eastAsia="zh-CN"/>
                    </w:rPr>
                    <w:t>处理厂</w:t>
                  </w:r>
                  <w:r>
                    <w:rPr>
                      <w:rFonts w:hint="default" w:ascii="Times New Roman" w:hAnsi="Times New Roman" w:eastAsia="宋体" w:cs="Times New Roman"/>
                      <w:b w:val="0"/>
                      <w:bCs w:val="0"/>
                      <w:color w:val="auto"/>
                      <w:sz w:val="21"/>
                      <w:szCs w:val="21"/>
                      <w:highlight w:val="none"/>
                      <w:lang w:val="en-US" w:eastAsia="zh-CN"/>
                    </w:rPr>
                    <w:t>。工业垃圾由生产单位进行无害化处理后，运至规划的和硕县一般</w:t>
                  </w:r>
                </w:p>
              </w:tc>
              <w:tc>
                <w:tcPr>
                  <w:tcW w:w="1643" w:type="pct"/>
                  <w:noWrap w:val="0"/>
                  <w:vAlign w:val="center"/>
                </w:tcPr>
                <w:p>
                  <w:pPr>
                    <w:pStyle w:val="5"/>
                    <w:keepNext/>
                    <w:keepLines/>
                    <w:pageBreakBefore w:val="0"/>
                    <w:widowControl w:val="0"/>
                    <w:kinsoku/>
                    <w:wordWrap/>
                    <w:overflowPunct/>
                    <w:topLinePunct w:val="0"/>
                    <w:autoSpaceDE/>
                    <w:autoSpaceDN/>
                    <w:bidi w:val="0"/>
                    <w:adjustRightInd w:val="0"/>
                    <w:snapToGrid w:val="0"/>
                    <w:spacing w:before="0" w:after="0" w:line="240" w:lineRule="auto"/>
                    <w:jc w:val="both"/>
                    <w:textAlignment w:val="auto"/>
                    <w:rPr>
                      <w:rFonts w:hint="default"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b w:val="0"/>
                      <w:bCs w:val="0"/>
                      <w:color w:val="auto"/>
                      <w:sz w:val="21"/>
                      <w:szCs w:val="21"/>
                      <w:highlight w:val="none"/>
                      <w:lang w:val="en-US" w:eastAsia="zh-CN"/>
                    </w:rPr>
                    <w:t>本</w:t>
                  </w:r>
                  <w:r>
                    <w:rPr>
                      <w:rFonts w:hint="default" w:ascii="Times New Roman" w:hAnsi="Times New Roman" w:eastAsia="宋体" w:cs="Times New Roman"/>
                      <w:b w:val="0"/>
                      <w:bCs w:val="0"/>
                      <w:color w:val="auto"/>
                      <w:sz w:val="21"/>
                      <w:szCs w:val="21"/>
                      <w:highlight w:val="none"/>
                    </w:rPr>
                    <w:t>项目</w:t>
                  </w:r>
                  <w:r>
                    <w:rPr>
                      <w:rFonts w:hint="eastAsia" w:ascii="Times New Roman" w:hAnsi="Times New Roman" w:eastAsia="宋体" w:cs="Times New Roman"/>
                      <w:b w:val="0"/>
                      <w:bCs w:val="0"/>
                      <w:color w:val="auto"/>
                      <w:sz w:val="21"/>
                      <w:szCs w:val="21"/>
                      <w:highlight w:val="none"/>
                      <w:lang w:val="en-US" w:eastAsia="zh-CN"/>
                    </w:rPr>
                    <w:t>生产无需供热</w:t>
                  </w:r>
                  <w:r>
                    <w:rPr>
                      <w:rFonts w:hint="default" w:ascii="Times New Roman" w:hAnsi="Times New Roman" w:eastAsia="宋体" w:cs="Times New Roman"/>
                      <w:b w:val="0"/>
                      <w:bCs w:val="0"/>
                      <w:color w:val="auto"/>
                      <w:sz w:val="21"/>
                      <w:szCs w:val="21"/>
                      <w:highlight w:val="none"/>
                    </w:rPr>
                    <w:t>，</w:t>
                  </w:r>
                  <w:r>
                    <w:rPr>
                      <w:rFonts w:hint="eastAsia" w:ascii="Times New Roman" w:hAnsi="Times New Roman" w:cs="Times New Roman"/>
                      <w:b w:val="0"/>
                      <w:bCs w:val="0"/>
                      <w:color w:val="auto"/>
                      <w:sz w:val="21"/>
                      <w:szCs w:val="21"/>
                      <w:highlight w:val="none"/>
                      <w:lang w:val="en-US" w:eastAsia="zh-CN"/>
                    </w:rPr>
                    <w:t>员工不在厂区内食宿，无生活垃圾</w:t>
                  </w:r>
                  <w:r>
                    <w:rPr>
                      <w:rFonts w:hint="default" w:ascii="Times New Roman" w:hAnsi="Times New Roman" w:eastAsia="宋体" w:cs="Times New Roman"/>
                      <w:b w:val="0"/>
                      <w:bCs w:val="0"/>
                      <w:color w:val="auto"/>
                      <w:sz w:val="21"/>
                      <w:szCs w:val="21"/>
                      <w:highlight w:val="none"/>
                    </w:rPr>
                    <w:t>。</w:t>
                  </w:r>
                </w:p>
              </w:tc>
              <w:tc>
                <w:tcPr>
                  <w:tcW w:w="295" w:type="pct"/>
                  <w:noWrap w:val="0"/>
                  <w:vAlign w:val="center"/>
                </w:tcPr>
                <w:p>
                  <w:pPr>
                    <w:pStyle w:val="5"/>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pct"/>
                  <w:noWrap w:val="0"/>
                  <w:vAlign w:val="center"/>
                </w:tcPr>
                <w:p>
                  <w:pPr>
                    <w:pStyle w:val="5"/>
                    <w:keepNext/>
                    <w:keepLines/>
                    <w:pageBreakBefore w:val="0"/>
                    <w:widowControl w:val="0"/>
                    <w:kinsoku/>
                    <w:wordWrap/>
                    <w:overflowPunct/>
                    <w:topLinePunct w:val="0"/>
                    <w:autoSpaceDE/>
                    <w:autoSpaceDN/>
                    <w:bidi w:val="0"/>
                    <w:adjustRightInd w:val="0"/>
                    <w:snapToGrid w:val="0"/>
                    <w:spacing w:before="0" w:after="0" w:line="240" w:lineRule="auto"/>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园区入驻企业应以促进形成循环经济链条的产业为主，优先考虑水资源平衡，严格环境准入，对于规划农副产品加工、医药及食品产业、石材及建材产业等项目应采用先进技术工艺，提高环保标准，严格控制废水、废气、噪声排放，确保园区整体清洁生产水平达到国内先进水平，单位产品水耗、废水处理效率及回用率等用水方面达到国际先进水平。</w:t>
                  </w:r>
                </w:p>
              </w:tc>
              <w:tc>
                <w:tcPr>
                  <w:tcW w:w="1643" w:type="pct"/>
                  <w:noWrap w:val="0"/>
                  <w:vAlign w:val="center"/>
                </w:tcPr>
                <w:p>
                  <w:pPr>
                    <w:pStyle w:val="5"/>
                    <w:keepNext/>
                    <w:keepLines/>
                    <w:pageBreakBefore w:val="0"/>
                    <w:widowControl w:val="0"/>
                    <w:kinsoku/>
                    <w:wordWrap/>
                    <w:overflowPunct/>
                    <w:topLinePunct w:val="0"/>
                    <w:autoSpaceDE/>
                    <w:autoSpaceDN/>
                    <w:bidi w:val="0"/>
                    <w:adjustRightInd w:val="0"/>
                    <w:snapToGrid w:val="0"/>
                    <w:spacing w:before="0" w:after="0" w:line="240" w:lineRule="auto"/>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本项目</w:t>
                  </w:r>
                  <w:r>
                    <w:rPr>
                      <w:rFonts w:hint="eastAsia" w:ascii="Times New Roman" w:hAnsi="Times New Roman" w:cs="Times New Roman"/>
                      <w:b w:val="0"/>
                      <w:bCs w:val="0"/>
                      <w:color w:val="auto"/>
                      <w:sz w:val="21"/>
                      <w:szCs w:val="21"/>
                      <w:highlight w:val="none"/>
                      <w:lang w:val="en-US" w:eastAsia="zh-CN"/>
                    </w:rPr>
                    <w:t>废气采用布袋除尘器进行处理，</w:t>
                  </w:r>
                  <w:r>
                    <w:rPr>
                      <w:rFonts w:hint="eastAsia" w:ascii="Times New Roman" w:hAnsi="Times New Roman" w:eastAsia="宋体" w:cs="Times New Roman"/>
                      <w:b w:val="0"/>
                      <w:bCs w:val="0"/>
                      <w:color w:val="auto"/>
                      <w:sz w:val="21"/>
                      <w:szCs w:val="21"/>
                      <w:highlight w:val="none"/>
                      <w:lang w:val="en-US" w:eastAsia="zh-CN"/>
                    </w:rPr>
                    <w:t>噪声采取措施为设备布设在封闭厂房内，选用低噪声设备，</w:t>
                  </w:r>
                  <w:r>
                    <w:rPr>
                      <w:rFonts w:hint="eastAsia" w:ascii="Times New Roman" w:hAnsi="Times New Roman" w:cs="Times New Roman"/>
                      <w:b w:val="0"/>
                      <w:bCs w:val="0"/>
                      <w:color w:val="auto"/>
                      <w:sz w:val="21"/>
                      <w:szCs w:val="21"/>
                      <w:highlight w:val="none"/>
                      <w:lang w:val="en-US" w:eastAsia="zh-CN"/>
                    </w:rPr>
                    <w:t>员工不在厂区内食宿，无</w:t>
                  </w:r>
                  <w:r>
                    <w:rPr>
                      <w:rFonts w:hint="eastAsia" w:ascii="Times New Roman" w:hAnsi="Times New Roman" w:eastAsia="宋体" w:cs="Times New Roman"/>
                      <w:b w:val="0"/>
                      <w:bCs w:val="0"/>
                      <w:color w:val="auto"/>
                      <w:sz w:val="21"/>
                      <w:szCs w:val="21"/>
                      <w:highlight w:val="none"/>
                      <w:lang w:val="en-US" w:eastAsia="zh-CN"/>
                    </w:rPr>
                    <w:t>生活污水。</w:t>
                  </w:r>
                </w:p>
              </w:tc>
              <w:tc>
                <w:tcPr>
                  <w:tcW w:w="295" w:type="pct"/>
                  <w:noWrap w:val="0"/>
                  <w:vAlign w:val="center"/>
                </w:tcPr>
                <w:p>
                  <w:pPr>
                    <w:pStyle w:val="5"/>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符合</w:t>
                  </w:r>
                </w:p>
              </w:tc>
            </w:tr>
          </w:tbl>
          <w:p>
            <w:pPr>
              <w:pStyle w:val="37"/>
              <w:spacing w:line="360" w:lineRule="auto"/>
              <w:jc w:val="center"/>
              <w:rPr>
                <w:rFonts w:hint="default" w:cs="Times New Roman"/>
                <w:color w:val="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378" w:type="dxa"/>
            <w:vAlign w:val="center"/>
          </w:tcPr>
          <w:p>
            <w:pPr>
              <w:autoSpaceDE w:val="0"/>
              <w:autoSpaceDN w:val="0"/>
              <w:spacing w:line="240" w:lineRule="auto"/>
              <w:jc w:val="center"/>
              <w:rPr>
                <w:rFonts w:hint="default" w:ascii="Times New Roman" w:hAnsi="Times New Roman" w:cs="Times New Roman"/>
                <w:color w:val="auto"/>
              </w:rPr>
            </w:pPr>
            <w:r>
              <w:rPr>
                <w:rFonts w:hint="default" w:ascii="Times New Roman" w:hAnsi="Times New Roman" w:cs="Times New Roman"/>
                <w:color w:val="auto"/>
              </w:rPr>
              <w:t>其他符合性分析</w:t>
            </w:r>
          </w:p>
        </w:tc>
        <w:tc>
          <w:tcPr>
            <w:tcW w:w="8492" w:type="dxa"/>
            <w:gridSpan w:val="5"/>
            <w:vAlign w:val="center"/>
          </w:tcPr>
          <w:p>
            <w:pPr>
              <w:pStyle w:val="2"/>
              <w:ind w:firstLine="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rPr>
              <w:t>项目产业政策符合性分析</w:t>
            </w:r>
          </w:p>
          <w:p>
            <w:pPr>
              <w:autoSpaceDE w:val="0"/>
              <w:autoSpaceDN w:val="0"/>
              <w:ind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w:t>
            </w:r>
            <w:r>
              <w:rPr>
                <w:rFonts w:hint="eastAsia" w:cs="Times New Roman"/>
                <w:color w:val="auto"/>
                <w:sz w:val="24"/>
                <w:szCs w:val="24"/>
                <w:lang w:val="en-US" w:eastAsia="zh-CN"/>
              </w:rPr>
              <w:t>属于食品制造业，</w:t>
            </w:r>
            <w:r>
              <w:rPr>
                <w:rFonts w:hint="default" w:ascii="Times New Roman" w:hAnsi="Times New Roman" w:eastAsia="宋体" w:cs="Times New Roman"/>
                <w:color w:val="auto"/>
                <w:sz w:val="24"/>
                <w:szCs w:val="24"/>
              </w:rPr>
              <w:t>属于《产业结构调整指导目录（2024年本）》中</w:t>
            </w:r>
            <w:r>
              <w:rPr>
                <w:rFonts w:hint="eastAsia" w:cs="Times New Roman"/>
                <w:color w:val="auto"/>
                <w:sz w:val="24"/>
                <w:szCs w:val="24"/>
                <w:lang w:eastAsia="zh-CN"/>
              </w:rPr>
              <w:t>“</w:t>
            </w:r>
            <w:r>
              <w:rPr>
                <w:rFonts w:hint="eastAsia" w:cs="Times New Roman"/>
                <w:color w:val="auto"/>
                <w:sz w:val="24"/>
                <w:szCs w:val="24"/>
                <w:lang w:val="en-US" w:eastAsia="zh-CN"/>
              </w:rPr>
              <w:t>十九、轻工，</w:t>
            </w:r>
            <w:r>
              <w:rPr>
                <w:rFonts w:hint="eastAsia" w:cs="Times New Roman"/>
                <w:color w:val="auto"/>
                <w:sz w:val="24"/>
                <w:szCs w:val="24"/>
                <w:lang w:eastAsia="zh-CN"/>
              </w:rPr>
              <w:t>19．天然食品添加剂、天然香料新技术开发与生产”，</w:t>
            </w:r>
            <w:r>
              <w:rPr>
                <w:rFonts w:hint="eastAsia" w:cs="Times New Roman"/>
                <w:color w:val="auto"/>
                <w:sz w:val="24"/>
                <w:szCs w:val="24"/>
                <w:lang w:val="en-US" w:eastAsia="zh-CN"/>
              </w:rPr>
              <w:t>为</w:t>
            </w:r>
            <w:r>
              <w:rPr>
                <w:rFonts w:hint="default" w:ascii="Times New Roman" w:hAnsi="Times New Roman" w:eastAsia="宋体" w:cs="Times New Roman"/>
                <w:color w:val="auto"/>
                <w:sz w:val="24"/>
                <w:szCs w:val="24"/>
              </w:rPr>
              <w:t>鼓励类项目，符合国家产业政策。</w:t>
            </w:r>
          </w:p>
          <w:p>
            <w:pPr>
              <w:autoSpaceDE w:val="0"/>
              <w:autoSpaceDN w:val="0"/>
              <w:ind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本项目不属于《市场准入负面清单（2025年版）》中禁止准许类或特定条件的许可准入类的负面清单范围。</w:t>
            </w:r>
          </w:p>
          <w:p>
            <w:pPr>
              <w:autoSpaceDE w:val="0"/>
              <w:autoSpaceDN w:val="0"/>
              <w:ind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本项目已取得和</w:t>
            </w:r>
            <w:r>
              <w:rPr>
                <w:rFonts w:hint="eastAsia" w:cs="Times New Roman"/>
                <w:color w:val="auto"/>
                <w:sz w:val="24"/>
                <w:szCs w:val="24"/>
                <w:lang w:val="en-US" w:eastAsia="zh-CN"/>
              </w:rPr>
              <w:t>硕</w:t>
            </w:r>
            <w:r>
              <w:rPr>
                <w:rFonts w:hint="default" w:ascii="Times New Roman" w:hAnsi="Times New Roman" w:eastAsia="宋体" w:cs="Times New Roman"/>
                <w:color w:val="auto"/>
                <w:sz w:val="24"/>
                <w:szCs w:val="24"/>
              </w:rPr>
              <w:t>县发展和改革委员会发放的备案证，备案证号：2511061866652828000107，项目代码：2511-652828-04-01-406960。</w:t>
            </w:r>
          </w:p>
          <w:p>
            <w:pPr>
              <w:autoSpaceDE w:val="0"/>
              <w:autoSpaceDN w:val="0"/>
              <w:ind w:firstLine="480" w:firstLineChars="20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rPr>
              <w:t>因此，本项目符合国家及地方相关产业政策。</w:t>
            </w:r>
          </w:p>
          <w:p>
            <w:pPr>
              <w:pStyle w:val="2"/>
              <w:ind w:firstLine="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r>
              <w:rPr>
                <w:rFonts w:hint="eastAsia" w:cs="Times New Roman"/>
                <w:color w:val="auto"/>
                <w:sz w:val="24"/>
                <w:szCs w:val="24"/>
                <w:lang w:val="en-US" w:eastAsia="zh-CN"/>
              </w:rPr>
              <w:t>4</w:t>
            </w:r>
            <w:r>
              <w:rPr>
                <w:rFonts w:hint="default" w:ascii="Times New Roman" w:hAnsi="Times New Roman" w:eastAsia="宋体" w:cs="Times New Roman"/>
                <w:color w:val="auto"/>
                <w:sz w:val="24"/>
                <w:szCs w:val="24"/>
              </w:rPr>
              <w:t>选址合理性分析</w:t>
            </w:r>
          </w:p>
          <w:p>
            <w:pPr>
              <w:autoSpaceDE w:val="0"/>
              <w:autoSpaceDN w:val="0"/>
              <w:ind w:firstLine="480" w:firstLineChars="200"/>
              <w:jc w:val="both"/>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本项目位于</w:t>
            </w:r>
            <w:r>
              <w:rPr>
                <w:rFonts w:hint="default" w:ascii="Times New Roman" w:hAnsi="Times New Roman" w:eastAsia="宋体" w:cs="Times New Roman"/>
                <w:color w:val="auto"/>
                <w:lang w:val="en-US" w:eastAsia="zh-CN"/>
              </w:rPr>
              <w:t>和硕县多式联运产业物流园区内</w:t>
            </w:r>
            <w:r>
              <w:rPr>
                <w:rFonts w:hint="eastAsia" w:cs="Times New Roman"/>
                <w:color w:val="auto"/>
                <w:lang w:val="en-US" w:eastAsia="zh-CN"/>
              </w:rPr>
              <w:t>，距离人民政府西北侧约9公里</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占地面积</w:t>
            </w:r>
            <w:r>
              <w:rPr>
                <w:rFonts w:hint="eastAsia" w:cs="Times New Roman"/>
                <w:color w:val="auto"/>
                <w:sz w:val="24"/>
                <w:szCs w:val="24"/>
                <w:lang w:val="en-US" w:eastAsia="zh-CN"/>
              </w:rPr>
              <w:t>22000m</w:t>
            </w:r>
            <w:r>
              <w:rPr>
                <w:rFonts w:hint="eastAsia" w:cs="Times New Roman"/>
                <w:color w:val="auto"/>
                <w:sz w:val="24"/>
                <w:szCs w:val="24"/>
                <w:vertAlign w:val="superscript"/>
                <w:lang w:val="en-US" w:eastAsia="zh-CN"/>
              </w:rPr>
              <w:t>2</w:t>
            </w:r>
            <w:r>
              <w:rPr>
                <w:rFonts w:hint="eastAsia" w:cs="Times New Roman"/>
                <w:color w:val="auto"/>
                <w:sz w:val="24"/>
                <w:szCs w:val="24"/>
                <w:vertAlign w:val="baseline"/>
                <w:lang w:val="en-US" w:eastAsia="zh-CN"/>
              </w:rPr>
              <w:t>。项目地理位置图见附图2</w:t>
            </w:r>
            <w:r>
              <w:rPr>
                <w:rFonts w:hint="eastAsia"/>
                <w:color w:val="auto"/>
                <w:lang w:eastAsia="zh-CN"/>
              </w:rPr>
              <w:t>，</w:t>
            </w:r>
            <w:r>
              <w:rPr>
                <w:rFonts w:hint="eastAsia"/>
                <w:color w:val="auto"/>
                <w:lang w:val="en-US" w:eastAsia="zh-CN"/>
              </w:rPr>
              <w:t>项目区北侧为新疆嘉城椒业有限责任公司、巴州凡宇辣椒有限公司，西侧为新津木业，东侧为拟建的福满鑫食品有限公司、新疆椒源生物科技有限公司、新疆天德食品有限公司、九丰食品，南侧为辣椒冷库、新疆久鑫农业有限公司。</w:t>
            </w:r>
            <w:r>
              <w:rPr>
                <w:rFonts w:hint="eastAsia" w:ascii="Times New Roman" w:hAnsi="Times New Roman" w:eastAsia="宋体" w:cs="Times New Roman"/>
                <w:color w:val="auto"/>
                <w:sz w:val="24"/>
                <w:szCs w:val="24"/>
                <w:lang w:val="en-US" w:eastAsia="zh-CN"/>
              </w:rPr>
              <w:t>本项目未占用生态保护红线、永久基本农田</w:t>
            </w:r>
            <w:r>
              <w:rPr>
                <w:rFonts w:hint="eastAsia"/>
                <w:color w:val="auto"/>
                <w:lang w:eastAsia="zh-CN"/>
              </w:rPr>
              <w:t>，</w:t>
            </w:r>
            <w:r>
              <w:rPr>
                <w:rFonts w:hint="eastAsia"/>
                <w:color w:val="auto"/>
                <w:lang w:val="en-US" w:eastAsia="zh-CN"/>
              </w:rPr>
              <w:t>评价范围内无居民、自然保护区等环境敏感目标</w:t>
            </w:r>
            <w:r>
              <w:rPr>
                <w:rFonts w:hint="eastAsia" w:ascii="Times New Roman" w:hAnsi="Times New Roman" w:eastAsia="宋体" w:cs="Times New Roman"/>
                <w:color w:val="auto"/>
                <w:sz w:val="24"/>
                <w:szCs w:val="24"/>
                <w:lang w:val="en-US" w:eastAsia="zh-CN"/>
              </w:rPr>
              <w:t>。</w:t>
            </w:r>
          </w:p>
          <w:p>
            <w:pPr>
              <w:pStyle w:val="31"/>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lang w:val="en-US" w:eastAsia="zh-CN"/>
              </w:rPr>
            </w:pPr>
            <w:r>
              <w:rPr>
                <w:rFonts w:hint="eastAsia" w:hAnsi="Times New Roman" w:cs="Times New Roman"/>
                <w:b w:val="0"/>
                <w:bCs/>
                <w:color w:val="auto"/>
                <w:sz w:val="24"/>
                <w:szCs w:val="24"/>
                <w:lang w:val="en-US" w:eastAsia="zh-CN"/>
              </w:rPr>
              <w:t>项目位于和硕县多式联运产业物流园-农产品产业区-辣椒产业加工区，用地性质为工业用地。根据现场踏勘，项目周边道路环绕（项目区北侧为新疆嘉城椒业有限责任公司、巴州凡宇辣椒有限公司，西侧为新津木业，东侧为拟建的福满鑫食品有限公司、新疆椒源生物科技有限公司、新疆天德食品有限公司、九丰食品，南侧为辣椒冷库、新疆久鑫农业有限公司），距离S305较近交通便利；用水和用电由管网供给。</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综上，本项目所在区域交通便利，规划功能布局全面，因此，项目选址可行，具备项目建设条件。</w:t>
            </w:r>
          </w:p>
          <w:p>
            <w:pPr>
              <w:pStyle w:val="3"/>
              <w:keepNext/>
              <w:keepLines/>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r>
              <w:rPr>
                <w:rFonts w:hint="eastAsia" w:cs="Times New Roman"/>
                <w:color w:val="auto"/>
                <w:sz w:val="24"/>
                <w:szCs w:val="24"/>
                <w:lang w:val="en-US" w:eastAsia="zh-CN"/>
              </w:rPr>
              <w:t>5</w:t>
            </w:r>
            <w:r>
              <w:rPr>
                <w:rFonts w:hint="default" w:ascii="Times New Roman" w:hAnsi="Times New Roman" w:eastAsia="宋体" w:cs="Times New Roman"/>
                <w:b/>
                <w:bCs/>
                <w:color w:val="auto"/>
                <w:sz w:val="24"/>
                <w:szCs w:val="24"/>
              </w:rPr>
              <w:t>与生态环境分区管控相符性分析</w:t>
            </w:r>
          </w:p>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rPr>
              <w:t>1.</w:t>
            </w:r>
            <w:r>
              <w:rPr>
                <w:rFonts w:hint="eastAsia" w:cs="Times New Roman"/>
                <w:b/>
                <w:bCs/>
                <w:color w:val="auto"/>
                <w:sz w:val="24"/>
                <w:szCs w:val="24"/>
                <w:lang w:val="en-US" w:eastAsia="zh-CN"/>
              </w:rPr>
              <w:t>5</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1与《新疆维吾尔自治区生态环境分区管控动态更新成果》（新环环评发〔2024〕157号）符合性分析</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2024年11月，新疆维吾尔自治区生态环境厅发布了《关于印发&lt;新疆维吾尔自治区生态环境分区管控动态更新成果＞的通知》（新环环评发〔2024〕157号），与其符合性分析内容见表1.</w:t>
            </w:r>
            <w:r>
              <w:rPr>
                <w:rFonts w:hint="eastAsia" w:cs="Times New Roman"/>
                <w:color w:val="auto"/>
                <w:sz w:val="24"/>
                <w:szCs w:val="24"/>
                <w:lang w:val="en-US" w:eastAsia="zh-CN"/>
              </w:rPr>
              <w:t>5</w:t>
            </w:r>
            <w:r>
              <w:rPr>
                <w:rFonts w:hint="default" w:ascii="Times New Roman" w:hAnsi="Times New Roman" w:eastAsia="宋体" w:cs="Times New Roman"/>
                <w:color w:val="auto"/>
                <w:sz w:val="24"/>
                <w:szCs w:val="24"/>
              </w:rPr>
              <w:t>-1。</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color w:val="auto"/>
              </w:rPr>
            </w:pPr>
            <w:r>
              <w:rPr>
                <w:rFonts w:hint="default" w:ascii="Times New Roman" w:hAnsi="Times New Roman" w:eastAsia="宋体" w:cs="Times New Roman"/>
                <w:b/>
                <w:bCs/>
                <w:color w:val="auto"/>
                <w:sz w:val="21"/>
                <w:szCs w:val="21"/>
                <w:lang w:val="en-US" w:eastAsia="zh-CN"/>
              </w:rPr>
              <w:t>表1</w:t>
            </w:r>
            <w:r>
              <w:rPr>
                <w:rFonts w:hint="eastAsia" w:ascii="Times New Roman" w:hAnsi="Times New Roman" w:eastAsia="宋体" w:cs="Times New Roman"/>
                <w:b/>
                <w:bCs/>
                <w:color w:val="auto"/>
                <w:sz w:val="21"/>
                <w:szCs w:val="21"/>
                <w:lang w:val="en-US" w:eastAsia="zh-CN"/>
              </w:rPr>
              <w:t>.5</w:t>
            </w:r>
            <w:r>
              <w:rPr>
                <w:rFonts w:hint="default" w:ascii="Times New Roman" w:hAnsi="Times New Roman" w:eastAsia="宋体" w:cs="Times New Roman"/>
                <w:b/>
                <w:bCs/>
                <w:color w:val="auto"/>
                <w:sz w:val="21"/>
                <w:szCs w:val="21"/>
                <w:lang w:val="en-US" w:eastAsia="zh-CN"/>
              </w:rPr>
              <w:t>-</w:t>
            </w:r>
            <w:r>
              <w:rPr>
                <w:rFonts w:hint="eastAsia" w:ascii="Times New Roman" w:hAnsi="Times New Roman" w:eastAsia="宋体" w:cs="Times New Roman"/>
                <w:b/>
                <w:bCs/>
                <w:color w:val="auto"/>
                <w:sz w:val="21"/>
                <w:szCs w:val="21"/>
                <w:lang w:val="en-US" w:eastAsia="zh-CN"/>
              </w:rPr>
              <w:t xml:space="preserve">1 </w:t>
            </w:r>
            <w:r>
              <w:rPr>
                <w:rFonts w:hint="default" w:ascii="Times New Roman" w:hAnsi="Times New Roman" w:eastAsia="宋体" w:cs="Times New Roman"/>
                <w:b/>
                <w:bCs/>
                <w:color w:val="auto"/>
                <w:sz w:val="21"/>
                <w:szCs w:val="21"/>
                <w:lang w:val="en-US" w:eastAsia="zh-CN"/>
              </w:rPr>
              <w:t xml:space="preserve">  与《新疆维吾尔自治区生态环境分区管控动态更新成果》符合性分析</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01"/>
              <w:gridCol w:w="426"/>
              <w:gridCol w:w="516"/>
              <w:gridCol w:w="4136"/>
              <w:gridCol w:w="2209"/>
              <w:gridCol w:w="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名称</w:t>
                  </w:r>
                </w:p>
              </w:tc>
              <w:tc>
                <w:tcPr>
                  <w:tcW w:w="3071"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管控要求</w:t>
                  </w:r>
                </w:p>
              </w:tc>
              <w:tc>
                <w:tcPr>
                  <w:tcW w:w="1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拟建工程</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4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新疆维吾尔自治区总体管控要求</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25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A1空间布局约束</w:t>
                  </w:r>
                </w:p>
              </w:tc>
              <w:tc>
                <w:tcPr>
                  <w:tcW w:w="31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A1.1禁止开发建设的活动</w:t>
                  </w:r>
                </w:p>
              </w:tc>
              <w:tc>
                <w:tcPr>
                  <w:tcW w:w="25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【A1.1-1】禁止新建、扩建《产业结构调整指导目录</w:t>
                  </w:r>
                  <w:r>
                    <w:rPr>
                      <w:rFonts w:hint="default" w:ascii="Times New Roman" w:hAnsi="Times New Roman" w:eastAsia="宋体" w:cs="Times New Roman"/>
                      <w:color w:val="auto"/>
                      <w:sz w:val="21"/>
                      <w:szCs w:val="21"/>
                      <w:lang w:val="en-US" w:eastAsia="zh-CN"/>
                    </w:rPr>
                    <w:t>（2024年本）</w:t>
                  </w:r>
                  <w:r>
                    <w:rPr>
                      <w:rFonts w:hint="default" w:ascii="Times New Roman" w:hAnsi="Times New Roman" w:eastAsia="宋体" w:cs="Times New Roman"/>
                      <w:color w:val="auto"/>
                      <w:sz w:val="21"/>
                      <w:szCs w:val="21"/>
                    </w:rPr>
                    <w:t>》中淘汰类项目。禁止引入《市场准入负面清单</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202</w:t>
                  </w: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年版</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》禁止准入类事项。</w:t>
                  </w:r>
                </w:p>
              </w:tc>
              <w:tc>
                <w:tcPr>
                  <w:tcW w:w="1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本项目为</w:t>
                  </w:r>
                  <w:r>
                    <w:rPr>
                      <w:rFonts w:hint="eastAsia" w:cs="Times New Roman"/>
                      <w:color w:val="auto"/>
                      <w:sz w:val="21"/>
                      <w:szCs w:val="21"/>
                      <w:lang w:val="en-US" w:eastAsia="zh-CN"/>
                    </w:rPr>
                    <w:t>食品加工企业</w:t>
                  </w:r>
                  <w:r>
                    <w:rPr>
                      <w:rFonts w:hint="default" w:ascii="Times New Roman" w:hAnsi="Times New Roman" w:eastAsia="宋体" w:cs="Times New Roman"/>
                      <w:color w:val="auto"/>
                      <w:sz w:val="21"/>
                      <w:szCs w:val="21"/>
                      <w:lang w:val="en-US" w:eastAsia="zh-CN"/>
                    </w:rPr>
                    <w:t>，属于《产业结构调整指导目录（2024年本）》</w:t>
                  </w:r>
                  <w:r>
                    <w:rPr>
                      <w:rFonts w:hint="default" w:ascii="Times New Roman" w:hAnsi="Times New Roman" w:eastAsia="宋体" w:cs="Times New Roman"/>
                      <w:color w:val="auto"/>
                      <w:sz w:val="21"/>
                      <w:szCs w:val="21"/>
                    </w:rPr>
                    <w:t>中的</w:t>
                  </w:r>
                  <w:r>
                    <w:rPr>
                      <w:rFonts w:hint="eastAsia" w:cs="Times New Roman"/>
                      <w:color w:val="auto"/>
                      <w:sz w:val="21"/>
                      <w:szCs w:val="21"/>
                      <w:lang w:val="en-US" w:eastAsia="zh-CN"/>
                    </w:rPr>
                    <w:t>鼓励类</w:t>
                  </w:r>
                  <w:r>
                    <w:rPr>
                      <w:rFonts w:hint="default" w:ascii="Times New Roman" w:hAnsi="Times New Roman" w:eastAsia="宋体" w:cs="Times New Roman"/>
                      <w:color w:val="auto"/>
                      <w:sz w:val="21"/>
                      <w:szCs w:val="21"/>
                    </w:rPr>
                    <w:t>项目，符合国家当前产业政策要求；不属于《市场准入负面清单</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202</w:t>
                  </w: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年版</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中禁止准入类项目</w:t>
                  </w:r>
                  <w:r>
                    <w:rPr>
                      <w:rFonts w:hint="default" w:ascii="Times New Roman" w:hAnsi="Times New Roman" w:eastAsia="宋体" w:cs="Times New Roman"/>
                      <w:color w:val="auto"/>
                      <w:sz w:val="21"/>
                      <w:szCs w:val="21"/>
                      <w:lang w:eastAsia="zh-CN"/>
                    </w:rPr>
                    <w:t>。</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4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25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31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25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【A1.1-2】禁止建设不符合国家和自治区环境保护标准的项目。</w:t>
                  </w:r>
                </w:p>
              </w:tc>
              <w:tc>
                <w:tcPr>
                  <w:tcW w:w="1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本项目</w:t>
                  </w:r>
                  <w:r>
                    <w:rPr>
                      <w:rFonts w:hint="default" w:ascii="Times New Roman" w:hAnsi="Times New Roman" w:eastAsia="宋体" w:cs="Times New Roman"/>
                      <w:color w:val="auto"/>
                      <w:sz w:val="21"/>
                      <w:szCs w:val="21"/>
                    </w:rPr>
                    <w:t>执行标准符合国家和自治区环境保护标准</w:t>
                  </w:r>
                  <w:r>
                    <w:rPr>
                      <w:rFonts w:hint="default" w:ascii="Times New Roman" w:hAnsi="Times New Roman" w:eastAsia="宋体" w:cs="Times New Roman"/>
                      <w:color w:val="auto"/>
                      <w:sz w:val="21"/>
                      <w:szCs w:val="21"/>
                      <w:lang w:eastAsia="zh-CN"/>
                    </w:rPr>
                    <w:t>。</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25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31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25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【A1.1-4】禁止在水源涵养区、地下水源、饮用水源、自然保护区、风景名胜区、森林公园、重要湿地及人群密集区等生态敏感区域内进行煤炭、石油、天然气开发。</w:t>
                  </w:r>
                </w:p>
              </w:tc>
              <w:tc>
                <w:tcPr>
                  <w:tcW w:w="1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本项目</w:t>
                  </w:r>
                  <w:r>
                    <w:rPr>
                      <w:rFonts w:hint="default" w:ascii="Times New Roman" w:hAnsi="Times New Roman" w:eastAsia="宋体" w:cs="Times New Roman"/>
                      <w:color w:val="auto"/>
                      <w:sz w:val="21"/>
                      <w:szCs w:val="21"/>
                    </w:rPr>
                    <w:t>占地范围内不</w:t>
                  </w:r>
                  <w:r>
                    <w:rPr>
                      <w:rFonts w:hint="default" w:ascii="Times New Roman" w:hAnsi="Times New Roman" w:eastAsia="宋体" w:cs="Times New Roman"/>
                      <w:color w:val="auto"/>
                      <w:sz w:val="21"/>
                      <w:szCs w:val="21"/>
                      <w:lang w:eastAsia="zh-CN"/>
                    </w:rPr>
                    <w:t>涉及</w:t>
                  </w:r>
                  <w:r>
                    <w:rPr>
                      <w:rFonts w:hint="default" w:ascii="Times New Roman" w:hAnsi="Times New Roman" w:eastAsia="宋体" w:cs="Times New Roman"/>
                      <w:color w:val="auto"/>
                      <w:sz w:val="21"/>
                      <w:szCs w:val="21"/>
                    </w:rPr>
                    <w:t>水源涵养区、地下水源、饮用水源、自然保护区、风景名胜区、森林公园、重要湿地及人群密集区等生态敏感区域</w:t>
                  </w:r>
                  <w:r>
                    <w:rPr>
                      <w:rFonts w:hint="default" w:ascii="Times New Roman" w:hAnsi="Times New Roman" w:eastAsia="宋体" w:cs="Times New Roman"/>
                      <w:color w:val="auto"/>
                      <w:sz w:val="21"/>
                      <w:szCs w:val="21"/>
                      <w:lang w:eastAsia="zh-CN"/>
                    </w:rPr>
                    <w:t>。</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25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31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25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【A1.2-2】建设项目用地原则上不得占用永久基本农田，确需占用永久基本农田的建设项目须符合《中华人民共和国基本农田保护条例》中相关要求，占用耕地、林地或</w:t>
                  </w:r>
                  <w:r>
                    <w:rPr>
                      <w:rFonts w:hint="default" w:ascii="Times New Roman" w:hAnsi="Times New Roman" w:eastAsia="宋体" w:cs="Times New Roman"/>
                      <w:color w:val="auto"/>
                      <w:sz w:val="21"/>
                      <w:szCs w:val="21"/>
                      <w:lang w:eastAsia="zh-CN"/>
                    </w:rPr>
                    <w:t>天然牧草地</w:t>
                  </w:r>
                  <w:r>
                    <w:rPr>
                      <w:rFonts w:hint="default" w:ascii="Times New Roman" w:hAnsi="Times New Roman" w:eastAsia="宋体" w:cs="Times New Roman"/>
                      <w:color w:val="auto"/>
                      <w:sz w:val="21"/>
                      <w:szCs w:val="21"/>
                    </w:rPr>
                    <w:t>的建设项目须按照国家、自治区相关补偿要求进行补偿。</w:t>
                  </w:r>
                </w:p>
              </w:tc>
              <w:tc>
                <w:tcPr>
                  <w:tcW w:w="1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w:t>
                  </w:r>
                  <w:r>
                    <w:rPr>
                      <w:rFonts w:hint="eastAsia" w:cs="Times New Roman"/>
                      <w:color w:val="auto"/>
                      <w:sz w:val="21"/>
                      <w:szCs w:val="21"/>
                      <w:lang w:val="en-US" w:eastAsia="zh-CN"/>
                    </w:rPr>
                    <w:t>位于和硕县多式联运产业物流园区内，属于工业用地，</w:t>
                  </w:r>
                  <w:r>
                    <w:rPr>
                      <w:rFonts w:hint="default" w:ascii="Times New Roman" w:hAnsi="Times New Roman" w:eastAsia="宋体" w:cs="Times New Roman"/>
                      <w:color w:val="auto"/>
                      <w:sz w:val="21"/>
                      <w:szCs w:val="21"/>
                    </w:rPr>
                    <w:t>不占用</w:t>
                  </w:r>
                  <w:r>
                    <w:rPr>
                      <w:rFonts w:hint="default" w:ascii="Times New Roman" w:hAnsi="Times New Roman" w:eastAsia="宋体" w:cs="Times New Roman"/>
                      <w:color w:val="auto"/>
                      <w:sz w:val="21"/>
                      <w:szCs w:val="21"/>
                      <w:lang w:val="en-US" w:eastAsia="zh-CN"/>
                    </w:rPr>
                    <w:t>永久</w:t>
                  </w:r>
                  <w:r>
                    <w:rPr>
                      <w:rFonts w:hint="default" w:ascii="Times New Roman" w:hAnsi="Times New Roman" w:eastAsia="宋体" w:cs="Times New Roman"/>
                      <w:color w:val="auto"/>
                      <w:sz w:val="21"/>
                      <w:szCs w:val="21"/>
                    </w:rPr>
                    <w:t>基本农田</w:t>
                  </w:r>
                  <w:r>
                    <w:rPr>
                      <w:rFonts w:hint="default" w:ascii="Times New Roman" w:hAnsi="Times New Roman" w:eastAsia="宋体" w:cs="Times New Roman"/>
                      <w:color w:val="auto"/>
                      <w:sz w:val="21"/>
                      <w:szCs w:val="21"/>
                      <w:lang w:eastAsia="zh-CN"/>
                    </w:rPr>
                    <w:t>。</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25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31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25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【A1.3-2】对不符合国家产业政策、严重污染水环境的生产项目全部予以取缔。</w:t>
                  </w:r>
                </w:p>
              </w:tc>
              <w:tc>
                <w:tcPr>
                  <w:tcW w:w="1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本项目</w:t>
                  </w:r>
                  <w:r>
                    <w:rPr>
                      <w:rFonts w:hint="default" w:ascii="Times New Roman" w:hAnsi="Times New Roman" w:eastAsia="宋体" w:cs="Times New Roman"/>
                      <w:color w:val="auto"/>
                      <w:sz w:val="21"/>
                      <w:szCs w:val="21"/>
                    </w:rPr>
                    <w:t>不属于严重污染水环境的生产项目</w:t>
                  </w:r>
                  <w:r>
                    <w:rPr>
                      <w:rFonts w:hint="default" w:ascii="Times New Roman" w:hAnsi="Times New Roman" w:eastAsia="宋体" w:cs="Times New Roman"/>
                      <w:color w:val="auto"/>
                      <w:sz w:val="21"/>
                      <w:szCs w:val="21"/>
                      <w:lang w:eastAsia="zh-CN"/>
                    </w:rPr>
                    <w:t>。</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25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3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A1.4</w:t>
                  </w:r>
                  <w:r>
                    <w:rPr>
                      <w:rFonts w:hint="default" w:ascii="Times New Roman" w:hAnsi="Times New Roman" w:eastAsia="宋体" w:cs="Times New Roman"/>
                      <w:color w:val="auto"/>
                      <w:sz w:val="21"/>
                      <w:szCs w:val="21"/>
                      <w:lang w:eastAsia="zh-CN"/>
                    </w:rPr>
                    <w:t>其他</w:t>
                  </w:r>
                  <w:r>
                    <w:rPr>
                      <w:rFonts w:hint="default" w:ascii="Times New Roman" w:hAnsi="Times New Roman" w:eastAsia="宋体" w:cs="Times New Roman"/>
                      <w:color w:val="auto"/>
                      <w:sz w:val="21"/>
                      <w:szCs w:val="21"/>
                    </w:rPr>
                    <w:t>布局要求</w:t>
                  </w:r>
                </w:p>
              </w:tc>
              <w:tc>
                <w:tcPr>
                  <w:tcW w:w="25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【A1.4-1】一切开发建设活动应符合国家、自治区主体功能区规划自治区和各地颁布实施的生态环境功能</w:t>
                  </w:r>
                  <w:r>
                    <w:rPr>
                      <w:rFonts w:hint="default" w:ascii="Times New Roman" w:hAnsi="Times New Roman" w:eastAsia="宋体" w:cs="Times New Roman"/>
                      <w:color w:val="auto"/>
                      <w:sz w:val="21"/>
                      <w:szCs w:val="21"/>
                      <w:lang w:val="en-US" w:eastAsia="zh-CN"/>
                    </w:rPr>
                    <w:t>规</w:t>
                  </w:r>
                  <w:r>
                    <w:rPr>
                      <w:rFonts w:hint="default" w:ascii="Times New Roman" w:hAnsi="Times New Roman" w:eastAsia="宋体" w:cs="Times New Roman"/>
                      <w:color w:val="auto"/>
                      <w:sz w:val="21"/>
                      <w:szCs w:val="21"/>
                    </w:rPr>
                    <w:t>划、国民经济发展规划、产业发展规划、国土空间规划等相关规划及重点生态功能区负面清单要求，符合区域或产业规划环评要求。</w:t>
                  </w:r>
                </w:p>
              </w:tc>
              <w:tc>
                <w:tcPr>
                  <w:tcW w:w="1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w:t>
                  </w:r>
                  <w:r>
                    <w:rPr>
                      <w:rFonts w:hint="eastAsia" w:cs="Times New Roman"/>
                      <w:color w:val="auto"/>
                      <w:sz w:val="21"/>
                      <w:szCs w:val="21"/>
                      <w:lang w:val="en-US" w:eastAsia="zh-CN"/>
                    </w:rPr>
                    <w:t>食品加工企业</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与区域主体功能区划目标相协调，符合规划及规划环评</w:t>
                  </w:r>
                  <w:r>
                    <w:rPr>
                      <w:rFonts w:hint="default" w:ascii="Times New Roman" w:hAnsi="Times New Roman" w:eastAsia="宋体" w:cs="Times New Roman"/>
                      <w:color w:val="auto"/>
                      <w:sz w:val="21"/>
                      <w:szCs w:val="21"/>
                      <w:lang w:val="en-US" w:eastAsia="zh-CN"/>
                    </w:rPr>
                    <w:t>要求。</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25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A2污染物排放管控</w:t>
                  </w:r>
                </w:p>
              </w:tc>
              <w:tc>
                <w:tcPr>
                  <w:tcW w:w="3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A2.1污染物削减/替代要求</w:t>
                  </w:r>
                </w:p>
              </w:tc>
              <w:tc>
                <w:tcPr>
                  <w:tcW w:w="25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【A2.1-1】新、改、扩建重点行业建设项目应符合</w:t>
                  </w:r>
                  <w:r>
                    <w:rPr>
                      <w:rFonts w:hint="eastAsia" w:cs="Times New Roman"/>
                      <w:color w:val="auto"/>
                      <w:sz w:val="21"/>
                      <w:szCs w:val="21"/>
                      <w:lang w:eastAsia="zh-CN"/>
                    </w:rPr>
                    <w:t>“</w:t>
                  </w:r>
                  <w:r>
                    <w:rPr>
                      <w:rFonts w:hint="default" w:ascii="Times New Roman" w:hAnsi="Times New Roman" w:eastAsia="宋体" w:cs="Times New Roman"/>
                      <w:color w:val="auto"/>
                      <w:sz w:val="21"/>
                      <w:szCs w:val="21"/>
                    </w:rPr>
                    <w:t>三线一单</w:t>
                  </w:r>
                  <w:r>
                    <w:rPr>
                      <w:rFonts w:hint="eastAsia" w:cs="Times New Roman"/>
                      <w:color w:val="auto"/>
                      <w:sz w:val="21"/>
                      <w:szCs w:val="21"/>
                      <w:lang w:eastAsia="zh-CN"/>
                    </w:rPr>
                    <w:t>”</w:t>
                  </w:r>
                  <w:r>
                    <w:rPr>
                      <w:rFonts w:hint="default" w:ascii="Times New Roman" w:hAnsi="Times New Roman" w:eastAsia="宋体" w:cs="Times New Roman"/>
                      <w:color w:val="auto"/>
                      <w:sz w:val="21"/>
                      <w:szCs w:val="21"/>
                    </w:rPr>
                    <w:t>、产业政策、区域环评、规划环评和行业环境准入管控要求。重点区域的新、改、扩建重点行业建设项目应遵循重点重金属污染物排放</w:t>
                  </w:r>
                  <w:r>
                    <w:rPr>
                      <w:rFonts w:hint="eastAsia" w:cs="Times New Roman"/>
                      <w:color w:val="auto"/>
                      <w:sz w:val="21"/>
                      <w:szCs w:val="21"/>
                      <w:lang w:eastAsia="zh-CN"/>
                    </w:rPr>
                    <w:t>“</w:t>
                  </w:r>
                  <w:r>
                    <w:rPr>
                      <w:rFonts w:hint="default" w:ascii="Times New Roman" w:hAnsi="Times New Roman" w:eastAsia="宋体" w:cs="Times New Roman"/>
                      <w:color w:val="auto"/>
                      <w:sz w:val="21"/>
                      <w:szCs w:val="21"/>
                    </w:rPr>
                    <w:t>减量替代</w:t>
                  </w:r>
                  <w:r>
                    <w:rPr>
                      <w:rFonts w:hint="eastAsia" w:cs="Times New Roman"/>
                      <w:color w:val="auto"/>
                      <w:sz w:val="21"/>
                      <w:szCs w:val="21"/>
                      <w:lang w:eastAsia="zh-CN"/>
                    </w:rPr>
                    <w:t>”</w:t>
                  </w:r>
                  <w:r>
                    <w:rPr>
                      <w:rFonts w:hint="default" w:ascii="Times New Roman" w:hAnsi="Times New Roman" w:eastAsia="宋体" w:cs="Times New Roman"/>
                      <w:color w:val="auto"/>
                      <w:sz w:val="21"/>
                      <w:szCs w:val="21"/>
                    </w:rPr>
                    <w:t>原则。</w:t>
                  </w:r>
                </w:p>
              </w:tc>
              <w:tc>
                <w:tcPr>
                  <w:tcW w:w="1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本项目为新建项目，已取得备案证，符合产业政</w:t>
                  </w:r>
                  <w:r>
                    <w:rPr>
                      <w:rFonts w:hint="eastAsia" w:cs="Times New Roman"/>
                      <w:color w:val="auto"/>
                      <w:sz w:val="21"/>
                      <w:szCs w:val="21"/>
                      <w:lang w:val="en-US" w:eastAsia="zh-CN"/>
                    </w:rPr>
                    <w:t>策</w:t>
                  </w:r>
                  <w:r>
                    <w:rPr>
                      <w:rFonts w:hint="default" w:ascii="Times New Roman" w:hAnsi="Times New Roman" w:eastAsia="宋体" w:cs="Times New Roman"/>
                      <w:color w:val="auto"/>
                      <w:sz w:val="21"/>
                      <w:szCs w:val="21"/>
                    </w:rPr>
                    <w:t>、规划环评</w:t>
                  </w:r>
                  <w:r>
                    <w:rPr>
                      <w:rFonts w:hint="eastAsia" w:cs="Times New Roman"/>
                      <w:color w:val="auto"/>
                      <w:sz w:val="21"/>
                      <w:szCs w:val="21"/>
                      <w:lang w:val="en-US" w:eastAsia="zh-CN"/>
                    </w:rPr>
                    <w:t>和</w:t>
                  </w:r>
                  <w:r>
                    <w:rPr>
                      <w:rFonts w:hint="default" w:ascii="Times New Roman" w:hAnsi="Times New Roman" w:eastAsia="宋体" w:cs="Times New Roman"/>
                      <w:color w:val="auto"/>
                      <w:sz w:val="21"/>
                      <w:szCs w:val="21"/>
                      <w:lang w:val="en-US" w:eastAsia="zh-CN"/>
                    </w:rPr>
                    <w:t>行业环境准入管控要求；本项目</w:t>
                  </w:r>
                  <w:r>
                    <w:rPr>
                      <w:rFonts w:hint="default" w:ascii="Times New Roman" w:hAnsi="Times New Roman" w:eastAsia="宋体" w:cs="Times New Roman"/>
                      <w:color w:val="auto"/>
                      <w:sz w:val="21"/>
                      <w:szCs w:val="21"/>
                    </w:rPr>
                    <w:t>不属于重点行业建设项目</w:t>
                  </w:r>
                  <w:r>
                    <w:rPr>
                      <w:rFonts w:hint="default" w:ascii="Times New Roman" w:hAnsi="Times New Roman" w:eastAsia="宋体" w:cs="Times New Roman"/>
                      <w:color w:val="auto"/>
                      <w:sz w:val="21"/>
                      <w:szCs w:val="21"/>
                      <w:lang w:eastAsia="zh-CN"/>
                    </w:rPr>
                    <w:t>。</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25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3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A2.2污染控制措施要求</w:t>
                  </w:r>
                </w:p>
              </w:tc>
              <w:tc>
                <w:tcPr>
                  <w:tcW w:w="25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2.2-6】推进地表水与地下水协同防治。以傍河型地下水饮用水水源为重点，防范受污染河段侧渗和垂直补给对地下水污染。加强化学品生产企业、工业聚集区、矿山开采区等污染源的地表、地下协同防治与环境风险管控。加强工业污染防治。推动重点行业、重点企业绿色发展，严格落实水污染物排放标准和排污许可制度。加强农副食品加工、化工、印染、棉浆粕、粘胶纤维、制糖等企业综合治理和清洁化改造。支持企业积极实施节水技术改造，加强工业园区污水集中处理设施运行管理，加快再生水回用设施建设，提升园区水资源循环利用水平。</w:t>
                  </w:r>
                </w:p>
              </w:tc>
              <w:tc>
                <w:tcPr>
                  <w:tcW w:w="1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本项目为</w:t>
                  </w:r>
                  <w:r>
                    <w:rPr>
                      <w:rFonts w:hint="eastAsia" w:cs="Times New Roman"/>
                      <w:color w:val="auto"/>
                      <w:sz w:val="21"/>
                      <w:szCs w:val="21"/>
                      <w:lang w:val="en-US" w:eastAsia="zh-CN"/>
                    </w:rPr>
                    <w:t>食品加工企业</w:t>
                  </w:r>
                  <w:r>
                    <w:rPr>
                      <w:rFonts w:hint="default" w:ascii="Times New Roman" w:hAnsi="Times New Roman" w:eastAsia="宋体" w:cs="Times New Roman"/>
                      <w:color w:val="auto"/>
                      <w:sz w:val="21"/>
                      <w:szCs w:val="21"/>
                      <w:lang w:val="en-US" w:eastAsia="zh-CN"/>
                    </w:rPr>
                    <w:t>，不属</w:t>
                  </w:r>
                  <w:r>
                    <w:rPr>
                      <w:rFonts w:hint="default" w:ascii="Times New Roman" w:hAnsi="Times New Roman" w:eastAsia="宋体" w:cs="Times New Roman"/>
                      <w:color w:val="auto"/>
                      <w:sz w:val="21"/>
                      <w:szCs w:val="21"/>
                      <w:highlight w:val="none"/>
                      <w:lang w:val="en-US" w:eastAsia="zh-CN"/>
                    </w:rPr>
                    <w:t>于重点行业、重点企业。项目无生产废水，</w:t>
                  </w:r>
                  <w:r>
                    <w:rPr>
                      <w:rFonts w:hint="eastAsia" w:ascii="Times New Roman" w:hAnsi="Times New Roman" w:cs="Times New Roman"/>
                      <w:b w:val="0"/>
                      <w:bCs w:val="0"/>
                      <w:color w:val="auto"/>
                      <w:sz w:val="21"/>
                      <w:szCs w:val="21"/>
                      <w:highlight w:val="none"/>
                      <w:lang w:val="en-US" w:eastAsia="zh-CN"/>
                    </w:rPr>
                    <w:t>员工不在厂区内食宿，无</w:t>
                  </w:r>
                  <w:r>
                    <w:rPr>
                      <w:rFonts w:hint="eastAsia" w:ascii="Times New Roman" w:hAnsi="Times New Roman" w:eastAsia="宋体" w:cs="Times New Roman"/>
                      <w:b w:val="0"/>
                      <w:bCs w:val="0"/>
                      <w:color w:val="auto"/>
                      <w:sz w:val="21"/>
                      <w:szCs w:val="21"/>
                      <w:highlight w:val="none"/>
                      <w:lang w:val="en-US" w:eastAsia="zh-CN"/>
                    </w:rPr>
                    <w:t>生活污水。</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25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A3环境风险防控</w:t>
                  </w:r>
                </w:p>
              </w:tc>
              <w:tc>
                <w:tcPr>
                  <w:tcW w:w="31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A3.2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联防联控要求</w:t>
                  </w:r>
                </w:p>
              </w:tc>
              <w:tc>
                <w:tcPr>
                  <w:tcW w:w="25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【A3.2-4】加强环境风险预警防控。加强涉危</w:t>
                  </w:r>
                  <w:r>
                    <w:rPr>
                      <w:rFonts w:hint="eastAsia" w:cs="Times New Roman"/>
                      <w:color w:val="auto"/>
                      <w:sz w:val="21"/>
                      <w:szCs w:val="21"/>
                      <w:lang w:eastAsia="zh-CN"/>
                    </w:rPr>
                    <w:t>险废</w:t>
                  </w:r>
                  <w:r>
                    <w:rPr>
                      <w:rFonts w:hint="default" w:ascii="Times New Roman" w:hAnsi="Times New Roman" w:eastAsia="宋体" w:cs="Times New Roman"/>
                      <w:color w:val="auto"/>
                      <w:sz w:val="21"/>
                      <w:szCs w:val="21"/>
                    </w:rPr>
                    <w:t>物企业、涉重金属企业、化工园区、集中式饮用水水源地及重点流域环境风险调查评估，实施分类分级风险管控，协同推进重点区域、流域生态环境污染综合防治、风险防控与生态修复。</w:t>
                  </w:r>
                </w:p>
              </w:tc>
              <w:tc>
                <w:tcPr>
                  <w:tcW w:w="133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本项目</w:t>
                  </w:r>
                  <w:r>
                    <w:rPr>
                      <w:rFonts w:hint="eastAsia" w:cs="Times New Roman"/>
                      <w:color w:val="auto"/>
                      <w:sz w:val="21"/>
                      <w:szCs w:val="21"/>
                      <w:lang w:val="en-US" w:eastAsia="zh-CN"/>
                    </w:rPr>
                    <w:t>为食品加工企业，</w:t>
                  </w:r>
                  <w:r>
                    <w:rPr>
                      <w:rFonts w:hint="default" w:ascii="Times New Roman" w:hAnsi="Times New Roman" w:eastAsia="宋体" w:cs="Times New Roman"/>
                      <w:color w:val="auto"/>
                      <w:sz w:val="21"/>
                      <w:szCs w:val="21"/>
                      <w:lang w:val="en-US" w:eastAsia="zh-CN"/>
                    </w:rPr>
                    <w:t>不</w:t>
                  </w:r>
                  <w:r>
                    <w:rPr>
                      <w:rFonts w:hint="eastAsia" w:cs="Times New Roman"/>
                      <w:color w:val="auto"/>
                      <w:sz w:val="21"/>
                      <w:szCs w:val="21"/>
                      <w:lang w:val="en-US" w:eastAsia="zh-CN"/>
                    </w:rPr>
                    <w:t>属于</w:t>
                  </w:r>
                  <w:r>
                    <w:rPr>
                      <w:rFonts w:hint="default" w:ascii="Times New Roman" w:hAnsi="Times New Roman" w:eastAsia="宋体" w:cs="Times New Roman"/>
                      <w:color w:val="auto"/>
                      <w:sz w:val="21"/>
                      <w:szCs w:val="21"/>
                      <w:lang w:val="en-US" w:eastAsia="zh-CN"/>
                    </w:rPr>
                    <w:t>涉危险废物企业、涉重金属企业、化工园区等重点行业，项目建成后应按要求编写</w:t>
                  </w:r>
                  <w:r>
                    <w:rPr>
                      <w:rFonts w:hint="default" w:ascii="Times New Roman" w:hAnsi="Times New Roman" w:eastAsia="宋体" w:cs="Times New Roman"/>
                      <w:color w:val="auto"/>
                      <w:sz w:val="21"/>
                      <w:szCs w:val="21"/>
                    </w:rPr>
                    <w:t>突发环境事件</w:t>
                  </w:r>
                  <w:r>
                    <w:rPr>
                      <w:rFonts w:hint="default" w:ascii="Times New Roman" w:hAnsi="Times New Roman" w:eastAsia="宋体" w:cs="Times New Roman"/>
                      <w:color w:val="auto"/>
                      <w:sz w:val="21"/>
                      <w:szCs w:val="21"/>
                      <w:lang w:val="en-US" w:eastAsia="zh-CN"/>
                    </w:rPr>
                    <w:t>应急预案，配合各县市应急响应，符合环境风险防控要求。</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25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31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25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3.2-5】强化生态环境应急管理。实施企业突发生态环境应急预案电子化备案，完成县级以上政府突发环境事件应急预案修编。完善区域和企业应急处置物资储备系统，结合新疆各地特征污染物的特性，加强应急物资储备及应急物资信息化建设，掌握社会应急物资储备动态信息，妥善应对各类突发生态环境事件。加强应急监测装备配置，定期开展应急演练，增强实战能力。</w:t>
                  </w:r>
                </w:p>
              </w:tc>
              <w:tc>
                <w:tcPr>
                  <w:tcW w:w="133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2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A4资源</w:t>
                  </w:r>
                  <w:r>
                    <w:rPr>
                      <w:rFonts w:hint="default" w:ascii="Times New Roman" w:hAnsi="Times New Roman" w:eastAsia="宋体" w:cs="Times New Roman"/>
                      <w:color w:val="auto"/>
                      <w:sz w:val="21"/>
                      <w:szCs w:val="21"/>
                      <w:lang w:val="en-US" w:eastAsia="zh-CN"/>
                    </w:rPr>
                    <w:t>利用要求</w:t>
                  </w:r>
                </w:p>
              </w:tc>
              <w:tc>
                <w:tcPr>
                  <w:tcW w:w="3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A4.1</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水资源</w:t>
                  </w:r>
                </w:p>
              </w:tc>
              <w:tc>
                <w:tcPr>
                  <w:tcW w:w="25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【A4.1-1】自治区用水总量2025年、2030年控制在国家下达的指标内。</w:t>
                  </w:r>
                </w:p>
              </w:tc>
              <w:tc>
                <w:tcPr>
                  <w:tcW w:w="1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highlight w:val="none"/>
                      <w:lang w:val="en-US" w:eastAsia="zh-CN"/>
                    </w:rPr>
                    <w:t>项目无生产废水，</w:t>
                  </w:r>
                  <w:r>
                    <w:rPr>
                      <w:rFonts w:hint="eastAsia" w:ascii="Times New Roman" w:hAnsi="Times New Roman" w:cs="Times New Roman"/>
                      <w:b w:val="0"/>
                      <w:bCs w:val="0"/>
                      <w:color w:val="auto"/>
                      <w:sz w:val="21"/>
                      <w:szCs w:val="21"/>
                      <w:highlight w:val="none"/>
                      <w:lang w:val="en-US" w:eastAsia="zh-CN"/>
                    </w:rPr>
                    <w:t>员工不在厂区内食宿，无</w:t>
                  </w:r>
                  <w:r>
                    <w:rPr>
                      <w:rFonts w:hint="eastAsia" w:ascii="Times New Roman" w:hAnsi="Times New Roman" w:eastAsia="宋体" w:cs="Times New Roman"/>
                      <w:b w:val="0"/>
                      <w:bCs w:val="0"/>
                      <w:color w:val="auto"/>
                      <w:sz w:val="21"/>
                      <w:szCs w:val="21"/>
                      <w:highlight w:val="none"/>
                      <w:lang w:val="en-US" w:eastAsia="zh-CN"/>
                    </w:rPr>
                    <w:t>生活污水。</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bl>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bCs/>
                <w:color w:val="auto"/>
                <w:sz w:val="24"/>
                <w:szCs w:val="24"/>
              </w:rPr>
              <w:t>1.</w:t>
            </w:r>
            <w:r>
              <w:rPr>
                <w:rFonts w:hint="eastAsia" w:cs="Times New Roman"/>
                <w:b/>
                <w:bCs/>
                <w:color w:val="auto"/>
                <w:sz w:val="24"/>
                <w:szCs w:val="24"/>
                <w:lang w:val="en-US" w:eastAsia="zh-CN"/>
              </w:rPr>
              <w:t>5</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color w:val="auto"/>
                <w:sz w:val="24"/>
                <w:szCs w:val="24"/>
                <w:lang w:eastAsia="zh-CN"/>
              </w:rPr>
              <w:t>与《新疆维吾尔自治区七大片区</w:t>
            </w:r>
            <w:r>
              <w:rPr>
                <w:rFonts w:hint="eastAsia" w:cs="Times New Roman"/>
                <w:b/>
                <w:color w:val="auto"/>
                <w:sz w:val="24"/>
                <w:szCs w:val="24"/>
                <w:lang w:eastAsia="zh-CN"/>
              </w:rPr>
              <w:t>“</w:t>
            </w:r>
            <w:r>
              <w:rPr>
                <w:rFonts w:hint="default" w:ascii="Times New Roman" w:hAnsi="Times New Roman" w:eastAsia="宋体" w:cs="Times New Roman"/>
                <w:b/>
                <w:color w:val="auto"/>
                <w:sz w:val="24"/>
                <w:szCs w:val="24"/>
                <w:lang w:eastAsia="zh-CN"/>
              </w:rPr>
              <w:t>三线一单</w:t>
            </w:r>
            <w:r>
              <w:rPr>
                <w:rFonts w:hint="eastAsia" w:cs="Times New Roman"/>
                <w:b/>
                <w:color w:val="auto"/>
                <w:sz w:val="24"/>
                <w:szCs w:val="24"/>
                <w:lang w:eastAsia="zh-CN"/>
              </w:rPr>
              <w:t>”</w:t>
            </w:r>
            <w:r>
              <w:rPr>
                <w:rFonts w:hint="default" w:ascii="Times New Roman" w:hAnsi="Times New Roman" w:eastAsia="宋体" w:cs="Times New Roman"/>
                <w:b/>
                <w:color w:val="auto"/>
                <w:sz w:val="24"/>
                <w:szCs w:val="24"/>
                <w:lang w:eastAsia="zh-CN"/>
              </w:rPr>
              <w:t>生态环境分区管控要求》符合性分析</w:t>
            </w:r>
          </w:p>
          <w:p>
            <w:pPr>
              <w:pStyle w:val="25"/>
              <w:keepNext w:val="0"/>
              <w:keepLines w:val="0"/>
              <w:pageBreakBefore w:val="0"/>
              <w:widowControl w:val="0"/>
              <w:kinsoku/>
              <w:wordWrap/>
              <w:overflowPunct/>
              <w:topLinePunct w:val="0"/>
              <w:bidi w:val="0"/>
              <w:adjustRightInd w:val="0"/>
              <w:snapToGrid w:val="0"/>
              <w:spacing w:line="50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snapToGrid w:val="0"/>
                <w:color w:val="auto"/>
                <w:kern w:val="0"/>
                <w:sz w:val="24"/>
                <w:szCs w:val="24"/>
                <w:lang w:val="en-US" w:eastAsia="zh-CN" w:bidi="ar-SA"/>
                <w14:ligatures w14:val="none"/>
              </w:rPr>
              <w:t>2021年7月26日新疆维吾尔自治区生态环境厅发布了关于印发《新疆维吾尔自治区七大片区</w:t>
            </w:r>
            <w:r>
              <w:rPr>
                <w:rFonts w:hint="eastAsia" w:eastAsia="宋体" w:cs="Times New Roman"/>
                <w:snapToGrid w:val="0"/>
                <w:color w:val="auto"/>
                <w:kern w:val="0"/>
                <w:sz w:val="24"/>
                <w:szCs w:val="24"/>
                <w:lang w:val="en-US" w:eastAsia="zh-CN" w:bidi="ar-SA"/>
                <w14:ligatures w14:val="none"/>
              </w:rPr>
              <w:t>“</w:t>
            </w:r>
            <w:r>
              <w:rPr>
                <w:rFonts w:hint="default" w:ascii="Times New Roman" w:hAnsi="Times New Roman" w:eastAsia="宋体" w:cs="Times New Roman"/>
                <w:snapToGrid w:val="0"/>
                <w:color w:val="auto"/>
                <w:kern w:val="0"/>
                <w:sz w:val="24"/>
                <w:szCs w:val="24"/>
                <w:lang w:val="en-US" w:eastAsia="zh-CN" w:bidi="ar-SA"/>
                <w14:ligatures w14:val="none"/>
              </w:rPr>
              <w:t>三线一单</w:t>
            </w:r>
            <w:r>
              <w:rPr>
                <w:rFonts w:hint="eastAsia" w:eastAsia="宋体" w:cs="Times New Roman"/>
                <w:snapToGrid w:val="0"/>
                <w:color w:val="auto"/>
                <w:kern w:val="0"/>
                <w:sz w:val="24"/>
                <w:szCs w:val="24"/>
                <w:lang w:val="en-US" w:eastAsia="zh-CN" w:bidi="ar-SA"/>
                <w14:ligatures w14:val="none"/>
              </w:rPr>
              <w:t>”</w:t>
            </w:r>
            <w:r>
              <w:rPr>
                <w:rFonts w:hint="default" w:ascii="Times New Roman" w:hAnsi="Times New Roman" w:eastAsia="宋体" w:cs="Times New Roman"/>
                <w:snapToGrid w:val="0"/>
                <w:color w:val="auto"/>
                <w:kern w:val="0"/>
                <w:sz w:val="24"/>
                <w:szCs w:val="24"/>
                <w:lang w:val="en-US" w:eastAsia="zh-CN" w:bidi="ar-SA"/>
                <w14:ligatures w14:val="none"/>
              </w:rPr>
              <w:t>生态环境分区管控要求》（2021年版）的通知</w:t>
            </w:r>
            <w:r>
              <w:rPr>
                <w:rFonts w:hint="eastAsia" w:eastAsia="宋体" w:cs="Times New Roman"/>
                <w:snapToGrid w:val="0"/>
                <w:color w:val="auto"/>
                <w:kern w:val="0"/>
                <w:sz w:val="24"/>
                <w:szCs w:val="24"/>
                <w:lang w:val="en-US" w:eastAsia="zh-CN" w:bidi="ar-SA"/>
                <w14:ligatures w14:val="none"/>
              </w:rPr>
              <w:t>（</w:t>
            </w:r>
            <w:r>
              <w:rPr>
                <w:rFonts w:hint="default" w:ascii="Times New Roman" w:hAnsi="Times New Roman" w:eastAsia="宋体" w:cs="Times New Roman"/>
                <w:snapToGrid w:val="0"/>
                <w:color w:val="auto"/>
                <w:kern w:val="0"/>
                <w:sz w:val="24"/>
                <w:szCs w:val="24"/>
                <w:lang w:val="en-US" w:eastAsia="zh-CN" w:bidi="ar-SA"/>
                <w14:ligatures w14:val="none"/>
              </w:rPr>
              <w:t>新环环评发〔2021〕162号</w:t>
            </w:r>
            <w:r>
              <w:rPr>
                <w:rFonts w:hint="eastAsia" w:eastAsia="宋体" w:cs="Times New Roman"/>
                <w:snapToGrid w:val="0"/>
                <w:color w:val="auto"/>
                <w:kern w:val="0"/>
                <w:sz w:val="24"/>
                <w:szCs w:val="24"/>
                <w:lang w:val="en-US" w:eastAsia="zh-CN" w:bidi="ar-SA"/>
                <w14:ligatures w14:val="none"/>
              </w:rPr>
              <w:t>）</w:t>
            </w:r>
            <w:r>
              <w:rPr>
                <w:rFonts w:hint="default" w:ascii="Times New Roman" w:hAnsi="Times New Roman" w:eastAsia="宋体" w:cs="Times New Roman"/>
                <w:snapToGrid w:val="0"/>
                <w:color w:val="auto"/>
                <w:kern w:val="0"/>
                <w:sz w:val="24"/>
                <w:szCs w:val="24"/>
                <w:lang w:val="en-US" w:eastAsia="zh-CN" w:bidi="ar-SA"/>
                <w14:ligatures w14:val="none"/>
              </w:rPr>
              <w:t>。具体符合性分析见表1.</w:t>
            </w:r>
            <w:r>
              <w:rPr>
                <w:rFonts w:hint="eastAsia" w:eastAsia="宋体" w:cs="Times New Roman"/>
                <w:snapToGrid w:val="0"/>
                <w:color w:val="auto"/>
                <w:kern w:val="0"/>
                <w:sz w:val="24"/>
                <w:szCs w:val="24"/>
                <w:lang w:val="en-US" w:eastAsia="zh-CN" w:bidi="ar-SA"/>
                <w14:ligatures w14:val="none"/>
              </w:rPr>
              <w:t>5</w:t>
            </w:r>
            <w:r>
              <w:rPr>
                <w:rFonts w:hint="default" w:ascii="Times New Roman" w:hAnsi="Times New Roman" w:eastAsia="宋体" w:cs="Times New Roman"/>
                <w:snapToGrid w:val="0"/>
                <w:color w:val="auto"/>
                <w:kern w:val="0"/>
                <w:sz w:val="24"/>
                <w:szCs w:val="24"/>
                <w:lang w:val="en-US" w:eastAsia="zh-CN" w:bidi="ar-SA"/>
                <w14:ligatures w14:val="none"/>
              </w:rPr>
              <w:t>-2。</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表1</w:t>
            </w:r>
            <w:r>
              <w:rPr>
                <w:rFonts w:hint="eastAsia" w:ascii="Times New Roman" w:hAnsi="Times New Roman" w:eastAsia="宋体" w:cs="Times New Roman"/>
                <w:b/>
                <w:bCs/>
                <w:color w:val="auto"/>
                <w:sz w:val="21"/>
                <w:szCs w:val="21"/>
                <w:lang w:val="en-US" w:eastAsia="zh-CN"/>
              </w:rPr>
              <w:t>.5</w:t>
            </w:r>
            <w:r>
              <w:rPr>
                <w:rFonts w:hint="default" w:ascii="Times New Roman" w:hAnsi="Times New Roman" w:eastAsia="宋体" w:cs="Times New Roman"/>
                <w:b/>
                <w:bCs/>
                <w:color w:val="auto"/>
                <w:sz w:val="21"/>
                <w:szCs w:val="21"/>
                <w:lang w:val="en-US" w:eastAsia="zh-CN"/>
              </w:rPr>
              <w:t>-</w:t>
            </w:r>
            <w:r>
              <w:rPr>
                <w:rFonts w:hint="eastAsia"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b/>
                <w:bCs/>
                <w:color w:val="auto"/>
                <w:sz w:val="21"/>
                <w:szCs w:val="21"/>
                <w:lang w:val="en-US" w:eastAsia="zh-CN"/>
              </w:rPr>
              <w:t xml:space="preserve">   与《新疆维吾尔自治区七大片区</w:t>
            </w:r>
            <w:r>
              <w:rPr>
                <w:rFonts w:hint="eastAsia" w:ascii="Times New Roman" w:hAnsi="Times New Roman" w:eastAsia="宋体" w:cs="Times New Roman"/>
                <w:b/>
                <w:bCs/>
                <w:color w:val="auto"/>
                <w:sz w:val="21"/>
                <w:szCs w:val="21"/>
                <w:lang w:val="en-US" w:eastAsia="zh-CN"/>
              </w:rPr>
              <w:t>“</w:t>
            </w:r>
            <w:r>
              <w:rPr>
                <w:rFonts w:hint="default" w:ascii="Times New Roman" w:hAnsi="Times New Roman" w:eastAsia="宋体" w:cs="Times New Roman"/>
                <w:b/>
                <w:bCs/>
                <w:color w:val="auto"/>
                <w:sz w:val="21"/>
                <w:szCs w:val="21"/>
                <w:lang w:val="en-US" w:eastAsia="zh-CN"/>
              </w:rPr>
              <w:t>三线一单</w:t>
            </w:r>
            <w:r>
              <w:rPr>
                <w:rFonts w:hint="eastAsia" w:ascii="Times New Roman" w:hAnsi="Times New Roman" w:eastAsia="宋体" w:cs="Times New Roman"/>
                <w:b/>
                <w:bCs/>
                <w:color w:val="auto"/>
                <w:sz w:val="21"/>
                <w:szCs w:val="21"/>
                <w:lang w:val="en-US" w:eastAsia="zh-CN"/>
              </w:rPr>
              <w:t>”</w:t>
            </w:r>
            <w:r>
              <w:rPr>
                <w:rFonts w:hint="default" w:ascii="Times New Roman" w:hAnsi="Times New Roman" w:eastAsia="宋体" w:cs="Times New Roman"/>
                <w:b/>
                <w:bCs/>
                <w:color w:val="auto"/>
                <w:sz w:val="21"/>
                <w:szCs w:val="21"/>
                <w:lang w:val="en-US" w:eastAsia="zh-CN"/>
              </w:rPr>
              <w:t>生态环境分区管控要求》符合性分析一览表</w:t>
            </w:r>
          </w:p>
          <w:tbl>
            <w:tblPr>
              <w:tblStyle w:val="27"/>
              <w:tblW w:w="5000" w:type="pct"/>
              <w:jc w:val="center"/>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352"/>
              <w:gridCol w:w="480"/>
              <w:gridCol w:w="4217"/>
              <w:gridCol w:w="1799"/>
              <w:gridCol w:w="753"/>
            </w:tblGrid>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PrEx>
              <w:trPr>
                <w:trHeight w:val="454" w:hRule="atLeast"/>
                <w:jc w:val="center"/>
              </w:trPr>
              <w:tc>
                <w:tcPr>
                  <w:tcW w:w="615" w:type="pct"/>
                  <w:gridSpan w:val="2"/>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文件名称</w:t>
                  </w:r>
                </w:p>
              </w:tc>
              <w:tc>
                <w:tcPr>
                  <w:tcW w:w="2841" w:type="pct"/>
                  <w:gridSpan w:val="2"/>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文件要求</w:t>
                  </w:r>
                </w:p>
              </w:tc>
              <w:tc>
                <w:tcPr>
                  <w:tcW w:w="1088" w:type="pct"/>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本项目情况</w:t>
                  </w:r>
                </w:p>
              </w:tc>
              <w:tc>
                <w:tcPr>
                  <w:tcW w:w="455" w:type="pct"/>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符合性</w:t>
                  </w: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pct"/>
                  <w:vMerge w:val="restart"/>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新疆维吾尔自治区七大片区</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三线一单</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生态环境分区管控要求</w:t>
                  </w:r>
                </w:p>
              </w:tc>
              <w:tc>
                <w:tcPr>
                  <w:tcW w:w="212" w:type="pct"/>
                  <w:vMerge w:val="restart"/>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总体要求</w:t>
                  </w:r>
                </w:p>
              </w:tc>
              <w:tc>
                <w:tcPr>
                  <w:tcW w:w="290" w:type="pct"/>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空间布局约束</w:t>
                  </w:r>
                </w:p>
              </w:tc>
              <w:tc>
                <w:tcPr>
                  <w:tcW w:w="2550" w:type="pct"/>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推动项目聚集发展，新建、改建、扩建工业项目原则应布置于县级以上人民政府批准建立、环境保护基础设施完善的产业市政、工业聚集区或规划</w:t>
                  </w:r>
                  <w:r>
                    <w:rPr>
                      <w:rFonts w:hint="eastAsia" w:cs="Times New Roman"/>
                      <w:color w:val="auto"/>
                      <w:sz w:val="21"/>
                      <w:szCs w:val="21"/>
                      <w:lang w:val="en-US" w:eastAsia="zh-CN"/>
                    </w:rPr>
                    <w:t>项目区</w:t>
                  </w:r>
                  <w:r>
                    <w:rPr>
                      <w:rFonts w:hint="default" w:ascii="Times New Roman" w:hAnsi="Times New Roman" w:eastAsia="宋体" w:cs="Times New Roman"/>
                      <w:color w:val="auto"/>
                      <w:sz w:val="21"/>
                      <w:szCs w:val="21"/>
                      <w:lang w:val="en-US" w:eastAsia="zh-CN"/>
                    </w:rPr>
                    <w:t>，并且符合相关规划和规划环评要求</w:t>
                  </w:r>
                </w:p>
              </w:tc>
              <w:tc>
                <w:tcPr>
                  <w:tcW w:w="1088" w:type="pct"/>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项目属于《产业结构调整指导目录（2024年本）》</w:t>
                  </w:r>
                  <w:r>
                    <w:rPr>
                      <w:rFonts w:hint="eastAsia" w:cs="Times New Roman"/>
                      <w:color w:val="auto"/>
                      <w:sz w:val="21"/>
                      <w:szCs w:val="21"/>
                      <w:lang w:val="en-US" w:eastAsia="zh-CN"/>
                    </w:rPr>
                    <w:t>中</w:t>
                  </w:r>
                  <w:r>
                    <w:rPr>
                      <w:rFonts w:hint="default" w:ascii="Times New Roman" w:hAnsi="Times New Roman" w:eastAsia="宋体" w:cs="Times New Roman"/>
                      <w:color w:val="auto"/>
                      <w:sz w:val="21"/>
                      <w:szCs w:val="21"/>
                      <w:lang w:val="en-US" w:eastAsia="zh-CN"/>
                    </w:rPr>
                    <w:t>鼓励类。项目不属于</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三高</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两高</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项目，符合国家产业政策。</w:t>
                  </w:r>
                </w:p>
              </w:tc>
              <w:tc>
                <w:tcPr>
                  <w:tcW w:w="455" w:type="pct"/>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符合</w:t>
                  </w: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PrEx>
              <w:trPr>
                <w:trHeight w:val="454" w:hRule="atLeast"/>
                <w:jc w:val="center"/>
              </w:trPr>
              <w:tc>
                <w:tcPr>
                  <w:tcW w:w="402" w:type="pct"/>
                  <w:vMerge w:val="continue"/>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p>
              </w:tc>
              <w:tc>
                <w:tcPr>
                  <w:tcW w:w="212" w:type="pct"/>
                  <w:vMerge w:val="continue"/>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p>
              </w:tc>
              <w:tc>
                <w:tcPr>
                  <w:tcW w:w="290" w:type="pct"/>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污染物排放管控</w:t>
                  </w:r>
                </w:p>
              </w:tc>
              <w:tc>
                <w:tcPr>
                  <w:tcW w:w="2550" w:type="pct"/>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强化园区</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工业集聚区</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水污染防治，不断提高工业用水重复利用率。加快实施城镇污水处理设施提质增效，补齐生活污水收集和处理设施短板，提高再生水回用比例。</w:t>
                  </w:r>
                </w:p>
              </w:tc>
              <w:tc>
                <w:tcPr>
                  <w:tcW w:w="1088" w:type="pct"/>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本项目</w:t>
                  </w:r>
                  <w:r>
                    <w:rPr>
                      <w:rFonts w:hint="eastAsia" w:cs="Times New Roman"/>
                      <w:color w:val="auto"/>
                      <w:sz w:val="21"/>
                      <w:szCs w:val="21"/>
                      <w:highlight w:val="none"/>
                      <w:lang w:val="en-US" w:eastAsia="zh-CN"/>
                    </w:rPr>
                    <w:t>为食品加工企业，位于园区</w:t>
                  </w:r>
                  <w:r>
                    <w:rPr>
                      <w:rFonts w:hint="default" w:ascii="Times New Roman" w:hAnsi="Times New Roman" w:eastAsia="宋体" w:cs="Times New Roman"/>
                      <w:color w:val="auto"/>
                      <w:sz w:val="21"/>
                      <w:szCs w:val="21"/>
                      <w:highlight w:val="none"/>
                      <w:lang w:val="en-US" w:eastAsia="zh-CN"/>
                    </w:rPr>
                    <w:t>，项目无生产废水，</w:t>
                  </w:r>
                  <w:r>
                    <w:rPr>
                      <w:rFonts w:hint="eastAsia" w:ascii="Times New Roman" w:hAnsi="Times New Roman" w:cs="Times New Roman"/>
                      <w:b w:val="0"/>
                      <w:bCs w:val="0"/>
                      <w:color w:val="auto"/>
                      <w:sz w:val="21"/>
                      <w:szCs w:val="21"/>
                      <w:highlight w:val="none"/>
                      <w:lang w:val="en-US" w:eastAsia="zh-CN"/>
                    </w:rPr>
                    <w:t>员工不在厂区内食宿，无</w:t>
                  </w:r>
                  <w:r>
                    <w:rPr>
                      <w:rFonts w:hint="eastAsia" w:ascii="Times New Roman" w:hAnsi="Times New Roman" w:eastAsia="宋体" w:cs="Times New Roman"/>
                      <w:b w:val="0"/>
                      <w:bCs w:val="0"/>
                      <w:color w:val="auto"/>
                      <w:sz w:val="21"/>
                      <w:szCs w:val="21"/>
                      <w:highlight w:val="none"/>
                      <w:lang w:val="en-US" w:eastAsia="zh-CN"/>
                    </w:rPr>
                    <w:t>生活污水。</w:t>
                  </w:r>
                </w:p>
              </w:tc>
              <w:tc>
                <w:tcPr>
                  <w:tcW w:w="455" w:type="pct"/>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符合</w:t>
                  </w:r>
                </w:p>
              </w:tc>
            </w:tr>
          </w:tbl>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1.5.3与《巴音郭楞蒙古自治州生态环境准入清单（2023年）》符合性分析</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2024年12月9日，巴音郭楞蒙古自治州人民政府办公室发布《关于印发巴音郭楞蒙古自治州“三线一单”生态环境分区管控动态更新成果（2023年）的通知》（巴政办发〔2024〕32号），本项目为和硕县经济开发区重点管控单元（ZH65282820009）。</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项目与《巴音郭楞蒙古自治州生态环境准入清单（2023年）》符合性分析见表1.5-3，项目环境管控单元分类图详见附图3。</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表1.5-3   与《巴音郭楞蒙古自治州生态环境准入清单》相符性分析</w:t>
            </w:r>
          </w:p>
          <w:tbl>
            <w:tblPr>
              <w:tblStyle w:val="58"/>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3"/>
              <w:gridCol w:w="316"/>
              <w:gridCol w:w="3846"/>
              <w:gridCol w:w="3101"/>
              <w:gridCol w:w="6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380"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名称</w:t>
                  </w:r>
                </w:p>
              </w:tc>
              <w:tc>
                <w:tcPr>
                  <w:tcW w:w="23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管控要求</w:t>
                  </w:r>
                </w:p>
              </w:tc>
              <w:tc>
                <w:tcPr>
                  <w:tcW w:w="18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w:t>
                  </w:r>
                </w:p>
              </w:tc>
              <w:tc>
                <w:tcPr>
                  <w:tcW w:w="41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80" w:type="pct"/>
                  <w:gridSpan w:val="2"/>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lang w:val="en-US" w:eastAsia="zh-CN" w:bidi="ar-SA"/>
                      <w14:ligatures w14:val="none"/>
                    </w:rPr>
                  </w:pPr>
                  <w:r>
                    <w:rPr>
                      <w:rFonts w:hint="default" w:ascii="Times New Roman" w:hAnsi="Times New Roman" w:eastAsia="宋体" w:cs="Times New Roman"/>
                      <w:color w:val="auto"/>
                      <w:sz w:val="21"/>
                      <w:szCs w:val="21"/>
                      <w:lang w:eastAsia="zh-CN"/>
                    </w:rPr>
                    <w:t>空间布局约束</w:t>
                  </w:r>
                </w:p>
              </w:tc>
              <w:tc>
                <w:tcPr>
                  <w:tcW w:w="3846"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Times New Roman" w:hAnsi="Times New Roman" w:eastAsia="宋体" w:cs="Times New Roman"/>
                      <w:snapToGrid w:val="0"/>
                      <w:color w:val="auto"/>
                      <w:kern w:val="0"/>
                      <w:sz w:val="21"/>
                      <w:szCs w:val="21"/>
                      <w:lang w:val="en-US" w:eastAsia="zh-CN" w:bidi="ar-SA"/>
                      <w14:ligatures w14:val="none"/>
                    </w:rPr>
                  </w:pPr>
                  <w:r>
                    <w:rPr>
                      <w:rFonts w:hint="eastAsia" w:ascii="Times New Roman" w:hAnsi="Times New Roman" w:eastAsia="宋体" w:cs="Times New Roman"/>
                      <w:color w:val="auto"/>
                      <w:sz w:val="21"/>
                      <w:szCs w:val="21"/>
                      <w:lang w:val="en-US" w:eastAsia="zh-CN"/>
                    </w:rPr>
                    <w:t>1.11</w:t>
                  </w:r>
                  <w:r>
                    <w:rPr>
                      <w:rFonts w:hint="default" w:ascii="Times New Roman" w:hAnsi="Times New Roman" w:eastAsia="宋体" w:cs="Times New Roman"/>
                      <w:color w:val="auto"/>
                      <w:sz w:val="21"/>
                      <w:szCs w:val="21"/>
                    </w:rPr>
                    <w:t>强化空间布局管控。严格执行相关行业企业布局选址要求，禁止在居民区、学校、医疗和养老机构等周边新建土壤环境重点监管行业企业；结合推进新型城镇化、产业结构调整和化解过剩产能等，有序搬迁或依法关闭对土壤造成严重污染的现有企业。结合区域功能定位和土壤污染防治需要，科学布局生活垃圾处理、危险废物处置、废旧资源再生利用等设施和场所，合理确定畜禽养殖布局和规模。</w:t>
                  </w:r>
                </w:p>
              </w:tc>
              <w:tc>
                <w:tcPr>
                  <w:tcW w:w="187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宋体" w:cs="Times New Roman"/>
                      <w:snapToGrid w:val="0"/>
                      <w:color w:val="auto"/>
                      <w:kern w:val="0"/>
                      <w:sz w:val="21"/>
                      <w:szCs w:val="21"/>
                      <w:lang w:val="en-US" w:eastAsia="zh-CN" w:bidi="ar-SA"/>
                      <w14:ligatures w14:val="none"/>
                    </w:rPr>
                  </w:pPr>
                  <w:r>
                    <w:rPr>
                      <w:rFonts w:hint="eastAsia" w:ascii="Times New Roman" w:hAnsi="Times New Roman" w:eastAsia="宋体" w:cs="Times New Roman"/>
                      <w:color w:val="auto"/>
                      <w:sz w:val="21"/>
                      <w:szCs w:val="21"/>
                      <w:lang w:val="en-US" w:eastAsia="zh-CN"/>
                    </w:rPr>
                    <w:t>本项目为</w:t>
                  </w:r>
                  <w:r>
                    <w:rPr>
                      <w:rFonts w:hint="eastAsia" w:cs="Times New Roman"/>
                      <w:color w:val="auto"/>
                      <w:sz w:val="21"/>
                      <w:szCs w:val="21"/>
                      <w:lang w:val="en-US" w:eastAsia="zh-CN"/>
                    </w:rPr>
                    <w:t>食品加工企业</w:t>
                  </w:r>
                  <w:r>
                    <w:rPr>
                      <w:rFonts w:hint="eastAsia" w:ascii="Times New Roman" w:hAnsi="Times New Roman" w:eastAsia="宋体" w:cs="Times New Roman"/>
                      <w:color w:val="auto"/>
                      <w:sz w:val="21"/>
                      <w:szCs w:val="21"/>
                      <w:lang w:val="en-US" w:eastAsia="zh-CN"/>
                    </w:rPr>
                    <w:t>，位于和硕县多式联运产业物流园，符合园区规划布局。</w:t>
                  </w:r>
                </w:p>
              </w:tc>
              <w:tc>
                <w:tcPr>
                  <w:tcW w:w="41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lang w:val="en-US" w:eastAsia="zh-CN" w:bidi="ar-SA"/>
                      <w14:ligatures w14:val="none"/>
                    </w:rPr>
                  </w:pPr>
                  <w:r>
                    <w:rPr>
                      <w:rFonts w:hint="default" w:ascii="Times New Roman" w:hAnsi="Times New Roman" w:eastAsia="宋体" w:cs="Times New Roman"/>
                      <w:color w:val="auto"/>
                      <w:sz w:val="21"/>
                      <w:szCs w:val="21"/>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380" w:type="pct"/>
                  <w:gridSpan w:val="2"/>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lang w:val="en-US" w:eastAsia="zh-CN" w:bidi="ar-SA"/>
                      <w14:ligatures w14:val="none"/>
                    </w:rPr>
                  </w:pPr>
                  <w:r>
                    <w:rPr>
                      <w:rFonts w:hint="default" w:ascii="Times New Roman" w:hAnsi="Times New Roman" w:eastAsia="宋体" w:cs="Times New Roman"/>
                      <w:color w:val="auto"/>
                      <w:sz w:val="21"/>
                      <w:szCs w:val="21"/>
                      <w:lang w:eastAsia="zh-CN"/>
                    </w:rPr>
                    <w:t>污染物排放管控</w:t>
                  </w:r>
                </w:p>
              </w:tc>
              <w:tc>
                <w:tcPr>
                  <w:tcW w:w="3846"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2.19 防控企业污染。结合自治区、自治州耕地保护相关规定以及生态红线、耕地红线等要求，加强项目的立项、环评审核审批和节能评估审查等源头控制措施，严格控制在优先保护类耕地、园地、草地集中区域新建有色金属冶炼、石油加工、化工、焦化、电镀、制革、造纸及纸制品、金属制品、金属冶炼及延压加工、煤炭开采、黑色金属和有色金属矿采选业、非金属矿物采选业、危废治理等土壤环境监管重点</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Times New Roman" w:hAnsi="Times New Roman" w:eastAsia="宋体" w:cs="Times New Roman"/>
                      <w:snapToGrid w:val="0"/>
                      <w:color w:val="auto"/>
                      <w:kern w:val="0"/>
                      <w:sz w:val="21"/>
                      <w:szCs w:val="21"/>
                      <w:lang w:val="en-US" w:eastAsia="zh-CN" w:bidi="ar-SA"/>
                      <w14:ligatures w14:val="none"/>
                    </w:rPr>
                  </w:pPr>
                  <w:r>
                    <w:rPr>
                      <w:rFonts w:hint="default" w:ascii="Times New Roman" w:hAnsi="Times New Roman" w:eastAsia="宋体" w:cs="Times New Roman"/>
                      <w:color w:val="auto"/>
                      <w:sz w:val="21"/>
                      <w:szCs w:val="21"/>
                      <w:lang w:eastAsia="zh-CN"/>
                    </w:rPr>
                    <w:t>业项目。</w:t>
                  </w:r>
                </w:p>
              </w:tc>
              <w:tc>
                <w:tcPr>
                  <w:tcW w:w="187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firstLine="0" w:firstLineChars="0"/>
                    <w:jc w:val="both"/>
                    <w:textAlignment w:val="auto"/>
                    <w:rPr>
                      <w:rFonts w:hint="eastAsia" w:ascii="Times New Roman" w:hAnsi="Times New Roman" w:eastAsia="宋体" w:cs="Times New Roman"/>
                      <w:snapToGrid w:val="0"/>
                      <w:color w:val="auto"/>
                      <w:kern w:val="0"/>
                      <w:sz w:val="21"/>
                      <w:szCs w:val="21"/>
                      <w:lang w:val="en-US" w:eastAsia="zh-CN" w:bidi="ar-SA"/>
                      <w14:ligatures w14:val="none"/>
                    </w:rPr>
                  </w:pPr>
                  <w:r>
                    <w:rPr>
                      <w:rFonts w:hint="eastAsia" w:ascii="Times New Roman" w:hAnsi="Times New Roman" w:eastAsia="宋体" w:cs="Times New Roman"/>
                      <w:color w:val="auto"/>
                      <w:sz w:val="21"/>
                      <w:szCs w:val="21"/>
                      <w:lang w:val="en-US" w:eastAsia="zh-CN"/>
                    </w:rPr>
                    <w:t>本项目</w:t>
                  </w:r>
                  <w:r>
                    <w:rPr>
                      <w:rFonts w:hint="eastAsia" w:cs="Times New Roman"/>
                      <w:color w:val="auto"/>
                      <w:sz w:val="21"/>
                      <w:szCs w:val="21"/>
                      <w:lang w:val="en-US" w:eastAsia="zh-CN"/>
                    </w:rPr>
                    <w:t>已取得备案证。本项目为食品加工企业，</w:t>
                  </w:r>
                  <w:r>
                    <w:rPr>
                      <w:rFonts w:hint="default" w:ascii="Times New Roman" w:hAnsi="Times New Roman" w:eastAsia="宋体" w:cs="Times New Roman"/>
                      <w:color w:val="auto"/>
                      <w:sz w:val="21"/>
                      <w:szCs w:val="21"/>
                      <w:lang w:val="en-US" w:eastAsia="zh-CN"/>
                    </w:rPr>
                    <w:t>项目无生产废水，</w:t>
                  </w:r>
                  <w:r>
                    <w:rPr>
                      <w:rFonts w:hint="eastAsia" w:ascii="Times New Roman" w:hAnsi="Times New Roman" w:cs="Times New Roman"/>
                      <w:b w:val="0"/>
                      <w:bCs w:val="0"/>
                      <w:color w:val="auto"/>
                      <w:sz w:val="21"/>
                      <w:szCs w:val="21"/>
                      <w:highlight w:val="none"/>
                      <w:lang w:val="en-US" w:eastAsia="zh-CN"/>
                    </w:rPr>
                    <w:t>员工不在厂区内食宿，无</w:t>
                  </w:r>
                  <w:r>
                    <w:rPr>
                      <w:rFonts w:hint="eastAsia" w:ascii="Times New Roman" w:hAnsi="Times New Roman" w:eastAsia="宋体" w:cs="Times New Roman"/>
                      <w:b w:val="0"/>
                      <w:bCs w:val="0"/>
                      <w:color w:val="auto"/>
                      <w:sz w:val="21"/>
                      <w:szCs w:val="21"/>
                      <w:highlight w:val="none"/>
                      <w:lang w:val="en-US" w:eastAsia="zh-CN"/>
                    </w:rPr>
                    <w:t>生活污水</w:t>
                  </w:r>
                  <w:r>
                    <w:rPr>
                      <w:rFonts w:hint="eastAsia" w:cs="Times New Roman"/>
                      <w:color w:val="auto"/>
                      <w:sz w:val="21"/>
                      <w:szCs w:val="21"/>
                      <w:lang w:val="en-US" w:eastAsia="zh-CN"/>
                    </w:rPr>
                    <w:t>；不会对土壤造成影响。</w:t>
                  </w:r>
                </w:p>
              </w:tc>
              <w:tc>
                <w:tcPr>
                  <w:tcW w:w="41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lang w:val="en-US" w:eastAsia="zh-CN" w:bidi="ar-SA"/>
                      <w14:ligatures w14:val="none"/>
                    </w:rPr>
                  </w:pPr>
                  <w:r>
                    <w:rPr>
                      <w:rFonts w:hint="default" w:ascii="Times New Roman" w:hAnsi="Times New Roman" w:eastAsia="宋体" w:cs="Times New Roman"/>
                      <w:color w:val="auto"/>
                      <w:sz w:val="21"/>
                      <w:szCs w:val="21"/>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380" w:type="pct"/>
                  <w:gridSpan w:val="2"/>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lang w:val="en-US" w:eastAsia="zh-CN" w:bidi="ar-SA"/>
                      <w14:ligatures w14:val="none"/>
                    </w:rPr>
                  </w:pPr>
                  <w:r>
                    <w:rPr>
                      <w:rFonts w:hint="default" w:ascii="Times New Roman" w:hAnsi="Times New Roman" w:eastAsia="宋体" w:cs="Times New Roman"/>
                      <w:color w:val="auto"/>
                      <w:sz w:val="21"/>
                      <w:szCs w:val="21"/>
                      <w:lang w:eastAsia="zh-CN"/>
                    </w:rPr>
                    <w:t>环境风险防控</w:t>
                  </w:r>
                </w:p>
              </w:tc>
              <w:tc>
                <w:tcPr>
                  <w:tcW w:w="3846"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3.1 强化污染防治区域联防联控。坚持属地管理与区域协调联动共治相结合，强化主体责任，完善跨区域大气污染联防联控工作机制，强化兵地区域同防同治，完善兵地沟通协作、信息共享机制以及生态环境治理体系，积极推进兵地生态环境执法改革，使兵地联合执法、交叉执法成为常态。健全污染过程预警应急响应机制。各县市人民政府负责本行政区内的重污染天气应急响应工作，自治州重污染天气应急指挥</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宋体" w:cs="Times New Roman"/>
                      <w:snapToGrid w:val="0"/>
                      <w:color w:val="auto"/>
                      <w:kern w:val="0"/>
                      <w:sz w:val="21"/>
                      <w:szCs w:val="21"/>
                      <w:lang w:val="en-US" w:eastAsia="zh-CN" w:bidi="ar-SA"/>
                      <w14:ligatures w14:val="none"/>
                    </w:rPr>
                  </w:pPr>
                  <w:r>
                    <w:rPr>
                      <w:rFonts w:hint="default" w:ascii="Times New Roman" w:hAnsi="Times New Roman" w:eastAsia="宋体" w:cs="Times New Roman"/>
                      <w:color w:val="auto"/>
                      <w:sz w:val="21"/>
                      <w:szCs w:val="21"/>
                      <w:lang w:val="en-US" w:eastAsia="zh-CN"/>
                    </w:rPr>
                    <w:t>部统筹指挥重污染应对工作，成员各司其职、密切配合。</w:t>
                  </w:r>
                </w:p>
              </w:tc>
              <w:tc>
                <w:tcPr>
                  <w:tcW w:w="187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Times New Roman" w:hAnsi="Times New Roman" w:eastAsia="宋体" w:cs="Times New Roman"/>
                      <w:snapToGrid w:val="0"/>
                      <w:color w:val="auto"/>
                      <w:kern w:val="0"/>
                      <w:sz w:val="21"/>
                      <w:szCs w:val="21"/>
                      <w:lang w:val="en-US" w:eastAsia="zh-CN" w:bidi="ar-SA"/>
                      <w14:ligatures w14:val="none"/>
                    </w:rPr>
                  </w:pPr>
                  <w:r>
                    <w:rPr>
                      <w:rFonts w:hint="eastAsia" w:ascii="Times New Roman" w:hAnsi="Times New Roman" w:eastAsia="宋体" w:cs="Times New Roman"/>
                      <w:color w:val="auto"/>
                      <w:sz w:val="21"/>
                      <w:szCs w:val="21"/>
                      <w:lang w:val="en-US" w:eastAsia="zh-CN"/>
                    </w:rPr>
                    <w:t>本项目拟采取的环保措施为全封闭</w:t>
                  </w:r>
                  <w:r>
                    <w:rPr>
                      <w:rFonts w:hint="eastAsia" w:cs="Times New Roman"/>
                      <w:color w:val="auto"/>
                      <w:sz w:val="21"/>
                      <w:szCs w:val="21"/>
                      <w:lang w:val="en-US" w:eastAsia="zh-CN"/>
                    </w:rPr>
                    <w:t>的打粉</w:t>
                  </w:r>
                  <w:r>
                    <w:rPr>
                      <w:rFonts w:hint="eastAsia" w:ascii="Times New Roman" w:hAnsi="Times New Roman" w:eastAsia="宋体" w:cs="Times New Roman"/>
                      <w:color w:val="auto"/>
                      <w:sz w:val="21"/>
                      <w:szCs w:val="21"/>
                      <w:lang w:val="en-US" w:eastAsia="zh-CN"/>
                    </w:rPr>
                    <w:t>车间，废气经布袋除尘装置处理后经15m高排气筒排放，除尘效率99%</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rPr>
                    <w:t>符合污染物排放管控要求。</w:t>
                  </w:r>
                </w:p>
              </w:tc>
              <w:tc>
                <w:tcPr>
                  <w:tcW w:w="41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lang w:val="en-US" w:eastAsia="zh-CN" w:bidi="ar-SA"/>
                      <w14:ligatures w14:val="none"/>
                    </w:rPr>
                  </w:pPr>
                  <w:r>
                    <w:rPr>
                      <w:rFonts w:hint="default" w:ascii="Times New Roman" w:hAnsi="Times New Roman" w:eastAsia="宋体" w:cs="Times New Roman"/>
                      <w:color w:val="auto"/>
                      <w:sz w:val="21"/>
                      <w:szCs w:val="21"/>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89" w:type="pct"/>
                  <w:vMerge w:val="restart"/>
                  <w:tcBorders>
                    <w:tl2br w:val="nil"/>
                    <w:tr2bl w:val="nil"/>
                  </w:tcBorders>
                  <w:noWrap w:val="0"/>
                  <w:vAlign w:val="center"/>
                </w:tcPr>
                <w:p>
                  <w:pPr>
                    <w:pStyle w:val="59"/>
                    <w:bidi w:val="0"/>
                    <w:ind w:left="0" w:leftChars="0" w:firstLine="0" w:firstLineChars="0"/>
                    <w:rPr>
                      <w:rFonts w:hint="default" w:ascii="Times New Roman" w:hAnsi="Times New Roman" w:eastAsia="宋体" w:cs="Times New Roman"/>
                      <w:color w:val="auto"/>
                      <w:sz w:val="21"/>
                      <w:szCs w:val="21"/>
                      <w:lang w:eastAsia="zh-CN"/>
                    </w:rPr>
                  </w:pPr>
                  <w:r>
                    <w:rPr>
                      <w:rFonts w:hint="eastAsia"/>
                      <w:color w:val="auto"/>
                    </w:rPr>
                    <w:t>和</w:t>
                  </w:r>
                  <w:r>
                    <w:rPr>
                      <w:rFonts w:hint="eastAsia"/>
                      <w:color w:val="auto"/>
                      <w:lang w:val="en-US" w:eastAsia="zh-CN"/>
                    </w:rPr>
                    <w:t>硕</w:t>
                  </w:r>
                  <w:r>
                    <w:rPr>
                      <w:rFonts w:hint="eastAsia"/>
                      <w:color w:val="auto"/>
                    </w:rPr>
                    <w:t>县</w:t>
                  </w:r>
                  <w:r>
                    <w:rPr>
                      <w:rFonts w:hint="eastAsia"/>
                      <w:color w:val="auto"/>
                      <w:lang w:val="en-US" w:eastAsia="zh-CN"/>
                    </w:rPr>
                    <w:t>经济开发区重点管控单元</w:t>
                  </w:r>
                  <w:r>
                    <w:rPr>
                      <w:rFonts w:hint="eastAsia"/>
                      <w:color w:val="auto"/>
                      <w:lang w:eastAsia="zh-CN"/>
                    </w:rPr>
                    <w:t>（</w:t>
                  </w:r>
                  <w:r>
                    <w:rPr>
                      <w:rFonts w:hint="eastAsia"/>
                      <w:color w:val="auto"/>
                    </w:rPr>
                    <w:t>ZH65282</w:t>
                  </w:r>
                  <w:r>
                    <w:rPr>
                      <w:rFonts w:hint="eastAsia"/>
                      <w:color w:val="auto"/>
                      <w:lang w:val="en-US" w:eastAsia="zh-CN"/>
                    </w:rPr>
                    <w:t>82</w:t>
                  </w:r>
                  <w:r>
                    <w:rPr>
                      <w:rFonts w:hint="eastAsia"/>
                      <w:color w:val="auto"/>
                    </w:rPr>
                    <w:t>000</w:t>
                  </w:r>
                  <w:r>
                    <w:rPr>
                      <w:rFonts w:hint="eastAsia"/>
                      <w:color w:val="auto"/>
                      <w:lang w:val="en-US" w:eastAsia="zh-CN"/>
                    </w:rPr>
                    <w:t>9</w:t>
                  </w:r>
                  <w:r>
                    <w:rPr>
                      <w:rFonts w:hint="eastAsia"/>
                      <w:color w:val="auto"/>
                      <w:lang w:eastAsia="zh-CN"/>
                    </w:rPr>
                    <w:t>）</w:t>
                  </w:r>
                </w:p>
              </w:tc>
              <w:tc>
                <w:tcPr>
                  <w:tcW w:w="191" w:type="pct"/>
                  <w:tcBorders>
                    <w:tl2br w:val="nil"/>
                    <w:tr2bl w:val="nil"/>
                  </w:tcBorders>
                  <w:noWrap w:val="0"/>
                  <w:vAlign w:val="center"/>
                </w:tcPr>
                <w:p>
                  <w:pPr>
                    <w:pStyle w:val="59"/>
                    <w:bidi w:val="0"/>
                    <w:ind w:left="0" w:leftChars="0" w:firstLine="0" w:firstLineChars="0"/>
                    <w:rPr>
                      <w:rFonts w:hint="eastAsia"/>
                      <w:color w:val="auto"/>
                    </w:rPr>
                  </w:pPr>
                  <w:r>
                    <w:rPr>
                      <w:rFonts w:hint="eastAsia"/>
                      <w:color w:val="auto"/>
                    </w:rPr>
                    <w:t>空间布局约束</w:t>
                  </w:r>
                </w:p>
              </w:tc>
              <w:tc>
                <w:tcPr>
                  <w:tcW w:w="3846" w:type="dxa"/>
                  <w:tcBorders>
                    <w:tl2br w:val="nil"/>
                    <w:tr2bl w:val="nil"/>
                  </w:tcBorders>
                  <w:noWrap w:val="0"/>
                  <w:vAlign w:val="center"/>
                </w:tcPr>
                <w:p>
                  <w:pPr>
                    <w:pStyle w:val="59"/>
                    <w:bidi w:val="0"/>
                    <w:ind w:left="0" w:leftChars="0" w:firstLine="0" w:firstLineChars="0"/>
                    <w:jc w:val="both"/>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符合国家环保和节能减排要求，排放污染物必须达到国家和自治区污染物排放标准，严禁国家明文规定的限制类、淘汰类项目进入园区；不得采用国家、自治区淘汰或禁止使用的生产工艺、技术和设备；项目中的防治措施必须与主体工程同时设计、同时施工、同时投产使用。</w:t>
                  </w:r>
                </w:p>
              </w:tc>
              <w:tc>
                <w:tcPr>
                  <w:tcW w:w="1875" w:type="pct"/>
                  <w:tcBorders>
                    <w:tl2br w:val="nil"/>
                    <w:tr2bl w:val="nil"/>
                  </w:tcBorders>
                  <w:noWrap w:val="0"/>
                  <w:vAlign w:val="center"/>
                </w:tcPr>
                <w:p>
                  <w:pPr>
                    <w:pStyle w:val="59"/>
                    <w:bidi w:val="0"/>
                    <w:ind w:left="0" w:leftChars="0" w:firstLine="0" w:firstLineChars="0"/>
                    <w:jc w:val="left"/>
                    <w:rPr>
                      <w:rFonts w:hint="eastAsia"/>
                      <w:color w:val="auto"/>
                      <w:sz w:val="21"/>
                      <w:szCs w:val="21"/>
                      <w:lang w:val="en-US" w:eastAsia="zh-CN"/>
                    </w:rPr>
                  </w:pPr>
                  <w:r>
                    <w:rPr>
                      <w:rFonts w:hint="eastAsia" w:eastAsia="宋体"/>
                      <w:color w:val="auto"/>
                      <w:sz w:val="21"/>
                      <w:szCs w:val="22"/>
                      <w:lang w:eastAsia="zh-CN"/>
                    </w:rPr>
                    <w:t>本项目为</w:t>
                  </w:r>
                  <w:r>
                    <w:rPr>
                      <w:rFonts w:hint="eastAsia"/>
                      <w:color w:val="auto"/>
                      <w:sz w:val="21"/>
                      <w:szCs w:val="22"/>
                      <w:lang w:val="en-US" w:eastAsia="zh-CN"/>
                    </w:rPr>
                    <w:t>食品加工企业</w:t>
                  </w:r>
                  <w:r>
                    <w:rPr>
                      <w:rFonts w:hint="eastAsia" w:eastAsia="宋体"/>
                      <w:color w:val="auto"/>
                      <w:sz w:val="21"/>
                      <w:szCs w:val="22"/>
                      <w:lang w:eastAsia="zh-CN"/>
                    </w:rPr>
                    <w:t>，</w:t>
                  </w:r>
                  <w:r>
                    <w:rPr>
                      <w:rFonts w:hint="eastAsia"/>
                      <w:color w:val="auto"/>
                      <w:sz w:val="21"/>
                      <w:szCs w:val="22"/>
                      <w:lang w:val="en-US" w:eastAsia="zh-CN"/>
                    </w:rPr>
                    <w:t>属于</w:t>
                  </w:r>
                  <w:r>
                    <w:rPr>
                      <w:rFonts w:hint="default" w:ascii="Times New Roman" w:hAnsi="Times New Roman" w:eastAsia="宋体" w:cs="Times New Roman"/>
                      <w:color w:val="auto"/>
                      <w:sz w:val="21"/>
                      <w:szCs w:val="21"/>
                      <w:lang w:val="en-US" w:eastAsia="zh-CN"/>
                    </w:rPr>
                    <w:t>《产业结构调整指导目录（2024年本）》</w:t>
                  </w:r>
                  <w:r>
                    <w:rPr>
                      <w:rFonts w:hint="eastAsia" w:cs="Times New Roman"/>
                      <w:color w:val="auto"/>
                      <w:sz w:val="21"/>
                      <w:szCs w:val="21"/>
                      <w:lang w:val="en-US" w:eastAsia="zh-CN"/>
                    </w:rPr>
                    <w:t>中</w:t>
                  </w:r>
                  <w:r>
                    <w:rPr>
                      <w:rFonts w:hint="eastAsia"/>
                      <w:color w:val="auto"/>
                      <w:sz w:val="21"/>
                      <w:szCs w:val="22"/>
                      <w:lang w:val="en-US" w:eastAsia="zh-CN"/>
                    </w:rPr>
                    <w:t>鼓励类项目。</w:t>
                  </w:r>
                  <w:r>
                    <w:rPr>
                      <w:rFonts w:hint="eastAsia"/>
                      <w:lang w:val="en-US" w:eastAsia="zh-CN"/>
                    </w:rPr>
                    <w:t>严格执行“三同时”制度。</w:t>
                  </w:r>
                </w:p>
              </w:tc>
              <w:tc>
                <w:tcPr>
                  <w:tcW w:w="416" w:type="pct"/>
                  <w:tcBorders>
                    <w:tl2br w:val="nil"/>
                    <w:tr2bl w:val="nil"/>
                  </w:tcBorders>
                  <w:noWrap w:val="0"/>
                  <w:vAlign w:val="center"/>
                </w:tcPr>
                <w:p>
                  <w:pPr>
                    <w:pStyle w:val="59"/>
                    <w:bidi w:val="0"/>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89" w:type="pct"/>
                  <w:vMerge w:val="continue"/>
                  <w:tcBorders>
                    <w:tl2br w:val="nil"/>
                    <w:tr2bl w:val="nil"/>
                  </w:tcBorders>
                  <w:noWrap w:val="0"/>
                  <w:vAlign w:val="center"/>
                </w:tcPr>
                <w:p>
                  <w:pPr>
                    <w:pStyle w:val="59"/>
                    <w:bidi w:val="0"/>
                    <w:ind w:left="0" w:leftChars="0" w:firstLine="0" w:firstLineChars="0"/>
                    <w:rPr>
                      <w:rFonts w:hint="eastAsia"/>
                      <w:color w:val="auto"/>
                    </w:rPr>
                  </w:pPr>
                </w:p>
              </w:tc>
              <w:tc>
                <w:tcPr>
                  <w:tcW w:w="191" w:type="pct"/>
                  <w:tcBorders>
                    <w:tl2br w:val="nil"/>
                    <w:tr2bl w:val="nil"/>
                  </w:tcBorders>
                  <w:noWrap w:val="0"/>
                  <w:vAlign w:val="center"/>
                </w:tcPr>
                <w:p>
                  <w:pPr>
                    <w:pStyle w:val="59"/>
                    <w:bidi w:val="0"/>
                    <w:ind w:left="0" w:leftChars="0" w:firstLine="0" w:firstLineChars="0"/>
                    <w:rPr>
                      <w:rFonts w:hint="default" w:eastAsia="宋体"/>
                      <w:color w:val="auto"/>
                      <w:lang w:val="en-US" w:eastAsia="zh-CN"/>
                    </w:rPr>
                  </w:pPr>
                  <w:r>
                    <w:rPr>
                      <w:rFonts w:hint="eastAsia"/>
                      <w:color w:val="auto"/>
                      <w:lang w:val="en-US" w:eastAsia="zh-CN"/>
                    </w:rPr>
                    <w:t>污染物排放管控</w:t>
                  </w:r>
                </w:p>
              </w:tc>
              <w:tc>
                <w:tcPr>
                  <w:tcW w:w="3846" w:type="dxa"/>
                  <w:tcBorders>
                    <w:tl2br w:val="nil"/>
                    <w:tr2bl w:val="nil"/>
                  </w:tcBorders>
                  <w:noWrap w:val="0"/>
                  <w:vAlign w:val="center"/>
                </w:tcPr>
                <w:p>
                  <w:pPr>
                    <w:pStyle w:val="59"/>
                    <w:bidi w:val="0"/>
                    <w:ind w:left="0" w:leftChars="0" w:firstLine="0" w:firstLineChars="0"/>
                    <w:jc w:val="both"/>
                    <w:rPr>
                      <w:rFonts w:hint="eastAsia"/>
                      <w:color w:val="auto"/>
                    </w:rPr>
                  </w:pPr>
                  <w:r>
                    <w:rPr>
                      <w:rFonts w:hint="eastAsia"/>
                      <w:color w:val="auto"/>
                    </w:rPr>
                    <w:t>4.企业污水自行处理达到行业排放标准或《污水综合排放标准》中的三级标准后方可进入污水处理厂，并在企业排水口安装在线监测设备，以保障污水处理厂进水满足要求。</w:t>
                  </w:r>
                </w:p>
              </w:tc>
              <w:tc>
                <w:tcPr>
                  <w:tcW w:w="1875" w:type="pct"/>
                  <w:tcBorders>
                    <w:tl2br w:val="nil"/>
                    <w:tr2bl w:val="nil"/>
                  </w:tcBorders>
                  <w:noWrap w:val="0"/>
                  <w:vAlign w:val="center"/>
                </w:tcPr>
                <w:p>
                  <w:pPr>
                    <w:pStyle w:val="59"/>
                    <w:bidi w:val="0"/>
                    <w:ind w:left="0" w:leftChars="0" w:firstLine="0" w:firstLineChars="0"/>
                    <w:jc w:val="left"/>
                    <w:rPr>
                      <w:rFonts w:hint="eastAsia" w:eastAsia="宋体"/>
                      <w:color w:val="auto"/>
                      <w:sz w:val="21"/>
                      <w:szCs w:val="22"/>
                      <w:lang w:eastAsia="zh-CN"/>
                    </w:rPr>
                  </w:pPr>
                  <w:r>
                    <w:rPr>
                      <w:rFonts w:hint="eastAsia"/>
                    </w:rPr>
                    <w:t>项目无生产废水，</w:t>
                  </w:r>
                  <w:r>
                    <w:rPr>
                      <w:rFonts w:hint="eastAsia" w:ascii="Times New Roman" w:hAnsi="Times New Roman" w:cs="Times New Roman"/>
                      <w:b w:val="0"/>
                      <w:bCs w:val="0"/>
                      <w:color w:val="auto"/>
                      <w:sz w:val="21"/>
                      <w:szCs w:val="21"/>
                      <w:highlight w:val="none"/>
                      <w:lang w:val="en-US" w:eastAsia="zh-CN"/>
                    </w:rPr>
                    <w:t>员工不在厂区内食宿，无</w:t>
                  </w:r>
                  <w:r>
                    <w:rPr>
                      <w:rFonts w:hint="eastAsia" w:ascii="Times New Roman" w:hAnsi="Times New Roman" w:eastAsia="宋体" w:cs="Times New Roman"/>
                      <w:b w:val="0"/>
                      <w:bCs w:val="0"/>
                      <w:color w:val="auto"/>
                      <w:sz w:val="21"/>
                      <w:szCs w:val="21"/>
                      <w:highlight w:val="none"/>
                      <w:lang w:val="en-US" w:eastAsia="zh-CN"/>
                    </w:rPr>
                    <w:t>生活污水。</w:t>
                  </w:r>
                </w:p>
              </w:tc>
              <w:tc>
                <w:tcPr>
                  <w:tcW w:w="416" w:type="pct"/>
                  <w:tcBorders>
                    <w:tl2br w:val="nil"/>
                    <w:tr2bl w:val="nil"/>
                  </w:tcBorders>
                  <w:noWrap w:val="0"/>
                  <w:vAlign w:val="center"/>
                </w:tcPr>
                <w:p>
                  <w:pPr>
                    <w:pStyle w:val="59"/>
                    <w:bidi w:val="0"/>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89" w:type="pct"/>
                  <w:vMerge w:val="continue"/>
                  <w:tcBorders>
                    <w:tl2br w:val="nil"/>
                    <w:tr2bl w:val="nil"/>
                  </w:tcBorders>
                  <w:noWrap w:val="0"/>
                  <w:vAlign w:val="center"/>
                </w:tcPr>
                <w:p>
                  <w:pPr>
                    <w:pStyle w:val="59"/>
                    <w:bidi w:val="0"/>
                    <w:ind w:left="0" w:leftChars="0" w:firstLine="0" w:firstLineChars="0"/>
                    <w:rPr>
                      <w:rFonts w:hint="eastAsia"/>
                      <w:color w:val="auto"/>
                    </w:rPr>
                  </w:pPr>
                </w:p>
              </w:tc>
              <w:tc>
                <w:tcPr>
                  <w:tcW w:w="191" w:type="pct"/>
                  <w:tcBorders>
                    <w:tl2br w:val="nil"/>
                    <w:tr2bl w:val="nil"/>
                  </w:tcBorders>
                  <w:noWrap w:val="0"/>
                  <w:vAlign w:val="center"/>
                </w:tcPr>
                <w:p>
                  <w:pPr>
                    <w:pStyle w:val="59"/>
                    <w:bidi w:val="0"/>
                    <w:ind w:left="0" w:leftChars="0" w:firstLine="0" w:firstLineChars="0"/>
                    <w:rPr>
                      <w:rFonts w:hint="default" w:eastAsia="宋体"/>
                      <w:color w:val="auto"/>
                      <w:lang w:val="en-US" w:eastAsia="zh-CN"/>
                    </w:rPr>
                  </w:pPr>
                  <w:r>
                    <w:rPr>
                      <w:rFonts w:hint="eastAsia"/>
                      <w:color w:val="auto"/>
                      <w:lang w:val="en-US" w:eastAsia="zh-CN"/>
                    </w:rPr>
                    <w:t>环境风险防控</w:t>
                  </w:r>
                </w:p>
              </w:tc>
              <w:tc>
                <w:tcPr>
                  <w:tcW w:w="3846" w:type="dxa"/>
                  <w:tcBorders>
                    <w:tl2br w:val="nil"/>
                    <w:tr2bl w:val="nil"/>
                  </w:tcBorders>
                  <w:noWrap w:val="0"/>
                  <w:vAlign w:val="center"/>
                </w:tcPr>
                <w:p>
                  <w:pPr>
                    <w:pStyle w:val="59"/>
                    <w:bidi w:val="0"/>
                    <w:ind w:left="0" w:leftChars="0" w:firstLine="0" w:firstLineChars="0"/>
                    <w:jc w:val="both"/>
                    <w:rPr>
                      <w:rFonts w:hint="eastAsia"/>
                      <w:color w:val="auto"/>
                    </w:rPr>
                  </w:pPr>
                  <w:r>
                    <w:rPr>
                      <w:rFonts w:hint="eastAsia"/>
                      <w:color w:val="auto"/>
                    </w:rPr>
                    <w:t>2.严格环境风险控制。防范环境风险，定期评估工业集聚区环境和健康风险，加强预案管理，落实防控措施，排除水污染隐患。</w:t>
                  </w:r>
                </w:p>
                <w:p>
                  <w:pPr>
                    <w:pStyle w:val="59"/>
                    <w:bidi w:val="0"/>
                    <w:ind w:left="0" w:leftChars="0" w:firstLine="0" w:firstLineChars="0"/>
                    <w:jc w:val="both"/>
                    <w:rPr>
                      <w:rFonts w:hint="eastAsia"/>
                      <w:color w:val="auto"/>
                    </w:rPr>
                  </w:pPr>
                </w:p>
              </w:tc>
              <w:tc>
                <w:tcPr>
                  <w:tcW w:w="1875" w:type="pct"/>
                  <w:tcBorders>
                    <w:tl2br w:val="nil"/>
                    <w:tr2bl w:val="nil"/>
                  </w:tcBorders>
                  <w:noWrap w:val="0"/>
                  <w:vAlign w:val="center"/>
                </w:tcPr>
                <w:p>
                  <w:pPr>
                    <w:pStyle w:val="59"/>
                    <w:bidi w:val="0"/>
                    <w:ind w:left="0" w:leftChars="0" w:firstLine="0" w:firstLineChars="0"/>
                    <w:jc w:val="left"/>
                    <w:rPr>
                      <w:rFonts w:hint="default" w:eastAsia="宋体"/>
                      <w:color w:val="auto"/>
                      <w:sz w:val="21"/>
                      <w:szCs w:val="22"/>
                      <w:lang w:val="en-US" w:eastAsia="zh-CN"/>
                    </w:rPr>
                  </w:pPr>
                  <w:r>
                    <w:rPr>
                      <w:rFonts w:hint="eastAsia"/>
                      <w:color w:val="auto"/>
                      <w:sz w:val="21"/>
                      <w:szCs w:val="22"/>
                      <w:lang w:val="en-US" w:eastAsia="zh-CN"/>
                    </w:rPr>
                    <w:t>本项目按照要求编制突发环境事件应急预案。</w:t>
                  </w:r>
                </w:p>
              </w:tc>
              <w:tc>
                <w:tcPr>
                  <w:tcW w:w="416" w:type="pct"/>
                  <w:tcBorders>
                    <w:tl2br w:val="nil"/>
                    <w:tr2bl w:val="nil"/>
                  </w:tcBorders>
                  <w:noWrap w:val="0"/>
                  <w:vAlign w:val="center"/>
                </w:tcPr>
                <w:p>
                  <w:pPr>
                    <w:pStyle w:val="59"/>
                    <w:bidi w:val="0"/>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89" w:type="pct"/>
                  <w:vMerge w:val="continue"/>
                  <w:tcBorders>
                    <w:tl2br w:val="nil"/>
                    <w:tr2bl w:val="nil"/>
                  </w:tcBorders>
                  <w:noWrap w:val="0"/>
                  <w:vAlign w:val="center"/>
                </w:tcPr>
                <w:p>
                  <w:pPr>
                    <w:pStyle w:val="59"/>
                    <w:bidi w:val="0"/>
                    <w:ind w:left="0" w:leftChars="0" w:firstLine="0" w:firstLineChars="0"/>
                    <w:rPr>
                      <w:rFonts w:hint="eastAsia"/>
                      <w:color w:val="auto"/>
                    </w:rPr>
                  </w:pPr>
                </w:p>
              </w:tc>
              <w:tc>
                <w:tcPr>
                  <w:tcW w:w="191" w:type="pct"/>
                  <w:tcBorders>
                    <w:tl2br w:val="nil"/>
                    <w:tr2bl w:val="nil"/>
                  </w:tcBorders>
                  <w:noWrap w:val="0"/>
                  <w:vAlign w:val="center"/>
                </w:tcPr>
                <w:p>
                  <w:pPr>
                    <w:pStyle w:val="59"/>
                    <w:bidi w:val="0"/>
                    <w:ind w:left="0" w:leftChars="0" w:firstLine="0" w:firstLineChars="0"/>
                    <w:rPr>
                      <w:rFonts w:hint="default" w:eastAsia="宋体"/>
                      <w:color w:val="auto"/>
                      <w:lang w:val="en-US" w:eastAsia="zh-CN"/>
                    </w:rPr>
                  </w:pPr>
                  <w:r>
                    <w:rPr>
                      <w:rFonts w:hint="eastAsia"/>
                      <w:color w:val="auto"/>
                      <w:lang w:val="en-US" w:eastAsia="zh-CN"/>
                    </w:rPr>
                    <w:t>资源利用效率</w:t>
                  </w:r>
                </w:p>
              </w:tc>
              <w:tc>
                <w:tcPr>
                  <w:tcW w:w="3846" w:type="dxa"/>
                  <w:tcBorders>
                    <w:tl2br w:val="nil"/>
                    <w:tr2bl w:val="nil"/>
                  </w:tcBorders>
                  <w:noWrap w:val="0"/>
                  <w:vAlign w:val="center"/>
                </w:tcPr>
                <w:p>
                  <w:pPr>
                    <w:pStyle w:val="59"/>
                    <w:bidi w:val="0"/>
                    <w:ind w:left="0" w:leftChars="0" w:firstLine="0" w:firstLineChars="0"/>
                    <w:jc w:val="both"/>
                    <w:rPr>
                      <w:rFonts w:hint="eastAsia"/>
                      <w:color w:val="auto"/>
                    </w:rPr>
                  </w:pPr>
                  <w:r>
                    <w:rPr>
                      <w:rFonts w:hint="eastAsia"/>
                      <w:color w:val="auto"/>
                    </w:rPr>
                    <w:t>2.促进节约集约利用土地，解决园区用地偏紧问题。完善招、拍、挂供地制度，健全园区项目用地约束机制，实行园区供地、用地全程监管，明确项目用地的投资强度、容积率、建筑系数等指标，并加强跟踪监督。</w:t>
                  </w:r>
                </w:p>
              </w:tc>
              <w:tc>
                <w:tcPr>
                  <w:tcW w:w="1875" w:type="pct"/>
                  <w:tcBorders>
                    <w:tl2br w:val="nil"/>
                    <w:tr2bl w:val="nil"/>
                  </w:tcBorders>
                  <w:noWrap w:val="0"/>
                  <w:vAlign w:val="center"/>
                </w:tcPr>
                <w:p>
                  <w:pPr>
                    <w:pStyle w:val="59"/>
                    <w:bidi w:val="0"/>
                    <w:ind w:left="0" w:leftChars="0" w:firstLine="0" w:firstLineChars="0"/>
                    <w:jc w:val="left"/>
                    <w:rPr>
                      <w:rFonts w:hint="default" w:eastAsia="宋体"/>
                      <w:color w:val="auto"/>
                      <w:sz w:val="21"/>
                      <w:szCs w:val="22"/>
                      <w:lang w:val="en-US" w:eastAsia="zh-CN"/>
                    </w:rPr>
                  </w:pPr>
                  <w:r>
                    <w:rPr>
                      <w:rFonts w:hint="eastAsia"/>
                      <w:color w:val="auto"/>
                      <w:sz w:val="21"/>
                      <w:szCs w:val="22"/>
                      <w:lang w:val="en-US" w:eastAsia="zh-CN"/>
                    </w:rPr>
                    <w:t>本项目用地手续按照园区供地流程进行办理。</w:t>
                  </w:r>
                </w:p>
              </w:tc>
              <w:tc>
                <w:tcPr>
                  <w:tcW w:w="416" w:type="pct"/>
                  <w:tcBorders>
                    <w:tl2br w:val="nil"/>
                    <w:tr2bl w:val="nil"/>
                  </w:tcBorders>
                  <w:noWrap w:val="0"/>
                  <w:vAlign w:val="center"/>
                </w:tcPr>
                <w:p>
                  <w:pPr>
                    <w:pStyle w:val="59"/>
                    <w:bidi w:val="0"/>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符合</w:t>
                  </w:r>
                </w:p>
              </w:tc>
            </w:tr>
          </w:tbl>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1.</w:t>
            </w:r>
            <w:r>
              <w:rPr>
                <w:rFonts w:hint="eastAsia" w:cs="Times New Roman"/>
                <w:b/>
                <w:color w:val="auto"/>
                <w:sz w:val="24"/>
                <w:szCs w:val="24"/>
                <w:lang w:val="en-US" w:eastAsia="zh-CN"/>
              </w:rPr>
              <w:t>6</w:t>
            </w:r>
            <w:r>
              <w:rPr>
                <w:rFonts w:hint="default" w:ascii="Times New Roman" w:hAnsi="Times New Roman" w:eastAsia="宋体" w:cs="Times New Roman"/>
                <w:b/>
                <w:color w:val="auto"/>
                <w:sz w:val="24"/>
                <w:szCs w:val="24"/>
              </w:rPr>
              <w:t>其他符合性分析</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本项目与其他相关规划、政策符合性分析见表1</w:t>
            </w:r>
            <w:r>
              <w:rPr>
                <w:rFonts w:hint="eastAsia" w:cs="Times New Roman"/>
                <w:color w:val="auto"/>
                <w:sz w:val="24"/>
                <w:szCs w:val="24"/>
                <w:lang w:val="en-US" w:eastAsia="zh-CN"/>
              </w:rPr>
              <w:t>.6-1</w:t>
            </w:r>
            <w:r>
              <w:rPr>
                <w:rFonts w:hint="default" w:ascii="Times New Roman" w:hAnsi="Times New Roman" w:eastAsia="宋体" w:cs="Times New Roman"/>
                <w:color w:val="auto"/>
                <w:sz w:val="24"/>
                <w:szCs w:val="24"/>
              </w:rPr>
              <w:t>。</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w:t>
            </w:r>
            <w:r>
              <w:rPr>
                <w:rFonts w:hint="eastAsia" w:ascii="Times New Roman" w:hAnsi="Times New Roman" w:eastAsia="宋体" w:cs="Times New Roman"/>
                <w:b/>
                <w:bCs/>
                <w:color w:val="auto"/>
                <w:sz w:val="21"/>
                <w:szCs w:val="21"/>
                <w:lang w:val="en-US" w:eastAsia="zh-CN"/>
              </w:rPr>
              <w:t>1.6-1</w:t>
            </w:r>
            <w:r>
              <w:rPr>
                <w:rFonts w:hint="default" w:ascii="Times New Roman" w:hAnsi="Times New Roman" w:eastAsia="宋体" w:cs="Times New Roman"/>
                <w:b/>
                <w:bCs/>
                <w:color w:val="auto"/>
                <w:sz w:val="21"/>
                <w:szCs w:val="21"/>
                <w:lang w:val="en-US" w:eastAsia="zh-CN"/>
              </w:rPr>
              <w:t xml:space="preserve">   其他符合性分析表</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69"/>
              <w:gridCol w:w="3404"/>
              <w:gridCol w:w="2658"/>
              <w:gridCol w:w="4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769"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相关政策</w:t>
                  </w:r>
                </w:p>
              </w:tc>
              <w:tc>
                <w:tcPr>
                  <w:tcW w:w="3404"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政策要求</w:t>
                  </w:r>
                </w:p>
              </w:tc>
              <w:tc>
                <w:tcPr>
                  <w:tcW w:w="2658"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本项目情况</w:t>
                  </w:r>
                </w:p>
              </w:tc>
              <w:tc>
                <w:tcPr>
                  <w:tcW w:w="425"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769" w:type="dxa"/>
                  <w:tcBorders>
                    <w:tl2br w:val="nil"/>
                    <w:tr2bl w:val="nil"/>
                  </w:tcBorders>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新疆维吾尔自治区国民经济和社会发展第十四个五年规划和2035年远景目标纲要</w:t>
                  </w:r>
                  <w:r>
                    <w:rPr>
                      <w:rFonts w:hint="default" w:ascii="Times New Roman" w:hAnsi="Times New Roman" w:eastAsia="宋体" w:cs="Times New Roman"/>
                      <w:color w:val="auto"/>
                      <w:sz w:val="21"/>
                      <w:szCs w:val="21"/>
                      <w:lang w:eastAsia="zh-CN"/>
                    </w:rPr>
                    <w:t>》</w:t>
                  </w:r>
                  <w:r>
                    <w:rPr>
                      <w:rFonts w:hint="eastAsia" w:cs="Times New Roman"/>
                      <w:color w:val="auto"/>
                      <w:sz w:val="21"/>
                      <w:szCs w:val="21"/>
                      <w:lang w:eastAsia="zh-CN"/>
                    </w:rPr>
                    <w:t>（</w:t>
                  </w:r>
                  <w:r>
                    <w:rPr>
                      <w:rFonts w:hint="eastAsia" w:cs="Times New Roman"/>
                      <w:color w:val="auto"/>
                      <w:sz w:val="21"/>
                      <w:szCs w:val="21"/>
                      <w:lang w:val="en-US" w:eastAsia="zh-CN"/>
                    </w:rPr>
                    <w:t>2023年12月22日</w:t>
                  </w:r>
                  <w:r>
                    <w:rPr>
                      <w:rFonts w:hint="eastAsia" w:cs="Times New Roman"/>
                      <w:color w:val="auto"/>
                      <w:sz w:val="21"/>
                      <w:szCs w:val="21"/>
                      <w:lang w:eastAsia="zh-CN"/>
                    </w:rPr>
                    <w:t>）</w:t>
                  </w:r>
                </w:p>
              </w:tc>
              <w:tc>
                <w:tcPr>
                  <w:tcW w:w="3404" w:type="dxa"/>
                  <w:tcBorders>
                    <w:tl2br w:val="nil"/>
                    <w:tr2bl w:val="nil"/>
                  </w:tcBorders>
                  <w:shd w:val="clear" w:color="auto" w:fill="auto"/>
                  <w:vAlign w:val="center"/>
                </w:tcPr>
                <w:p>
                  <w:pPr>
                    <w:spacing w:line="240" w:lineRule="auto"/>
                    <w:ind w:firstLine="0" w:firstLineChars="0"/>
                    <w:jc w:val="both"/>
                    <w:textAlignment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default" w:ascii="Times New Roman" w:hAnsi="Times New Roman" w:eastAsia="宋体" w:cs="Times New Roman"/>
                      <w:color w:val="auto"/>
                      <w:sz w:val="21"/>
                      <w:szCs w:val="21"/>
                    </w:rPr>
                    <w:t>培育特色农业。大力发展加工番茄、加工辣椒、甜瓜、酿酒葡萄、沙棘、万寿菊、中药材、油料、甜菜等特色种植业，把地方土特产和小品种打造成为带动农民增收的“大产业”。加快设施农业优势区建设，支持发展庭院蔬菜种植，提高蔬菜市场供给能力。</w:t>
                  </w:r>
                </w:p>
              </w:tc>
              <w:tc>
                <w:tcPr>
                  <w:tcW w:w="2658" w:type="dxa"/>
                  <w:tcBorders>
                    <w:tl2br w:val="nil"/>
                    <w:tr2bl w:val="nil"/>
                  </w:tcBorders>
                  <w:shd w:val="clear" w:color="auto" w:fill="auto"/>
                  <w:vAlign w:val="center"/>
                </w:tcPr>
                <w:p>
                  <w:pPr>
                    <w:spacing w:line="240" w:lineRule="auto"/>
                    <w:ind w:firstLine="0" w:firstLineChars="0"/>
                    <w:jc w:val="both"/>
                    <w:textAlignment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default" w:ascii="Times New Roman" w:hAnsi="Times New Roman" w:eastAsia="宋体" w:cs="Times New Roman"/>
                      <w:color w:val="auto"/>
                      <w:sz w:val="21"/>
                      <w:szCs w:val="21"/>
                      <w:lang w:eastAsia="zh-CN"/>
                    </w:rPr>
                    <w:t>本项目为</w:t>
                  </w:r>
                  <w:r>
                    <w:rPr>
                      <w:rFonts w:hint="eastAsia" w:cs="Times New Roman"/>
                      <w:color w:val="auto"/>
                      <w:sz w:val="21"/>
                      <w:szCs w:val="21"/>
                      <w:lang w:val="en-US" w:eastAsia="zh-CN"/>
                    </w:rPr>
                    <w:t>辣椒产业建设</w:t>
                  </w:r>
                  <w:r>
                    <w:rPr>
                      <w:rFonts w:hint="eastAsia" w:ascii="Times New Roman" w:hAnsi="Times New Roman" w:eastAsia="宋体" w:cs="Times New Roman"/>
                      <w:color w:val="auto"/>
                      <w:sz w:val="21"/>
                      <w:szCs w:val="21"/>
                      <w:lang w:val="en-US" w:eastAsia="zh-CN"/>
                    </w:rPr>
                    <w:t>项目</w:t>
                  </w:r>
                  <w:r>
                    <w:rPr>
                      <w:rFonts w:hint="default" w:ascii="Times New Roman" w:hAnsi="Times New Roman" w:eastAsia="宋体" w:cs="Times New Roman"/>
                      <w:color w:val="auto"/>
                      <w:sz w:val="21"/>
                      <w:szCs w:val="21"/>
                      <w:lang w:eastAsia="zh-CN"/>
                    </w:rPr>
                    <w:t>，</w:t>
                  </w:r>
                  <w:r>
                    <w:rPr>
                      <w:rFonts w:hint="eastAsia" w:cs="Times New Roman"/>
                      <w:color w:val="auto"/>
                      <w:sz w:val="21"/>
                      <w:szCs w:val="21"/>
                      <w:lang w:val="en-US" w:eastAsia="zh-CN"/>
                    </w:rPr>
                    <w:t>符合</w:t>
                  </w:r>
                  <w:r>
                    <w:rPr>
                      <w:rFonts w:hint="default" w:ascii="Times New Roman" w:hAnsi="Times New Roman" w:eastAsia="宋体" w:cs="Times New Roman"/>
                      <w:color w:val="auto"/>
                      <w:sz w:val="21"/>
                      <w:szCs w:val="21"/>
                      <w:lang w:eastAsia="zh-CN"/>
                    </w:rPr>
                    <w:t>《新疆维吾尔自治区国民经济和社会发展第十四个五年规划和2035年远景目标纲要》</w:t>
                  </w:r>
                  <w:r>
                    <w:rPr>
                      <w:rFonts w:hint="eastAsia" w:cs="Times New Roman"/>
                      <w:color w:val="auto"/>
                      <w:sz w:val="21"/>
                      <w:szCs w:val="21"/>
                      <w:lang w:val="en-US" w:eastAsia="zh-CN"/>
                    </w:rPr>
                    <w:t>要求</w:t>
                  </w:r>
                  <w:r>
                    <w:rPr>
                      <w:rFonts w:hint="eastAsia" w:ascii="Times New Roman" w:hAnsi="Times New Roman" w:eastAsia="宋体" w:cs="Times New Roman"/>
                      <w:color w:val="auto"/>
                      <w:sz w:val="21"/>
                      <w:szCs w:val="21"/>
                      <w:lang w:eastAsia="zh-CN"/>
                    </w:rPr>
                    <w:t>。</w:t>
                  </w:r>
                </w:p>
              </w:tc>
              <w:tc>
                <w:tcPr>
                  <w:tcW w:w="425"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769" w:type="dxa"/>
                  <w:tcBorders>
                    <w:tl2br w:val="nil"/>
                    <w:tr2bl w:val="nil"/>
                  </w:tcBorders>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default" w:ascii="Times New Roman" w:hAnsi="Times New Roman" w:eastAsia="宋体" w:cs="Times New Roman"/>
                      <w:color w:val="auto"/>
                      <w:sz w:val="21"/>
                      <w:szCs w:val="21"/>
                      <w:lang w:val="en-US" w:eastAsia="zh-CN"/>
                    </w:rPr>
                    <w:t>《新疆维吾尔自治区环境保护条例》</w:t>
                  </w:r>
                  <w:r>
                    <w:rPr>
                      <w:rFonts w:hint="eastAsia" w:cs="Times New Roman"/>
                      <w:color w:val="auto"/>
                      <w:sz w:val="21"/>
                      <w:szCs w:val="21"/>
                      <w:lang w:val="en-US" w:eastAsia="zh-CN"/>
                    </w:rPr>
                    <w:t>（2012年2月1日起施行）</w:t>
                  </w:r>
                </w:p>
              </w:tc>
              <w:tc>
                <w:tcPr>
                  <w:tcW w:w="3404" w:type="dxa"/>
                  <w:tcBorders>
                    <w:tl2br w:val="nil"/>
                    <w:tr2bl w:val="nil"/>
                  </w:tcBorders>
                  <w:shd w:val="clear" w:color="auto" w:fill="auto"/>
                  <w:vAlign w:val="center"/>
                </w:tcPr>
                <w:p>
                  <w:pPr>
                    <w:pStyle w:val="60"/>
                    <w:bidi w:val="0"/>
                    <w:ind w:right="113" w:rightChars="0" w:firstLine="0" w:firstLineChars="0"/>
                    <w:rPr>
                      <w:rFonts w:hint="default" w:ascii="Times New Roman" w:hAnsi="Times New Roman" w:eastAsia="宋体" w:cs="Times New Roman"/>
                      <w:snapToGrid w:val="0"/>
                      <w:color w:val="auto"/>
                      <w:kern w:val="0"/>
                      <w:sz w:val="21"/>
                      <w:szCs w:val="21"/>
                      <w:lang w:val="en-US" w:eastAsia="zh-CN" w:bidi="ar-SA"/>
                      <w14:ligatures w14:val="none"/>
                    </w:rPr>
                  </w:pPr>
                  <w:r>
                    <w:rPr>
                      <w:rFonts w:hint="default" w:ascii="Times New Roman" w:hAnsi="Times New Roman" w:eastAsia="宋体" w:cs="Times New Roman"/>
                      <w:color w:val="auto"/>
                      <w:sz w:val="21"/>
                      <w:szCs w:val="21"/>
                      <w:lang w:val="en-US" w:eastAsia="zh-CN"/>
                    </w:rPr>
                    <w:t>第四条环境保护应当坚持保护优先、预防为主、综合治理、公众参与、损害担责的原则，推进绿色、循环、低碳发展，使经济社会发展与环境保护相协调。</w:t>
                  </w:r>
                </w:p>
              </w:tc>
              <w:tc>
                <w:tcPr>
                  <w:tcW w:w="2658" w:type="dxa"/>
                  <w:tcBorders>
                    <w:tl2br w:val="nil"/>
                    <w:tr2bl w:val="nil"/>
                  </w:tcBorders>
                  <w:shd w:val="clear" w:color="auto" w:fill="auto"/>
                  <w:vAlign w:val="center"/>
                </w:tcPr>
                <w:p>
                  <w:pPr>
                    <w:pStyle w:val="9"/>
                    <w:ind w:firstLine="0" w:firstLineChars="0"/>
                    <w:jc w:val="both"/>
                    <w:rPr>
                      <w:rFonts w:hint="default" w:ascii="Times New Roman" w:hAnsi="Times New Roman" w:eastAsia="宋体" w:cs="Times New Roman"/>
                      <w:snapToGrid w:val="0"/>
                      <w:color w:val="auto"/>
                      <w:kern w:val="0"/>
                      <w:sz w:val="21"/>
                      <w:szCs w:val="21"/>
                      <w:lang w:val="en-US" w:eastAsia="zh-CN" w:bidi="ar-SA"/>
                      <w14:ligatures w14:val="none"/>
                    </w:rPr>
                  </w:pPr>
                  <w:r>
                    <w:rPr>
                      <w:rFonts w:hint="default" w:ascii="Times New Roman" w:hAnsi="Times New Roman" w:eastAsia="宋体" w:cs="Times New Roman"/>
                      <w:color w:val="auto"/>
                      <w:sz w:val="21"/>
                      <w:szCs w:val="21"/>
                      <w:lang w:val="en-US" w:eastAsia="zh-CN"/>
                    </w:rPr>
                    <w:t>本项目为</w:t>
                  </w:r>
                  <w:r>
                    <w:rPr>
                      <w:rFonts w:hint="eastAsia" w:ascii="Times New Roman" w:hAnsi="Times New Roman" w:eastAsia="宋体" w:cs="Times New Roman"/>
                      <w:color w:val="auto"/>
                      <w:sz w:val="21"/>
                      <w:szCs w:val="21"/>
                      <w:lang w:val="en-US" w:eastAsia="zh-CN"/>
                    </w:rPr>
                    <w:t>辣椒产业建设项目，</w:t>
                  </w:r>
                  <w:r>
                    <w:rPr>
                      <w:rFonts w:hint="eastAsia" w:ascii="Times New Roman" w:hAnsi="Times New Roman" w:eastAsia="宋体" w:cs="Times New Roman"/>
                      <w:color w:val="auto"/>
                      <w:sz w:val="21"/>
                      <w:szCs w:val="21"/>
                      <w:highlight w:val="none"/>
                      <w:lang w:val="en-US" w:eastAsia="zh-CN"/>
                    </w:rPr>
                    <w:t>本项目拟采取的环保措施为</w:t>
                  </w:r>
                  <w:r>
                    <w:rPr>
                      <w:rFonts w:hint="eastAsia" w:cs="Times New Roman"/>
                      <w:color w:val="auto"/>
                      <w:sz w:val="21"/>
                      <w:szCs w:val="21"/>
                      <w:lang w:val="en-US" w:eastAsia="zh-CN"/>
                    </w:rPr>
                    <w:t>全封闭的</w:t>
                  </w:r>
                  <w:r>
                    <w:rPr>
                      <w:rFonts w:hint="eastAsia" w:cs="Times New Roman"/>
                      <w:color w:val="auto"/>
                      <w:sz w:val="21"/>
                      <w:szCs w:val="21"/>
                      <w:highlight w:val="none"/>
                      <w:lang w:val="en-US" w:eastAsia="zh-CN"/>
                    </w:rPr>
                    <w:t>打粉</w:t>
                  </w:r>
                  <w:r>
                    <w:rPr>
                      <w:rFonts w:hint="eastAsia" w:cs="Times New Roman"/>
                      <w:color w:val="auto"/>
                      <w:sz w:val="21"/>
                      <w:szCs w:val="21"/>
                      <w:lang w:val="en-US" w:eastAsia="zh-CN"/>
                    </w:rPr>
                    <w:t>车间，</w:t>
                  </w:r>
                  <w:r>
                    <w:rPr>
                      <w:rFonts w:hint="default" w:ascii="Times New Roman" w:hAnsi="Times New Roman" w:eastAsia="宋体" w:cs="Times New Roman"/>
                      <w:color w:val="auto"/>
                      <w:sz w:val="21"/>
                      <w:szCs w:val="21"/>
                      <w:highlight w:val="none"/>
                      <w:lang w:eastAsia="zh-CN"/>
                    </w:rPr>
                    <w:t>废气经布袋除尘装置处理后经15m高排气筒排放，除尘效率99%。</w:t>
                  </w:r>
                  <w:r>
                    <w:rPr>
                      <w:rFonts w:hint="eastAsia" w:cs="Times New Roman"/>
                      <w:color w:val="auto"/>
                      <w:sz w:val="21"/>
                      <w:szCs w:val="21"/>
                      <w:highlight w:val="none"/>
                      <w:lang w:val="en-US" w:eastAsia="zh-CN"/>
                    </w:rPr>
                    <w:t>项目无生产废水，</w:t>
                  </w:r>
                  <w:r>
                    <w:rPr>
                      <w:rFonts w:hint="eastAsia" w:ascii="Times New Roman" w:hAnsi="Times New Roman" w:cs="Times New Roman"/>
                      <w:b w:val="0"/>
                      <w:bCs w:val="0"/>
                      <w:color w:val="auto"/>
                      <w:sz w:val="21"/>
                      <w:szCs w:val="21"/>
                      <w:highlight w:val="none"/>
                      <w:lang w:val="en-US" w:eastAsia="zh-CN"/>
                    </w:rPr>
                    <w:t>员工不在厂区内食宿，无</w:t>
                  </w:r>
                  <w:r>
                    <w:rPr>
                      <w:rFonts w:hint="eastAsia" w:ascii="Times New Roman" w:hAnsi="Times New Roman" w:eastAsia="宋体" w:cs="Times New Roman"/>
                      <w:b w:val="0"/>
                      <w:bCs w:val="0"/>
                      <w:color w:val="auto"/>
                      <w:sz w:val="21"/>
                      <w:szCs w:val="21"/>
                      <w:highlight w:val="none"/>
                      <w:lang w:val="en-US" w:eastAsia="zh-CN"/>
                    </w:rPr>
                    <w:t>生活污水</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符合</w:t>
                  </w:r>
                  <w:r>
                    <w:rPr>
                      <w:rFonts w:hint="default" w:ascii="Times New Roman" w:hAnsi="Times New Roman" w:eastAsia="宋体" w:cs="Times New Roman"/>
                      <w:color w:val="auto"/>
                      <w:sz w:val="21"/>
                      <w:szCs w:val="21"/>
                    </w:rPr>
                    <w:t>污染物排放管控要求。</w:t>
                  </w:r>
                </w:p>
              </w:tc>
              <w:tc>
                <w:tcPr>
                  <w:tcW w:w="425"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769" w:type="dxa"/>
                  <w:tcBorders>
                    <w:tl2br w:val="nil"/>
                    <w:tr2bl w:val="nil"/>
                  </w:tcBorders>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巴音郭楞蒙古自治州国民经济和社会发展第十四个五年规划和二〇三五年远景目标纲要</w:t>
                  </w:r>
                  <w:r>
                    <w:rPr>
                      <w:rFonts w:hint="default" w:ascii="Times New Roman" w:hAnsi="Times New Roman" w:eastAsia="宋体" w:cs="Times New Roman"/>
                      <w:color w:val="auto"/>
                      <w:sz w:val="21"/>
                      <w:szCs w:val="21"/>
                      <w:lang w:eastAsia="zh-CN"/>
                    </w:rPr>
                    <w:t>》</w:t>
                  </w:r>
                  <w:r>
                    <w:rPr>
                      <w:rFonts w:hint="eastAsia" w:cs="Times New Roman"/>
                      <w:color w:val="auto"/>
                      <w:sz w:val="21"/>
                      <w:szCs w:val="21"/>
                      <w:lang w:eastAsia="zh-CN"/>
                    </w:rPr>
                    <w:t>（</w:t>
                  </w:r>
                  <w:r>
                    <w:rPr>
                      <w:rFonts w:hint="eastAsia" w:cs="Times New Roman"/>
                      <w:color w:val="auto"/>
                      <w:sz w:val="21"/>
                      <w:szCs w:val="21"/>
                      <w:lang w:val="en-US" w:eastAsia="zh-CN"/>
                    </w:rPr>
                    <w:t>2021年2月22日发布</w:t>
                  </w:r>
                  <w:r>
                    <w:rPr>
                      <w:rFonts w:hint="eastAsia" w:cs="Times New Roman"/>
                      <w:color w:val="auto"/>
                      <w:sz w:val="21"/>
                      <w:szCs w:val="21"/>
                      <w:lang w:eastAsia="zh-CN"/>
                    </w:rPr>
                    <w:t>）</w:t>
                  </w:r>
                </w:p>
              </w:tc>
              <w:tc>
                <w:tcPr>
                  <w:tcW w:w="3404" w:type="dxa"/>
                  <w:tcBorders>
                    <w:tl2br w:val="nil"/>
                    <w:tr2bl w:val="nil"/>
                  </w:tcBorders>
                  <w:shd w:val="clear" w:color="auto" w:fill="auto"/>
                  <w:vAlign w:val="center"/>
                </w:tcPr>
                <w:p>
                  <w:pPr>
                    <w:spacing w:line="240" w:lineRule="auto"/>
                    <w:ind w:firstLine="0" w:firstLineChars="0"/>
                    <w:jc w:val="both"/>
                    <w:textAlignment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default" w:ascii="Times New Roman" w:hAnsi="Times New Roman" w:eastAsia="宋体" w:cs="Times New Roman"/>
                      <w:color w:val="auto"/>
                      <w:sz w:val="21"/>
                      <w:szCs w:val="21"/>
                    </w:rPr>
                    <w:t>培育优势特色产业。加快发展具有比较优势的区域特色农业和设施农业，提升规模效应，让“土特产”“土品种”焕发生机、领军市场，成为带动农民增收的大产业。提高焉耆盆地“三红”产业（加工</w:t>
                  </w:r>
                  <w:r>
                    <w:rPr>
                      <w:rFonts w:hint="eastAsia" w:cs="Times New Roman"/>
                      <w:color w:val="auto"/>
                      <w:sz w:val="21"/>
                      <w:szCs w:val="21"/>
                      <w:lang w:eastAsia="zh-CN"/>
                    </w:rPr>
                    <w:t>番茄</w:t>
                  </w:r>
                  <w:r>
                    <w:rPr>
                      <w:rFonts w:hint="default" w:ascii="Times New Roman" w:hAnsi="Times New Roman" w:eastAsia="宋体" w:cs="Times New Roman"/>
                      <w:color w:val="auto"/>
                      <w:sz w:val="21"/>
                      <w:szCs w:val="21"/>
                    </w:rPr>
                    <w:t>、工业辣椒、酿酒葡萄）产业集中度，发展杂粮豆、薯类、甜瓜、食用菌等经济作物，适度提升规模化水平。</w:t>
                  </w:r>
                </w:p>
              </w:tc>
              <w:tc>
                <w:tcPr>
                  <w:tcW w:w="2658" w:type="dxa"/>
                  <w:tcBorders>
                    <w:tl2br w:val="nil"/>
                    <w:tr2bl w:val="nil"/>
                  </w:tcBorders>
                  <w:shd w:val="clear" w:color="auto" w:fill="auto"/>
                  <w:vAlign w:val="center"/>
                </w:tcPr>
                <w:p>
                  <w:pPr>
                    <w:spacing w:line="240" w:lineRule="auto"/>
                    <w:ind w:firstLine="0" w:firstLineChars="0"/>
                    <w:jc w:val="both"/>
                    <w:textAlignment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default" w:ascii="Times New Roman" w:hAnsi="Times New Roman" w:eastAsia="宋体" w:cs="Times New Roman"/>
                      <w:color w:val="auto"/>
                      <w:sz w:val="21"/>
                      <w:szCs w:val="21"/>
                      <w:lang w:eastAsia="zh-CN"/>
                    </w:rPr>
                    <w:t>本项目为辣椒产业建设项目，符合《巴音郭楞蒙古自治州国民经济和社会发展第十四个五年规划和二〇三五年远景目标纲要》要求。</w:t>
                  </w:r>
                </w:p>
              </w:tc>
              <w:tc>
                <w:tcPr>
                  <w:tcW w:w="425"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988" w:hRule="atLeast"/>
                <w:jc w:val="center"/>
              </w:trPr>
              <w:tc>
                <w:tcPr>
                  <w:tcW w:w="1769" w:type="dxa"/>
                  <w:tcBorders>
                    <w:tl2br w:val="nil"/>
                    <w:tr2bl w:val="nil"/>
                  </w:tcBorders>
                  <w:shd w:val="clear" w:color="auto" w:fill="auto"/>
                  <w:vAlign w:val="center"/>
                </w:tcPr>
                <w:p>
                  <w:pPr>
                    <w:spacing w:line="240" w:lineRule="auto"/>
                    <w:ind w:firstLine="0" w:firstLineChars="0"/>
                    <w:jc w:val="both"/>
                    <w:textAlignment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default" w:ascii="Times New Roman" w:hAnsi="Times New Roman" w:eastAsia="宋体" w:cs="Times New Roman"/>
                      <w:color w:val="auto"/>
                      <w:sz w:val="21"/>
                      <w:szCs w:val="21"/>
                      <w:lang w:val="en-US" w:eastAsia="zh-CN"/>
                    </w:rPr>
                    <w:t>《和</w:t>
                  </w:r>
                  <w:r>
                    <w:rPr>
                      <w:rFonts w:hint="eastAsia" w:cs="Times New Roman"/>
                      <w:color w:val="auto"/>
                      <w:sz w:val="21"/>
                      <w:szCs w:val="21"/>
                      <w:lang w:val="en-US" w:eastAsia="zh-CN"/>
                    </w:rPr>
                    <w:t>硕</w:t>
                  </w:r>
                  <w:r>
                    <w:rPr>
                      <w:rFonts w:hint="default" w:ascii="Times New Roman" w:hAnsi="Times New Roman" w:eastAsia="宋体" w:cs="Times New Roman"/>
                      <w:color w:val="auto"/>
                      <w:sz w:val="21"/>
                      <w:szCs w:val="21"/>
                    </w:rPr>
                    <w:t>县国民经济和社会发展第十四个五年规划和2035年远景目标</w:t>
                  </w:r>
                  <w:r>
                    <w:rPr>
                      <w:rFonts w:hint="default" w:ascii="Times New Roman" w:hAnsi="Times New Roman" w:eastAsia="宋体" w:cs="Times New Roman"/>
                      <w:color w:val="auto"/>
                      <w:sz w:val="21"/>
                      <w:szCs w:val="21"/>
                      <w:lang w:eastAsia="zh-CN"/>
                    </w:rPr>
                    <w:t>》</w:t>
                  </w:r>
                  <w:r>
                    <w:rPr>
                      <w:rFonts w:hint="eastAsia" w:cs="Times New Roman"/>
                      <w:color w:val="auto"/>
                      <w:sz w:val="21"/>
                      <w:szCs w:val="21"/>
                      <w:lang w:eastAsia="zh-CN"/>
                    </w:rPr>
                    <w:t>（</w:t>
                  </w:r>
                  <w:r>
                    <w:rPr>
                      <w:rFonts w:hint="eastAsia" w:cs="Times New Roman"/>
                      <w:color w:val="auto"/>
                      <w:sz w:val="21"/>
                      <w:szCs w:val="21"/>
                      <w:lang w:val="en-US" w:eastAsia="zh-CN"/>
                    </w:rPr>
                    <w:t>2021年1月18日</w:t>
                  </w:r>
                  <w:r>
                    <w:rPr>
                      <w:rFonts w:hint="eastAsia" w:cs="Times New Roman"/>
                      <w:color w:val="auto"/>
                      <w:sz w:val="21"/>
                      <w:szCs w:val="21"/>
                      <w:lang w:eastAsia="zh-CN"/>
                    </w:rPr>
                    <w:t>）</w:t>
                  </w:r>
                </w:p>
              </w:tc>
              <w:tc>
                <w:tcPr>
                  <w:tcW w:w="3404" w:type="dxa"/>
                  <w:tcBorders>
                    <w:tl2br w:val="nil"/>
                    <w:tr2bl w:val="nil"/>
                  </w:tcBorders>
                  <w:shd w:val="clear" w:color="auto" w:fill="auto"/>
                  <w:vAlign w:val="center"/>
                </w:tcPr>
                <w:p>
                  <w:pPr>
                    <w:spacing w:line="240" w:lineRule="auto"/>
                    <w:ind w:firstLine="0" w:firstLineChars="0"/>
                    <w:jc w:val="both"/>
                    <w:textAlignment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eastAsia" w:ascii="Times New Roman" w:hAnsi="Times New Roman" w:eastAsia="宋体" w:cs="Times New Roman"/>
                      <w:color w:val="auto"/>
                      <w:sz w:val="21"/>
                      <w:szCs w:val="21"/>
                      <w:lang w:val="en-US" w:eastAsia="zh-CN"/>
                    </w:rPr>
                    <w:t>特色农副产品精深加工基地。实施农副产品加工业提升行动，加快建链补链延链，发展粮食、辣椒、番茄、果蔬、畜禽等农产品精深加工，打好农业“生态牌”“绿色牌”“富硒牌”，统筹推进农副产品初加工、精深加工、综合利用和主食加工协调发展，形成特色农副产品精深加工基地。</w:t>
                  </w:r>
                </w:p>
              </w:tc>
              <w:tc>
                <w:tcPr>
                  <w:tcW w:w="2658" w:type="dxa"/>
                  <w:tcBorders>
                    <w:tl2br w:val="nil"/>
                    <w:tr2bl w:val="nil"/>
                  </w:tcBorders>
                  <w:shd w:val="clear" w:color="auto" w:fill="auto"/>
                  <w:vAlign w:val="center"/>
                </w:tcPr>
                <w:p>
                  <w:pPr>
                    <w:spacing w:line="240" w:lineRule="auto"/>
                    <w:ind w:firstLine="0" w:firstLineChars="0"/>
                    <w:jc w:val="both"/>
                    <w:textAlignment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default" w:ascii="Times New Roman" w:hAnsi="Times New Roman" w:eastAsia="宋体" w:cs="Times New Roman"/>
                      <w:color w:val="auto"/>
                      <w:sz w:val="21"/>
                      <w:szCs w:val="21"/>
                      <w:lang w:eastAsia="zh-CN"/>
                    </w:rPr>
                    <w:t>本项目为辣椒产业建设项目，符合《和硕县国民经济和社会发展第十四个五年规划和2035年远景目标》要求。</w:t>
                  </w:r>
                </w:p>
              </w:tc>
              <w:tc>
                <w:tcPr>
                  <w:tcW w:w="425"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769" w:type="dxa"/>
                  <w:vMerge w:val="restart"/>
                  <w:tcBorders>
                    <w:tl2br w:val="nil"/>
                    <w:tr2bl w:val="nil"/>
                  </w:tcBorders>
                  <w:shd w:val="clear" w:color="auto" w:fill="auto"/>
                  <w:vAlign w:val="center"/>
                </w:tcPr>
                <w:p>
                  <w:pPr>
                    <w:spacing w:line="240" w:lineRule="auto"/>
                    <w:ind w:firstLine="0" w:firstLineChars="0"/>
                    <w:jc w:val="both"/>
                    <w:textAlignment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新疆生态环境保护</w:t>
                  </w:r>
                  <w:r>
                    <w:rPr>
                      <w:rFonts w:hint="eastAsia" w:cs="Times New Roman"/>
                      <w:color w:val="auto"/>
                      <w:sz w:val="21"/>
                      <w:szCs w:val="21"/>
                      <w:lang w:eastAsia="zh-CN"/>
                    </w:rPr>
                    <w:t>“</w:t>
                  </w:r>
                  <w:r>
                    <w:rPr>
                      <w:rFonts w:hint="default" w:ascii="Times New Roman" w:hAnsi="Times New Roman" w:eastAsia="宋体" w:cs="Times New Roman"/>
                      <w:color w:val="auto"/>
                      <w:sz w:val="21"/>
                      <w:szCs w:val="21"/>
                    </w:rPr>
                    <w:t>十四五</w:t>
                  </w:r>
                  <w:r>
                    <w:rPr>
                      <w:rFonts w:hint="eastAsia" w:cs="Times New Roman"/>
                      <w:color w:val="auto"/>
                      <w:sz w:val="21"/>
                      <w:szCs w:val="21"/>
                      <w:lang w:eastAsia="zh-CN"/>
                    </w:rPr>
                    <w:t>”</w:t>
                  </w:r>
                  <w:r>
                    <w:rPr>
                      <w:rFonts w:hint="default" w:ascii="Times New Roman" w:hAnsi="Times New Roman" w:eastAsia="宋体" w:cs="Times New Roman"/>
                      <w:color w:val="auto"/>
                      <w:sz w:val="21"/>
                      <w:szCs w:val="21"/>
                    </w:rPr>
                    <w:t>规划</w:t>
                  </w:r>
                  <w:r>
                    <w:rPr>
                      <w:rFonts w:hint="default" w:ascii="Times New Roman" w:hAnsi="Times New Roman" w:eastAsia="宋体" w:cs="Times New Roman"/>
                      <w:color w:val="auto"/>
                      <w:sz w:val="21"/>
                      <w:szCs w:val="21"/>
                      <w:lang w:eastAsia="zh-CN"/>
                    </w:rPr>
                    <w:t>》</w:t>
                  </w:r>
                  <w:r>
                    <w:rPr>
                      <w:rFonts w:hint="eastAsia" w:cs="Times New Roman"/>
                      <w:color w:val="auto"/>
                      <w:sz w:val="21"/>
                      <w:szCs w:val="21"/>
                      <w:lang w:eastAsia="zh-CN"/>
                    </w:rPr>
                    <w:t>（</w:t>
                  </w:r>
                  <w:r>
                    <w:rPr>
                      <w:rFonts w:hint="eastAsia" w:cs="Times New Roman"/>
                      <w:color w:val="auto"/>
                      <w:sz w:val="21"/>
                      <w:szCs w:val="21"/>
                      <w:lang w:val="en-US" w:eastAsia="zh-CN"/>
                    </w:rPr>
                    <w:t>2022年5月7日</w:t>
                  </w:r>
                  <w:r>
                    <w:rPr>
                      <w:rFonts w:hint="eastAsia" w:cs="Times New Roman"/>
                      <w:color w:val="auto"/>
                      <w:sz w:val="21"/>
                      <w:szCs w:val="21"/>
                      <w:lang w:eastAsia="zh-CN"/>
                    </w:rPr>
                    <w:t>）</w:t>
                  </w:r>
                </w:p>
              </w:tc>
              <w:tc>
                <w:tcPr>
                  <w:tcW w:w="3404" w:type="dxa"/>
                  <w:tcBorders>
                    <w:tl2br w:val="nil"/>
                    <w:tr2bl w:val="nil"/>
                  </w:tcBorders>
                  <w:shd w:val="clear" w:color="auto" w:fill="auto"/>
                  <w:vAlign w:val="center"/>
                </w:tcPr>
                <w:p>
                  <w:pPr>
                    <w:spacing w:line="240" w:lineRule="auto"/>
                    <w:ind w:firstLine="0" w:firstLineChars="0"/>
                    <w:jc w:val="both"/>
                    <w:textAlignment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default" w:ascii="Times New Roman" w:hAnsi="Times New Roman" w:eastAsia="宋体" w:cs="Times New Roman"/>
                      <w:snapToGrid w:val="0"/>
                      <w:color w:val="auto"/>
                      <w:kern w:val="0"/>
                      <w:sz w:val="21"/>
                      <w:szCs w:val="21"/>
                      <w:lang w:val="en-US" w:eastAsia="zh-CN" w:bidi="ar-SA"/>
                      <w14:ligatures w14:val="none"/>
                    </w:rPr>
                    <w:t>受自然沙尘影响严重的南疆、东疆区域，因地制宜开展防风固沙生态修复工程，强化沙尘天气颗粒物防控。未达标城市制定或修订大气环境质量限期达标规划，加强达标进程管理，明确环境空气质量达标路线图及污染防治重点任务，并向社会公开。</w:t>
                  </w:r>
                </w:p>
              </w:tc>
              <w:tc>
                <w:tcPr>
                  <w:tcW w:w="2658" w:type="dxa"/>
                  <w:tcBorders>
                    <w:tl2br w:val="nil"/>
                    <w:tr2bl w:val="nil"/>
                  </w:tcBorders>
                  <w:shd w:val="clear" w:color="auto" w:fill="auto"/>
                  <w:vAlign w:val="center"/>
                </w:tcPr>
                <w:p>
                  <w:pPr>
                    <w:spacing w:line="240" w:lineRule="auto"/>
                    <w:ind w:firstLine="0" w:firstLineChars="0"/>
                    <w:jc w:val="both"/>
                    <w:textAlignment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default" w:ascii="Times New Roman" w:hAnsi="Times New Roman" w:eastAsia="宋体" w:cs="Times New Roman"/>
                      <w:color w:val="auto"/>
                      <w:sz w:val="21"/>
                      <w:szCs w:val="21"/>
                    </w:rPr>
                    <w:t>本项目拟采取的大气污染防治措施为</w:t>
                  </w:r>
                  <w:r>
                    <w:rPr>
                      <w:rFonts w:hint="eastAsia" w:cs="Times New Roman"/>
                      <w:color w:val="auto"/>
                      <w:sz w:val="21"/>
                      <w:szCs w:val="21"/>
                      <w:lang w:val="en-US" w:eastAsia="zh-CN"/>
                    </w:rPr>
                    <w:t>生产</w:t>
                  </w:r>
                  <w:r>
                    <w:rPr>
                      <w:rFonts w:hint="default" w:ascii="Times New Roman" w:hAnsi="Times New Roman" w:eastAsia="宋体" w:cs="Times New Roman"/>
                      <w:color w:val="auto"/>
                      <w:sz w:val="21"/>
                      <w:szCs w:val="21"/>
                    </w:rPr>
                    <w:t>车间全封闭，</w:t>
                  </w:r>
                  <w:r>
                    <w:rPr>
                      <w:rFonts w:hint="eastAsia" w:cs="Times New Roman"/>
                      <w:color w:val="auto"/>
                      <w:sz w:val="21"/>
                      <w:szCs w:val="21"/>
                      <w:lang w:val="en-US" w:eastAsia="zh-CN"/>
                    </w:rPr>
                    <w:t>排污节点上方安装集气罩</w:t>
                  </w:r>
                  <w:r>
                    <w:rPr>
                      <w:rFonts w:hint="default" w:ascii="Times New Roman" w:hAnsi="Times New Roman" w:eastAsia="宋体" w:cs="Times New Roman"/>
                      <w:color w:val="auto"/>
                      <w:sz w:val="21"/>
                      <w:szCs w:val="21"/>
                    </w:rPr>
                    <w:t>，收集废气经布袋除尘装置处理后经15m高排气筒排放，除尘效率99%。本项目不产生二氧化硫、氮氧化物，符合污染物排放管控要求。</w:t>
                  </w:r>
                </w:p>
              </w:tc>
              <w:tc>
                <w:tcPr>
                  <w:tcW w:w="425" w:type="dxa"/>
                  <w:tcBorders>
                    <w:tl2br w:val="nil"/>
                    <w:tr2bl w:val="nil"/>
                  </w:tcBorders>
                  <w:vAlign w:val="center"/>
                </w:tcPr>
                <w:p>
                  <w:pPr>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769" w:type="dxa"/>
                  <w:vMerge w:val="continue"/>
                  <w:tcBorders>
                    <w:tl2br w:val="nil"/>
                    <w:tr2bl w:val="nil"/>
                  </w:tcBorders>
                  <w:vAlign w:val="center"/>
                </w:tcPr>
                <w:p>
                  <w:pPr>
                    <w:spacing w:line="240" w:lineRule="auto"/>
                    <w:rPr>
                      <w:rFonts w:hint="default" w:ascii="Times New Roman" w:hAnsi="Times New Roman" w:eastAsia="宋体" w:cs="Times New Roman"/>
                      <w:color w:val="auto"/>
                      <w:sz w:val="21"/>
                      <w:szCs w:val="21"/>
                    </w:rPr>
                  </w:pPr>
                </w:p>
              </w:tc>
              <w:tc>
                <w:tcPr>
                  <w:tcW w:w="3404" w:type="dxa"/>
                  <w:tcBorders>
                    <w:tl2br w:val="nil"/>
                    <w:tr2bl w:val="nil"/>
                  </w:tcBorders>
                  <w:shd w:val="clear" w:color="auto" w:fill="auto"/>
                  <w:vAlign w:val="center"/>
                </w:tcPr>
                <w:p>
                  <w:pPr>
                    <w:spacing w:line="240" w:lineRule="auto"/>
                    <w:ind w:firstLine="0" w:firstLineChars="0"/>
                    <w:jc w:val="both"/>
                    <w:textAlignment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default" w:ascii="Times New Roman" w:hAnsi="Times New Roman" w:eastAsia="宋体" w:cs="Times New Roman"/>
                      <w:color w:val="auto"/>
                      <w:sz w:val="21"/>
                      <w:szCs w:val="21"/>
                    </w:rPr>
                    <w:t>加强环境噪声污染防控。加强噪声污染源监管，继续强化和深入推进交通运输噪声</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建筑施工噪声、社会生活噪声、工业企业、机场周边噪声污染防治，推进工业企业噪声纳入排污许可管理。</w:t>
                  </w:r>
                </w:p>
              </w:tc>
              <w:tc>
                <w:tcPr>
                  <w:tcW w:w="2658" w:type="dxa"/>
                  <w:tcBorders>
                    <w:tl2br w:val="nil"/>
                    <w:tr2bl w:val="nil"/>
                  </w:tcBorders>
                  <w:shd w:val="clear" w:color="auto" w:fill="auto"/>
                  <w:vAlign w:val="center"/>
                </w:tcPr>
                <w:p>
                  <w:pPr>
                    <w:spacing w:line="240" w:lineRule="auto"/>
                    <w:ind w:firstLine="0" w:firstLineChars="0"/>
                    <w:jc w:val="both"/>
                    <w:textAlignment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default" w:ascii="Times New Roman" w:hAnsi="Times New Roman" w:eastAsia="宋体" w:cs="Times New Roman"/>
                      <w:color w:val="auto"/>
                      <w:sz w:val="21"/>
                      <w:szCs w:val="21"/>
                    </w:rPr>
                    <w:t>本项目选用低噪声生产机械和设备，合理安排施工时间，对高噪声机械设备操作人员采取个人防护措施，</w:t>
                  </w:r>
                  <w:r>
                    <w:rPr>
                      <w:rFonts w:hint="eastAsia" w:ascii="Times New Roman" w:hAnsi="Times New Roman" w:eastAsia="宋体" w:cs="Times New Roman"/>
                      <w:color w:val="auto"/>
                      <w:sz w:val="21"/>
                      <w:szCs w:val="21"/>
                      <w:lang w:eastAsia="zh-CN"/>
                    </w:rPr>
                    <w:t>佩戴</w:t>
                  </w:r>
                  <w:r>
                    <w:rPr>
                      <w:rFonts w:hint="default" w:ascii="Times New Roman" w:hAnsi="Times New Roman" w:eastAsia="宋体" w:cs="Times New Roman"/>
                      <w:color w:val="auto"/>
                      <w:sz w:val="21"/>
                      <w:szCs w:val="21"/>
                    </w:rPr>
                    <w:t>耳塞等。</w:t>
                  </w:r>
                </w:p>
              </w:tc>
              <w:tc>
                <w:tcPr>
                  <w:tcW w:w="425" w:type="dxa"/>
                  <w:tcBorders>
                    <w:tl2br w:val="nil"/>
                    <w:tr2bl w:val="nil"/>
                  </w:tcBorders>
                  <w:vAlign w:val="center"/>
                </w:tcPr>
                <w:p>
                  <w:pPr>
                    <w:widowControl/>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769" w:type="dxa"/>
                  <w:vMerge w:val="restart"/>
                  <w:tcBorders>
                    <w:tl2br w:val="nil"/>
                    <w:tr2bl w:val="nil"/>
                  </w:tcBorders>
                  <w:shd w:val="clear" w:color="auto" w:fill="auto"/>
                  <w:vAlign w:val="center"/>
                </w:tcPr>
                <w:p>
                  <w:pPr>
                    <w:spacing w:line="240" w:lineRule="auto"/>
                    <w:ind w:firstLine="0" w:firstLineChars="0"/>
                    <w:jc w:val="both"/>
                    <w:textAlignment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eastAsia" w:cs="Times New Roman"/>
                      <w:snapToGrid w:val="0"/>
                      <w:color w:val="auto"/>
                      <w:kern w:val="0"/>
                      <w:sz w:val="21"/>
                      <w:szCs w:val="21"/>
                      <w:lang w:val="en-US" w:eastAsia="zh-CN" w:bidi="ar-SA"/>
                      <w14:ligatures w14:val="none"/>
                    </w:rPr>
                    <w:t>《食品安全国家标准食品生产通用卫生规范》（GB14881-2013）</w:t>
                  </w:r>
                </w:p>
              </w:tc>
              <w:tc>
                <w:tcPr>
                  <w:tcW w:w="3404" w:type="dxa"/>
                  <w:tcBorders>
                    <w:tl2br w:val="nil"/>
                    <w:tr2bl w:val="nil"/>
                  </w:tcBorders>
                  <w:shd w:val="clear" w:color="auto" w:fill="auto"/>
                  <w:vAlign w:val="center"/>
                </w:tcPr>
                <w:p>
                  <w:pPr>
                    <w:spacing w:line="240" w:lineRule="auto"/>
                    <w:ind w:firstLine="0" w:firstLineChars="0"/>
                    <w:jc w:val="both"/>
                    <w:textAlignment w:val="center"/>
                    <w:rPr>
                      <w:rFonts w:hint="default" w:ascii="Times New Roman" w:hAnsi="Times New Roman" w:eastAsia="宋体" w:cs="Times New Roman"/>
                      <w:snapToGrid w:val="0"/>
                      <w:color w:val="auto"/>
                      <w:kern w:val="0"/>
                      <w:sz w:val="21"/>
                      <w:szCs w:val="21"/>
                      <w:shd w:val="clear" w:color="auto" w:fill="FFFFFF"/>
                      <w:lang w:val="en-US" w:eastAsia="zh-CN" w:bidi="ar-SA"/>
                      <w14:ligatures w14:val="none"/>
                    </w:rPr>
                  </w:pPr>
                  <w:r>
                    <w:rPr>
                      <w:rFonts w:hint="default" w:ascii="Times New Roman" w:hAnsi="Times New Roman" w:eastAsia="宋体" w:cs="Times New Roman"/>
                      <w:snapToGrid w:val="0"/>
                      <w:color w:val="auto"/>
                      <w:kern w:val="0"/>
                      <w:sz w:val="21"/>
                      <w:szCs w:val="21"/>
                      <w:shd w:val="clear" w:color="auto" w:fill="FFFFFF"/>
                      <w:lang w:val="en-US" w:eastAsia="zh-CN" w:bidi="ar-SA"/>
                      <w14:ligatures w14:val="none"/>
                    </w:rPr>
                    <w:t>3.1选址</w:t>
                  </w:r>
                </w:p>
                <w:p>
                  <w:pPr>
                    <w:spacing w:line="240" w:lineRule="auto"/>
                    <w:ind w:firstLine="0" w:firstLineChars="0"/>
                    <w:jc w:val="both"/>
                    <w:textAlignment w:val="center"/>
                    <w:rPr>
                      <w:rFonts w:hint="default" w:ascii="Times New Roman" w:hAnsi="Times New Roman" w:eastAsia="宋体" w:cs="Times New Roman"/>
                      <w:snapToGrid w:val="0"/>
                      <w:color w:val="auto"/>
                      <w:kern w:val="0"/>
                      <w:sz w:val="21"/>
                      <w:szCs w:val="21"/>
                      <w:shd w:val="clear" w:color="auto" w:fill="FFFFFF"/>
                      <w:lang w:val="en-US" w:eastAsia="zh-CN" w:bidi="ar-SA"/>
                      <w14:ligatures w14:val="none"/>
                    </w:rPr>
                  </w:pPr>
                  <w:r>
                    <w:rPr>
                      <w:rFonts w:hint="default" w:ascii="Times New Roman" w:hAnsi="Times New Roman" w:eastAsia="宋体" w:cs="Times New Roman"/>
                      <w:snapToGrid w:val="0"/>
                      <w:color w:val="auto"/>
                      <w:kern w:val="0"/>
                      <w:sz w:val="21"/>
                      <w:szCs w:val="21"/>
                      <w:shd w:val="clear" w:color="auto" w:fill="FFFFFF"/>
                      <w:lang w:val="en-US" w:eastAsia="zh-CN" w:bidi="ar-SA"/>
                      <w14:ligatures w14:val="none"/>
                    </w:rPr>
                    <w:t>3.1.1厂区不应选择对食品有显著污染的区域。如某地对食品安全和食品宜食用性存在明显的不利影响，且无法通过采取措施加以改善，应避免在该地址建厂</w:t>
                  </w:r>
                  <w:r>
                    <w:rPr>
                      <w:rFonts w:hint="eastAsia" w:cs="Times New Roman"/>
                      <w:snapToGrid w:val="0"/>
                      <w:color w:val="auto"/>
                      <w:kern w:val="0"/>
                      <w:sz w:val="21"/>
                      <w:szCs w:val="21"/>
                      <w:shd w:val="clear" w:color="auto" w:fill="FFFFFF"/>
                      <w:lang w:val="en-US" w:eastAsia="zh-CN" w:bidi="ar-SA"/>
                      <w14:ligatures w14:val="none"/>
                    </w:rPr>
                    <w:t>：</w:t>
                  </w:r>
                  <w:r>
                    <w:rPr>
                      <w:rFonts w:hint="default" w:ascii="Times New Roman" w:hAnsi="Times New Roman" w:eastAsia="宋体" w:cs="Times New Roman"/>
                      <w:snapToGrid w:val="0"/>
                      <w:color w:val="auto"/>
                      <w:kern w:val="0"/>
                      <w:sz w:val="21"/>
                      <w:szCs w:val="21"/>
                      <w:shd w:val="clear" w:color="auto" w:fill="FFFFFF"/>
                      <w:lang w:val="en-US" w:eastAsia="zh-CN" w:bidi="ar-SA"/>
                      <w14:ligatures w14:val="none"/>
                    </w:rPr>
                    <w:t>3.1.2厂区不应选择有害废弃物以及粉尘、有害气体、放射性物质和其他扩散性污染源不能有效清除的地址3.13厂区不</w:t>
                  </w:r>
                  <w:r>
                    <w:rPr>
                      <w:rFonts w:hint="eastAsia" w:cs="Times New Roman"/>
                      <w:snapToGrid w:val="0"/>
                      <w:color w:val="auto"/>
                      <w:kern w:val="0"/>
                      <w:sz w:val="21"/>
                      <w:szCs w:val="21"/>
                      <w:shd w:val="clear" w:color="auto" w:fill="FFFFFF"/>
                      <w:lang w:val="en-US" w:eastAsia="zh-CN" w:bidi="ar-SA"/>
                      <w14:ligatures w14:val="none"/>
                    </w:rPr>
                    <w:t>选择</w:t>
                  </w:r>
                  <w:r>
                    <w:rPr>
                      <w:rFonts w:hint="default" w:ascii="Times New Roman" w:hAnsi="Times New Roman" w:eastAsia="宋体" w:cs="Times New Roman"/>
                      <w:snapToGrid w:val="0"/>
                      <w:color w:val="auto"/>
                      <w:kern w:val="0"/>
                      <w:sz w:val="21"/>
                      <w:szCs w:val="21"/>
                      <w:shd w:val="clear" w:color="auto" w:fill="FFFFFF"/>
                      <w:lang w:val="en-US" w:eastAsia="zh-CN" w:bidi="ar-SA"/>
                      <w14:ligatures w14:val="none"/>
                    </w:rPr>
                    <w:t>易发生洪涝灾害的地区，难以避开时应设计必要的防范措施</w:t>
                  </w:r>
                  <w:r>
                    <w:rPr>
                      <w:rFonts w:hint="eastAsia" w:cs="Times New Roman"/>
                      <w:snapToGrid w:val="0"/>
                      <w:color w:val="auto"/>
                      <w:kern w:val="0"/>
                      <w:sz w:val="21"/>
                      <w:szCs w:val="21"/>
                      <w:shd w:val="clear" w:color="auto" w:fill="FFFFFF"/>
                      <w:lang w:val="en-US" w:eastAsia="zh-CN" w:bidi="ar-SA"/>
                      <w14:ligatures w14:val="none"/>
                    </w:rPr>
                    <w:t>：</w:t>
                  </w:r>
                </w:p>
                <w:p>
                  <w:pPr>
                    <w:spacing w:line="240" w:lineRule="auto"/>
                    <w:ind w:firstLine="0" w:firstLineChars="0"/>
                    <w:jc w:val="both"/>
                    <w:textAlignment w:val="center"/>
                    <w:rPr>
                      <w:rFonts w:hint="default" w:ascii="Times New Roman" w:hAnsi="Times New Roman" w:eastAsia="宋体" w:cs="Times New Roman"/>
                      <w:snapToGrid w:val="0"/>
                      <w:color w:val="auto"/>
                      <w:kern w:val="0"/>
                      <w:sz w:val="21"/>
                      <w:szCs w:val="21"/>
                      <w:shd w:val="clear" w:color="auto" w:fill="FFFFFF"/>
                      <w:lang w:val="en-US" w:eastAsia="zh-CN" w:bidi="ar-SA"/>
                      <w14:ligatures w14:val="none"/>
                    </w:rPr>
                  </w:pPr>
                  <w:r>
                    <w:rPr>
                      <w:rFonts w:hint="default" w:ascii="Times New Roman" w:hAnsi="Times New Roman" w:eastAsia="宋体" w:cs="Times New Roman"/>
                      <w:snapToGrid w:val="0"/>
                      <w:color w:val="auto"/>
                      <w:kern w:val="0"/>
                      <w:sz w:val="21"/>
                      <w:szCs w:val="21"/>
                      <w:shd w:val="clear" w:color="auto" w:fill="FFFFFF"/>
                      <w:lang w:val="en-US" w:eastAsia="zh-CN" w:bidi="ar-SA"/>
                      <w14:ligatures w14:val="none"/>
                    </w:rPr>
                    <w:t>3.1.4 厂区周围不宜有虫害大量</w:t>
                  </w:r>
                  <w:r>
                    <w:rPr>
                      <w:rFonts w:hint="eastAsia" w:cs="Times New Roman"/>
                      <w:snapToGrid w:val="0"/>
                      <w:color w:val="auto"/>
                      <w:kern w:val="0"/>
                      <w:sz w:val="21"/>
                      <w:szCs w:val="21"/>
                      <w:shd w:val="clear" w:color="auto" w:fill="FFFFFF"/>
                      <w:lang w:val="en-US" w:eastAsia="zh-CN" w:bidi="ar-SA"/>
                      <w14:ligatures w14:val="none"/>
                    </w:rPr>
                    <w:t>滋生</w:t>
                  </w:r>
                  <w:r>
                    <w:rPr>
                      <w:rFonts w:hint="default" w:ascii="Times New Roman" w:hAnsi="Times New Roman" w:eastAsia="宋体" w:cs="Times New Roman"/>
                      <w:snapToGrid w:val="0"/>
                      <w:color w:val="auto"/>
                      <w:kern w:val="0"/>
                      <w:sz w:val="21"/>
                      <w:szCs w:val="21"/>
                      <w:shd w:val="clear" w:color="auto" w:fill="FFFFFF"/>
                      <w:lang w:val="en-US" w:eastAsia="zh-CN" w:bidi="ar-SA"/>
                      <w14:ligatures w14:val="none"/>
                    </w:rPr>
                    <w:t>的潜在场所，难以避开时应设计必要的防范措施，</w:t>
                  </w:r>
                </w:p>
              </w:tc>
              <w:tc>
                <w:tcPr>
                  <w:tcW w:w="2658" w:type="dxa"/>
                  <w:tcBorders>
                    <w:tl2br w:val="nil"/>
                    <w:tr2bl w:val="nil"/>
                  </w:tcBorders>
                  <w:shd w:val="clear" w:color="auto" w:fill="auto"/>
                  <w:vAlign w:val="center"/>
                </w:tcPr>
                <w:p>
                  <w:pPr>
                    <w:spacing w:line="240" w:lineRule="auto"/>
                    <w:ind w:firstLine="0" w:firstLineChars="0"/>
                    <w:jc w:val="both"/>
                    <w:textAlignment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default" w:ascii="Times New Roman" w:hAnsi="Times New Roman" w:eastAsia="宋体" w:cs="Times New Roman"/>
                      <w:snapToGrid w:val="0"/>
                      <w:color w:val="auto"/>
                      <w:kern w:val="0"/>
                      <w:sz w:val="21"/>
                      <w:szCs w:val="21"/>
                      <w:shd w:val="clear" w:color="auto" w:fill="FFFFFF"/>
                      <w:lang w:val="en-US" w:eastAsia="zh-CN" w:bidi="ar-SA"/>
                      <w14:ligatures w14:val="none"/>
                    </w:rPr>
                    <w:t>项目区</w:t>
                  </w:r>
                  <w:r>
                    <w:rPr>
                      <w:rFonts w:hint="eastAsia" w:cs="Times New Roman"/>
                      <w:snapToGrid w:val="0"/>
                      <w:color w:val="auto"/>
                      <w:kern w:val="0"/>
                      <w:sz w:val="21"/>
                      <w:szCs w:val="21"/>
                      <w:shd w:val="clear" w:color="auto" w:fill="FFFFFF"/>
                      <w:lang w:val="en-US" w:eastAsia="zh-CN" w:bidi="ar-SA"/>
                      <w14:ligatures w14:val="none"/>
                    </w:rPr>
                    <w:t>位于</w:t>
                  </w:r>
                  <w:r>
                    <w:rPr>
                      <w:rFonts w:hint="eastAsia" w:ascii="Times New Roman" w:hAnsi="Times New Roman" w:eastAsia="宋体" w:cs="Times New Roman"/>
                      <w:snapToGrid/>
                      <w:color w:val="auto"/>
                      <w:kern w:val="2"/>
                      <w:sz w:val="21"/>
                      <w:szCs w:val="21"/>
                      <w:shd w:val="clear" w:color="auto" w:fill="FFFFFF"/>
                      <w:lang w:val="en-US" w:eastAsia="zh-CN" w:bidi="ar-SA"/>
                      <w14:ligatures w14:val="standardContextual"/>
                    </w:rPr>
                    <w:t>和硕县多式联运产业物流园区</w:t>
                  </w:r>
                  <w:r>
                    <w:rPr>
                      <w:rFonts w:hint="eastAsia" w:cs="Times New Roman"/>
                      <w:snapToGrid/>
                      <w:color w:val="auto"/>
                      <w:kern w:val="2"/>
                      <w:sz w:val="21"/>
                      <w:szCs w:val="21"/>
                      <w:shd w:val="clear" w:color="auto" w:fill="FFFFFF"/>
                      <w:lang w:val="en-US" w:eastAsia="zh-CN" w:bidi="ar-SA"/>
                      <w14:ligatures w14:val="standardContextual"/>
                    </w:rPr>
                    <w:t>，</w:t>
                  </w:r>
                  <w:r>
                    <w:rPr>
                      <w:rFonts w:hint="default" w:ascii="Times New Roman" w:hAnsi="Times New Roman" w:eastAsia="宋体" w:cs="Times New Roman"/>
                      <w:snapToGrid w:val="0"/>
                      <w:color w:val="auto"/>
                      <w:kern w:val="0"/>
                      <w:sz w:val="21"/>
                      <w:szCs w:val="21"/>
                      <w:shd w:val="clear" w:color="auto" w:fill="FFFFFF"/>
                      <w:lang w:val="en-US" w:eastAsia="zh-CN" w:bidi="ar-SA"/>
                      <w14:ligatures w14:val="none"/>
                    </w:rPr>
                    <w:t>不涉及有害</w:t>
                  </w:r>
                  <w:r>
                    <w:rPr>
                      <w:rFonts w:hint="eastAsia" w:cs="Times New Roman"/>
                      <w:snapToGrid w:val="0"/>
                      <w:color w:val="auto"/>
                      <w:kern w:val="0"/>
                      <w:sz w:val="21"/>
                      <w:szCs w:val="21"/>
                      <w:shd w:val="clear" w:color="auto" w:fill="FFFFFF"/>
                      <w:lang w:val="en-US" w:eastAsia="zh-CN" w:bidi="ar-SA"/>
                      <w14:ligatures w14:val="none"/>
                    </w:rPr>
                    <w:t>废弃物</w:t>
                  </w:r>
                  <w:r>
                    <w:rPr>
                      <w:rFonts w:hint="default" w:ascii="Times New Roman" w:hAnsi="Times New Roman" w:eastAsia="宋体" w:cs="Times New Roman"/>
                      <w:snapToGrid w:val="0"/>
                      <w:color w:val="auto"/>
                      <w:kern w:val="0"/>
                      <w:sz w:val="21"/>
                      <w:szCs w:val="21"/>
                      <w:shd w:val="clear" w:color="auto" w:fill="FFFFFF"/>
                      <w:lang w:val="en-US" w:eastAsia="zh-CN" w:bidi="ar-SA"/>
                      <w14:ligatures w14:val="none"/>
                    </w:rPr>
                    <w:t>、有毒气体等</w:t>
                  </w:r>
                  <w:r>
                    <w:rPr>
                      <w:rFonts w:hint="eastAsia" w:cs="Times New Roman"/>
                      <w:snapToGrid w:val="0"/>
                      <w:color w:val="auto"/>
                      <w:kern w:val="0"/>
                      <w:sz w:val="21"/>
                      <w:szCs w:val="21"/>
                      <w:shd w:val="clear" w:color="auto" w:fill="FFFFFF"/>
                      <w:lang w:val="en-US" w:eastAsia="zh-CN" w:bidi="ar-SA"/>
                      <w14:ligatures w14:val="none"/>
                    </w:rPr>
                    <w:t>，</w:t>
                  </w:r>
                  <w:r>
                    <w:rPr>
                      <w:rFonts w:hint="default" w:ascii="Times New Roman" w:hAnsi="Times New Roman" w:eastAsia="宋体" w:cs="Times New Roman"/>
                      <w:snapToGrid w:val="0"/>
                      <w:color w:val="auto"/>
                      <w:kern w:val="0"/>
                      <w:sz w:val="21"/>
                      <w:szCs w:val="21"/>
                      <w:shd w:val="clear" w:color="auto" w:fill="FFFFFF"/>
                      <w:lang w:val="en-US" w:eastAsia="zh-CN" w:bidi="ar-SA"/>
                      <w14:ligatures w14:val="none"/>
                    </w:rPr>
                    <w:t>厂区不易发生洪涝灾害</w:t>
                  </w:r>
                  <w:r>
                    <w:rPr>
                      <w:rFonts w:hint="eastAsia" w:cs="Times New Roman"/>
                      <w:snapToGrid w:val="0"/>
                      <w:color w:val="auto"/>
                      <w:kern w:val="0"/>
                      <w:sz w:val="21"/>
                      <w:szCs w:val="21"/>
                      <w:shd w:val="clear" w:color="auto" w:fill="FFFFFF"/>
                      <w:lang w:val="en-US" w:eastAsia="zh-CN" w:bidi="ar-SA"/>
                      <w14:ligatures w14:val="none"/>
                    </w:rPr>
                    <w:t>，项目区北侧为新疆嘉城椒业有限责任公司、巴州凡宇辣椒有限公司，西侧为新津木业，东侧为拟建的福满鑫食品有限公司、新疆椒源生物科技有限公司、新疆天德食品有限公司、九丰食品，南侧为辣椒冷库、新疆久鑫农业有限公司</w:t>
                  </w:r>
                  <w:r>
                    <w:rPr>
                      <w:rFonts w:hint="default" w:ascii="Times New Roman" w:hAnsi="Times New Roman" w:eastAsia="宋体" w:cs="Times New Roman"/>
                      <w:snapToGrid w:val="0"/>
                      <w:color w:val="auto"/>
                      <w:kern w:val="0"/>
                      <w:sz w:val="21"/>
                      <w:szCs w:val="21"/>
                      <w:shd w:val="clear" w:color="auto" w:fill="FFFFFF"/>
                      <w:lang w:val="en-US" w:eastAsia="zh-CN" w:bidi="ar-SA"/>
                      <w14:ligatures w14:val="none"/>
                    </w:rPr>
                    <w:t>，</w:t>
                  </w:r>
                  <w:r>
                    <w:rPr>
                      <w:rFonts w:hint="eastAsia" w:cs="Times New Roman"/>
                      <w:snapToGrid w:val="0"/>
                      <w:color w:val="auto"/>
                      <w:kern w:val="0"/>
                      <w:sz w:val="21"/>
                      <w:szCs w:val="21"/>
                      <w:shd w:val="clear" w:color="auto" w:fill="FFFFFF"/>
                      <w:lang w:val="en-US" w:eastAsia="zh-CN" w:bidi="ar-SA"/>
                      <w14:ligatures w14:val="none"/>
                    </w:rPr>
                    <w:t>不存在虫害滋生的潜在场所</w:t>
                  </w:r>
                  <w:r>
                    <w:rPr>
                      <w:rFonts w:hint="default" w:ascii="Times New Roman" w:hAnsi="Times New Roman" w:eastAsia="宋体" w:cs="Times New Roman"/>
                      <w:snapToGrid w:val="0"/>
                      <w:color w:val="auto"/>
                      <w:kern w:val="0"/>
                      <w:sz w:val="21"/>
                      <w:szCs w:val="21"/>
                      <w:shd w:val="clear" w:color="auto" w:fill="FFFFFF"/>
                      <w:lang w:val="en-US" w:eastAsia="zh-CN" w:bidi="ar-SA"/>
                      <w14:ligatures w14:val="none"/>
                    </w:rPr>
                    <w:t>。</w:t>
                  </w:r>
                </w:p>
              </w:tc>
              <w:tc>
                <w:tcPr>
                  <w:tcW w:w="425" w:type="dxa"/>
                  <w:tcBorders>
                    <w:tl2br w:val="nil"/>
                    <w:tr2bl w:val="nil"/>
                  </w:tcBorders>
                  <w:shd w:val="clear" w:color="auto" w:fill="auto"/>
                  <w:vAlign w:val="center"/>
                </w:tcPr>
                <w:p>
                  <w:pPr>
                    <w:spacing w:line="240" w:lineRule="auto"/>
                    <w:ind w:firstLine="0" w:firstLineChars="0"/>
                    <w:jc w:val="both"/>
                    <w:textAlignment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eastAsia" w:cs="Times New Roman"/>
                      <w:snapToGrid w:val="0"/>
                      <w:color w:val="auto"/>
                      <w:kern w:val="0"/>
                      <w:sz w:val="21"/>
                      <w:szCs w:val="21"/>
                      <w:lang w:val="en-US" w:eastAsia="zh-CN" w:bidi="ar-SA"/>
                      <w14:ligatures w14:val="none"/>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769" w:type="dxa"/>
                  <w:vMerge w:val="continue"/>
                  <w:tcBorders>
                    <w:tl2br w:val="nil"/>
                    <w:tr2bl w:val="nil"/>
                  </w:tcBorders>
                  <w:shd w:val="clear" w:color="auto" w:fill="auto"/>
                  <w:vAlign w:val="center"/>
                </w:tcPr>
                <w:p>
                  <w:pPr>
                    <w:pStyle w:val="35"/>
                    <w:bidi w:val="0"/>
                    <w:ind w:left="0" w:leftChars="0" w:firstLine="0" w:firstLineChars="0"/>
                    <w:jc w:val="both"/>
                    <w:rPr>
                      <w:rFonts w:hint="default" w:ascii="Times New Roman" w:hAnsi="Times New Roman" w:eastAsia="宋体" w:cs="Times New Roman"/>
                      <w:snapToGrid/>
                      <w:color w:val="auto"/>
                      <w:kern w:val="2"/>
                      <w:sz w:val="21"/>
                      <w:szCs w:val="21"/>
                      <w:shd w:val="clear" w:color="auto" w:fill="FFFFFF"/>
                      <w:lang w:val="en-US" w:eastAsia="zh-CN" w:bidi="ar-SA"/>
                      <w14:ligatures w14:val="standardContextual"/>
                    </w:rPr>
                  </w:pPr>
                </w:p>
              </w:tc>
              <w:tc>
                <w:tcPr>
                  <w:tcW w:w="3404" w:type="dxa"/>
                  <w:tcBorders>
                    <w:tl2br w:val="nil"/>
                    <w:tr2bl w:val="nil"/>
                  </w:tcBorders>
                  <w:shd w:val="clear" w:color="auto" w:fill="auto"/>
                  <w:vAlign w:val="center"/>
                </w:tcPr>
                <w:p>
                  <w:pPr>
                    <w:pStyle w:val="35"/>
                    <w:bidi w:val="0"/>
                    <w:ind w:left="0" w:leftChars="0" w:firstLine="0" w:firstLineChars="0"/>
                    <w:jc w:val="both"/>
                    <w:rPr>
                      <w:rFonts w:hint="default" w:ascii="Times New Roman" w:hAnsi="Times New Roman" w:eastAsia="宋体" w:cs="Times New Roman"/>
                      <w:snapToGrid/>
                      <w:color w:val="auto"/>
                      <w:kern w:val="2"/>
                      <w:sz w:val="21"/>
                      <w:szCs w:val="21"/>
                      <w:shd w:val="clear" w:color="auto" w:fill="FFFFFF"/>
                      <w:lang w:val="en-US" w:eastAsia="zh-CN" w:bidi="ar-SA"/>
                      <w14:ligatures w14:val="standardContextual"/>
                    </w:rPr>
                  </w:pPr>
                  <w:r>
                    <w:rPr>
                      <w:rFonts w:hint="default" w:ascii="Times New Roman" w:hAnsi="Times New Roman" w:eastAsia="宋体" w:cs="Times New Roman"/>
                      <w:snapToGrid/>
                      <w:color w:val="auto"/>
                      <w:kern w:val="2"/>
                      <w:sz w:val="21"/>
                      <w:szCs w:val="21"/>
                      <w:shd w:val="clear" w:color="auto" w:fill="FFFFFF"/>
                      <w:lang w:val="en-US" w:eastAsia="zh-CN" w:bidi="ar-SA"/>
                      <w14:ligatures w14:val="standardContextual"/>
                    </w:rPr>
                    <w:t>3.2 厂区环境</w:t>
                  </w:r>
                </w:p>
                <w:p>
                  <w:pPr>
                    <w:pStyle w:val="35"/>
                    <w:bidi w:val="0"/>
                    <w:ind w:left="0" w:leftChars="0" w:firstLine="0" w:firstLineChars="0"/>
                    <w:jc w:val="both"/>
                    <w:rPr>
                      <w:rFonts w:hint="default" w:ascii="Times New Roman" w:hAnsi="Times New Roman" w:eastAsia="宋体" w:cs="Times New Roman"/>
                      <w:snapToGrid/>
                      <w:color w:val="auto"/>
                      <w:kern w:val="2"/>
                      <w:sz w:val="21"/>
                      <w:szCs w:val="21"/>
                      <w:shd w:val="clear" w:color="auto" w:fill="FFFFFF"/>
                      <w:lang w:val="en-US" w:eastAsia="zh-CN" w:bidi="ar-SA"/>
                      <w14:ligatures w14:val="standardContextual"/>
                    </w:rPr>
                  </w:pPr>
                  <w:r>
                    <w:rPr>
                      <w:rFonts w:hint="default" w:ascii="Times New Roman" w:hAnsi="Times New Roman" w:eastAsia="宋体" w:cs="Times New Roman"/>
                      <w:snapToGrid/>
                      <w:color w:val="auto"/>
                      <w:kern w:val="2"/>
                      <w:sz w:val="21"/>
                      <w:szCs w:val="21"/>
                      <w:shd w:val="clear" w:color="auto" w:fill="FFFFFF"/>
                      <w:lang w:val="en-US" w:eastAsia="zh-CN" w:bidi="ar-SA"/>
                      <w14:ligatures w14:val="standardContextual"/>
                    </w:rPr>
                    <w:t>3.2.1应考虑环境给食品生产带来的潜在污染风险，并采取适当的措施将其降至最低水平，</w:t>
                  </w:r>
                </w:p>
                <w:p>
                  <w:pPr>
                    <w:pStyle w:val="35"/>
                    <w:bidi w:val="0"/>
                    <w:ind w:left="0" w:leftChars="0" w:firstLine="0" w:firstLineChars="0"/>
                    <w:jc w:val="both"/>
                    <w:rPr>
                      <w:rFonts w:hint="default" w:ascii="Times New Roman" w:hAnsi="Times New Roman" w:eastAsia="宋体" w:cs="Times New Roman"/>
                      <w:snapToGrid/>
                      <w:color w:val="auto"/>
                      <w:kern w:val="2"/>
                      <w:sz w:val="21"/>
                      <w:szCs w:val="21"/>
                      <w:shd w:val="clear" w:color="auto" w:fill="FFFFFF"/>
                      <w:lang w:val="en-US" w:eastAsia="zh-CN" w:bidi="ar-SA"/>
                      <w14:ligatures w14:val="standardContextual"/>
                    </w:rPr>
                  </w:pPr>
                  <w:r>
                    <w:rPr>
                      <w:rFonts w:hint="default" w:ascii="Times New Roman" w:hAnsi="Times New Roman" w:eastAsia="宋体" w:cs="Times New Roman"/>
                      <w:snapToGrid/>
                      <w:color w:val="auto"/>
                      <w:kern w:val="2"/>
                      <w:sz w:val="21"/>
                      <w:szCs w:val="21"/>
                      <w:shd w:val="clear" w:color="auto" w:fill="FFFFFF"/>
                      <w:lang w:val="en-US" w:eastAsia="zh-CN" w:bidi="ar-SA"/>
                      <w14:ligatures w14:val="standardContextual"/>
                    </w:rPr>
                    <w:t>3.2</w:t>
                  </w:r>
                  <w:r>
                    <w:rPr>
                      <w:rFonts w:hint="eastAsia" w:ascii="Times New Roman" w:hAnsi="Times New Roman" w:eastAsia="宋体" w:cs="Times New Roman"/>
                      <w:snapToGrid/>
                      <w:color w:val="auto"/>
                      <w:kern w:val="2"/>
                      <w:sz w:val="21"/>
                      <w:szCs w:val="21"/>
                      <w:shd w:val="clear" w:color="auto" w:fill="FFFFFF"/>
                      <w:lang w:val="en-US" w:eastAsia="zh-CN" w:bidi="ar-SA"/>
                      <w14:ligatures w14:val="standardContextual"/>
                    </w:rPr>
                    <w:t>.2厂</w:t>
                  </w:r>
                  <w:r>
                    <w:rPr>
                      <w:rFonts w:hint="default" w:ascii="Times New Roman" w:hAnsi="Times New Roman" w:eastAsia="宋体" w:cs="Times New Roman"/>
                      <w:snapToGrid/>
                      <w:color w:val="auto"/>
                      <w:kern w:val="2"/>
                      <w:sz w:val="21"/>
                      <w:szCs w:val="21"/>
                      <w:shd w:val="clear" w:color="auto" w:fill="FFFFFF"/>
                      <w:lang w:val="en-US" w:eastAsia="zh-CN" w:bidi="ar-SA"/>
                      <w14:ligatures w14:val="standardContextual"/>
                    </w:rPr>
                    <w:t>区应合理布局，各功能区域划分明显</w:t>
                  </w:r>
                  <w:r>
                    <w:rPr>
                      <w:rFonts w:hint="eastAsia" w:ascii="Times New Roman" w:hAnsi="Times New Roman" w:eastAsia="宋体" w:cs="Times New Roman"/>
                      <w:snapToGrid/>
                      <w:color w:val="auto"/>
                      <w:kern w:val="2"/>
                      <w:sz w:val="21"/>
                      <w:szCs w:val="21"/>
                      <w:shd w:val="clear" w:color="auto" w:fill="FFFFFF"/>
                      <w:lang w:val="en-US" w:eastAsia="zh-CN" w:bidi="ar-SA"/>
                      <w14:ligatures w14:val="standardContextual"/>
                    </w:rPr>
                    <w:t>，</w:t>
                  </w:r>
                  <w:r>
                    <w:rPr>
                      <w:rFonts w:hint="default" w:ascii="Times New Roman" w:hAnsi="Times New Roman" w:eastAsia="宋体" w:cs="Times New Roman"/>
                      <w:snapToGrid/>
                      <w:color w:val="auto"/>
                      <w:kern w:val="2"/>
                      <w:sz w:val="21"/>
                      <w:szCs w:val="21"/>
                      <w:shd w:val="clear" w:color="auto" w:fill="FFFFFF"/>
                      <w:lang w:val="en-US" w:eastAsia="zh-CN" w:bidi="ar-SA"/>
                      <w14:ligatures w14:val="standardContextual"/>
                    </w:rPr>
                    <w:t>并有适当的</w:t>
                  </w:r>
                  <w:r>
                    <w:rPr>
                      <w:rFonts w:hint="eastAsia" w:ascii="Times New Roman" w:hAnsi="Times New Roman" w:eastAsia="宋体" w:cs="Times New Roman"/>
                      <w:snapToGrid/>
                      <w:color w:val="auto"/>
                      <w:kern w:val="2"/>
                      <w:sz w:val="21"/>
                      <w:szCs w:val="21"/>
                      <w:shd w:val="clear" w:color="auto" w:fill="FFFFFF"/>
                      <w:lang w:val="en-US" w:eastAsia="zh-CN" w:bidi="ar-SA"/>
                      <w14:ligatures w14:val="standardContextual"/>
                    </w:rPr>
                    <w:t>分隔</w:t>
                  </w:r>
                  <w:r>
                    <w:rPr>
                      <w:rFonts w:hint="default" w:ascii="Times New Roman" w:hAnsi="Times New Roman" w:eastAsia="宋体" w:cs="Times New Roman"/>
                      <w:snapToGrid/>
                      <w:color w:val="auto"/>
                      <w:kern w:val="2"/>
                      <w:sz w:val="21"/>
                      <w:szCs w:val="21"/>
                      <w:shd w:val="clear" w:color="auto" w:fill="FFFFFF"/>
                      <w:lang w:val="en-US" w:eastAsia="zh-CN" w:bidi="ar-SA"/>
                      <w14:ligatures w14:val="standardContextual"/>
                    </w:rPr>
                    <w:t>或分隔措施，防止交叉污染。</w:t>
                  </w:r>
                </w:p>
                <w:p>
                  <w:pPr>
                    <w:pStyle w:val="35"/>
                    <w:bidi w:val="0"/>
                    <w:ind w:left="0" w:leftChars="0" w:firstLine="0" w:firstLineChars="0"/>
                    <w:jc w:val="both"/>
                    <w:rPr>
                      <w:rFonts w:hint="default" w:ascii="Times New Roman" w:hAnsi="Times New Roman" w:eastAsia="宋体" w:cs="Times New Roman"/>
                      <w:snapToGrid/>
                      <w:color w:val="auto"/>
                      <w:kern w:val="2"/>
                      <w:sz w:val="21"/>
                      <w:szCs w:val="21"/>
                      <w:shd w:val="clear" w:color="auto" w:fill="FFFFFF"/>
                      <w:lang w:val="en-US" w:eastAsia="zh-CN" w:bidi="ar-SA"/>
                      <w14:ligatures w14:val="standardContextual"/>
                    </w:rPr>
                  </w:pPr>
                  <w:r>
                    <w:rPr>
                      <w:rFonts w:hint="default" w:ascii="Times New Roman" w:hAnsi="Times New Roman" w:eastAsia="宋体" w:cs="Times New Roman"/>
                      <w:snapToGrid/>
                      <w:color w:val="auto"/>
                      <w:kern w:val="2"/>
                      <w:sz w:val="21"/>
                      <w:szCs w:val="21"/>
                      <w:shd w:val="clear" w:color="auto" w:fill="FFFFFF"/>
                      <w:lang w:val="en-US" w:eastAsia="zh-CN" w:bidi="ar-SA"/>
                      <w14:ligatures w14:val="standardContextual"/>
                    </w:rPr>
                    <w:t>3.2.3厂区内的道路应铺设混凝土</w:t>
                  </w:r>
                  <w:r>
                    <w:rPr>
                      <w:rFonts w:hint="eastAsia" w:ascii="Times New Roman" w:hAnsi="Times New Roman" w:eastAsia="宋体" w:cs="Times New Roman"/>
                      <w:snapToGrid/>
                      <w:color w:val="auto"/>
                      <w:kern w:val="2"/>
                      <w:sz w:val="21"/>
                      <w:szCs w:val="21"/>
                      <w:shd w:val="clear" w:color="auto" w:fill="FFFFFF"/>
                      <w:lang w:val="en-US" w:eastAsia="zh-CN" w:bidi="ar-SA"/>
                      <w14:ligatures w14:val="standardContextual"/>
                    </w:rPr>
                    <w:t>，</w:t>
                  </w:r>
                  <w:r>
                    <w:rPr>
                      <w:rFonts w:hint="default" w:ascii="Times New Roman" w:hAnsi="Times New Roman" w:eastAsia="宋体" w:cs="Times New Roman"/>
                      <w:snapToGrid/>
                      <w:color w:val="auto"/>
                      <w:kern w:val="2"/>
                      <w:sz w:val="21"/>
                      <w:szCs w:val="21"/>
                      <w:shd w:val="clear" w:color="auto" w:fill="FFFFFF"/>
                      <w:lang w:val="en-US" w:eastAsia="zh-CN" w:bidi="ar-SA"/>
                      <w14:ligatures w14:val="standardContextual"/>
                    </w:rPr>
                    <w:t>沥青</w:t>
                  </w:r>
                  <w:r>
                    <w:rPr>
                      <w:rFonts w:hint="eastAsia" w:ascii="Times New Roman" w:hAnsi="Times New Roman" w:eastAsia="宋体" w:cs="Times New Roman"/>
                      <w:snapToGrid/>
                      <w:color w:val="auto"/>
                      <w:kern w:val="2"/>
                      <w:sz w:val="21"/>
                      <w:szCs w:val="21"/>
                      <w:shd w:val="clear" w:color="auto" w:fill="FFFFFF"/>
                      <w:lang w:val="en-US" w:eastAsia="zh-CN" w:bidi="ar-SA"/>
                      <w14:ligatures w14:val="standardContextual"/>
                    </w:rPr>
                    <w:t>，或者</w:t>
                  </w:r>
                  <w:r>
                    <w:rPr>
                      <w:rFonts w:hint="default" w:ascii="Times New Roman" w:hAnsi="Times New Roman" w:eastAsia="宋体" w:cs="Times New Roman"/>
                      <w:snapToGrid/>
                      <w:color w:val="auto"/>
                      <w:kern w:val="2"/>
                      <w:sz w:val="21"/>
                      <w:szCs w:val="21"/>
                      <w:shd w:val="clear" w:color="auto" w:fill="FFFFFF"/>
                      <w:lang w:val="en-US" w:eastAsia="zh-CN" w:bidi="ar-SA"/>
                      <w14:ligatures w14:val="standardContextual"/>
                    </w:rPr>
                    <w:t>其他硬质材料</w:t>
                  </w:r>
                  <w:r>
                    <w:rPr>
                      <w:rFonts w:hint="eastAsia" w:ascii="Times New Roman" w:hAnsi="Times New Roman" w:eastAsia="宋体" w:cs="Times New Roman"/>
                      <w:snapToGrid/>
                      <w:color w:val="auto"/>
                      <w:kern w:val="2"/>
                      <w:sz w:val="21"/>
                      <w:szCs w:val="21"/>
                      <w:shd w:val="clear" w:color="auto" w:fill="FFFFFF"/>
                      <w:lang w:val="en-US" w:eastAsia="zh-CN" w:bidi="ar-SA"/>
                      <w14:ligatures w14:val="standardContextual"/>
                    </w:rPr>
                    <w:t>：</w:t>
                  </w:r>
                  <w:r>
                    <w:rPr>
                      <w:rFonts w:hint="default" w:ascii="Times New Roman" w:hAnsi="Times New Roman" w:eastAsia="宋体" w:cs="Times New Roman"/>
                      <w:snapToGrid/>
                      <w:color w:val="auto"/>
                      <w:kern w:val="2"/>
                      <w:sz w:val="21"/>
                      <w:szCs w:val="21"/>
                      <w:shd w:val="clear" w:color="auto" w:fill="FFFFFF"/>
                      <w:lang w:val="en-US" w:eastAsia="zh-CN" w:bidi="ar-SA"/>
                      <w14:ligatures w14:val="standardContextual"/>
                    </w:rPr>
                    <w:t>空地应采取必要措施，如铺设水泥、地砖或铺设草坪等方式，保持环境清洁，防止正常天气下扬尘和积水等现象的发生</w:t>
                  </w:r>
                  <w:r>
                    <w:rPr>
                      <w:rFonts w:hint="eastAsia" w:ascii="Times New Roman" w:hAnsi="Times New Roman" w:eastAsia="宋体" w:cs="Times New Roman"/>
                      <w:snapToGrid/>
                      <w:color w:val="auto"/>
                      <w:kern w:val="2"/>
                      <w:sz w:val="21"/>
                      <w:szCs w:val="21"/>
                      <w:shd w:val="clear" w:color="auto" w:fill="FFFFFF"/>
                      <w:lang w:val="en-US" w:eastAsia="zh-CN" w:bidi="ar-SA"/>
                      <w14:ligatures w14:val="standardContextual"/>
                    </w:rPr>
                    <w:t>。</w:t>
                  </w:r>
                </w:p>
                <w:p>
                  <w:pPr>
                    <w:pStyle w:val="35"/>
                    <w:bidi w:val="0"/>
                    <w:ind w:left="0" w:leftChars="0" w:firstLine="0" w:firstLineChars="0"/>
                    <w:jc w:val="both"/>
                    <w:rPr>
                      <w:rFonts w:hint="default" w:ascii="Times New Roman" w:hAnsi="Times New Roman" w:eastAsia="宋体" w:cs="Times New Roman"/>
                      <w:snapToGrid/>
                      <w:color w:val="auto"/>
                      <w:kern w:val="2"/>
                      <w:sz w:val="21"/>
                      <w:szCs w:val="21"/>
                      <w:shd w:val="clear" w:color="auto" w:fill="FFFFFF"/>
                      <w:lang w:val="en-US" w:eastAsia="zh-CN" w:bidi="ar-SA"/>
                      <w14:ligatures w14:val="standardContextual"/>
                    </w:rPr>
                  </w:pPr>
                  <w:r>
                    <w:rPr>
                      <w:rFonts w:hint="default" w:ascii="Times New Roman" w:hAnsi="Times New Roman" w:eastAsia="宋体" w:cs="Times New Roman"/>
                      <w:snapToGrid/>
                      <w:color w:val="auto"/>
                      <w:kern w:val="2"/>
                      <w:sz w:val="21"/>
                      <w:szCs w:val="21"/>
                      <w:shd w:val="clear" w:color="auto" w:fill="FFFFFF"/>
                      <w:lang w:val="en-US" w:eastAsia="zh-CN" w:bidi="ar-SA"/>
                      <w14:ligatures w14:val="standardContextual"/>
                    </w:rPr>
                    <w:t>3.2.4厂区绿化应与生产车间保持适当距离，植被应定期维护，以防止虫害的</w:t>
                  </w:r>
                  <w:r>
                    <w:rPr>
                      <w:rFonts w:hint="eastAsia" w:ascii="Times New Roman" w:hAnsi="Times New Roman" w:eastAsia="宋体" w:cs="Times New Roman"/>
                      <w:snapToGrid/>
                      <w:color w:val="auto"/>
                      <w:kern w:val="2"/>
                      <w:sz w:val="21"/>
                      <w:szCs w:val="21"/>
                      <w:shd w:val="clear" w:color="auto" w:fill="FFFFFF"/>
                      <w:lang w:val="en-US" w:eastAsia="zh-CN" w:bidi="ar-SA"/>
                      <w14:ligatures w14:val="standardContextual"/>
                    </w:rPr>
                    <w:t>滋生</w:t>
                  </w:r>
                  <w:r>
                    <w:rPr>
                      <w:rFonts w:hint="default" w:ascii="Times New Roman" w:hAnsi="Times New Roman" w:eastAsia="宋体" w:cs="Times New Roman"/>
                      <w:snapToGrid/>
                      <w:color w:val="auto"/>
                      <w:kern w:val="2"/>
                      <w:sz w:val="21"/>
                      <w:szCs w:val="21"/>
                      <w:shd w:val="clear" w:color="auto" w:fill="FFFFFF"/>
                      <w:lang w:val="en-US" w:eastAsia="zh-CN" w:bidi="ar-SA"/>
                      <w14:ligatures w14:val="standardContextual"/>
                    </w:rPr>
                    <w:t>。</w:t>
                  </w:r>
                </w:p>
                <w:p>
                  <w:pPr>
                    <w:pStyle w:val="35"/>
                    <w:bidi w:val="0"/>
                    <w:ind w:left="0" w:leftChars="0" w:firstLine="0" w:firstLineChars="0"/>
                    <w:jc w:val="both"/>
                    <w:rPr>
                      <w:rFonts w:hint="default" w:ascii="Times New Roman" w:hAnsi="Times New Roman" w:eastAsia="宋体" w:cs="Times New Roman"/>
                      <w:snapToGrid/>
                      <w:color w:val="auto"/>
                      <w:kern w:val="2"/>
                      <w:sz w:val="21"/>
                      <w:szCs w:val="21"/>
                      <w:shd w:val="clear" w:color="auto" w:fill="FFFFFF"/>
                      <w:lang w:val="en-US" w:eastAsia="zh-CN" w:bidi="ar-SA"/>
                      <w14:ligatures w14:val="standardContextual"/>
                    </w:rPr>
                  </w:pPr>
                  <w:r>
                    <w:rPr>
                      <w:rFonts w:hint="default" w:ascii="Times New Roman" w:hAnsi="Times New Roman" w:eastAsia="宋体" w:cs="Times New Roman"/>
                      <w:snapToGrid/>
                      <w:color w:val="auto"/>
                      <w:kern w:val="2"/>
                      <w:sz w:val="21"/>
                      <w:szCs w:val="21"/>
                      <w:shd w:val="clear" w:color="auto" w:fill="FFFFFF"/>
                      <w:lang w:val="en-US" w:eastAsia="zh-CN" w:bidi="ar-SA"/>
                      <w14:ligatures w14:val="standardContextual"/>
                    </w:rPr>
                    <w:t>3.2.6 宿舍、食堂、职工娱乐设施等生活区应与生产区保持适当距离或分隔。</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s="Times New Roman"/>
                      <w:snapToGrid/>
                      <w:color w:val="auto"/>
                      <w:kern w:val="2"/>
                      <w:sz w:val="21"/>
                      <w:szCs w:val="21"/>
                      <w:shd w:val="clear" w:color="auto" w:fill="FFFFFF"/>
                      <w:lang w:val="en-US" w:eastAsia="zh-CN" w:bidi="ar-SA"/>
                      <w14:ligatures w14:val="standardContextual"/>
                    </w:rPr>
                  </w:pPr>
                  <w:r>
                    <w:rPr>
                      <w:rFonts w:hint="eastAsia" w:cs="Times New Roman"/>
                      <w:snapToGrid/>
                      <w:color w:val="auto"/>
                      <w:kern w:val="2"/>
                      <w:sz w:val="21"/>
                      <w:szCs w:val="21"/>
                      <w:shd w:val="clear" w:color="auto" w:fill="FFFFFF"/>
                      <w:lang w:val="en-US" w:eastAsia="zh-CN" w:bidi="ar-SA"/>
                      <w14:ligatures w14:val="standardContextual"/>
                    </w:rPr>
                    <w:t>4.1.3厂房和车间应根据产品特点、生产工艺、生产特性以及生产过程对清洁程度的要求合理划分作业</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s="Times New Roman"/>
                      <w:snapToGrid/>
                      <w:color w:val="auto"/>
                      <w:kern w:val="2"/>
                      <w:sz w:val="21"/>
                      <w:szCs w:val="21"/>
                      <w:shd w:val="clear" w:color="auto" w:fill="FFFFFF"/>
                      <w:lang w:val="en-US" w:eastAsia="zh-CN" w:bidi="ar-SA"/>
                      <w14:ligatures w14:val="standardContextual"/>
                    </w:rPr>
                  </w:pPr>
                  <w:r>
                    <w:rPr>
                      <w:rFonts w:hint="eastAsia" w:cs="Times New Roman"/>
                      <w:snapToGrid/>
                      <w:color w:val="auto"/>
                      <w:kern w:val="2"/>
                      <w:sz w:val="21"/>
                      <w:szCs w:val="21"/>
                      <w:shd w:val="clear" w:color="auto" w:fill="FFFFFF"/>
                      <w:lang w:val="en-US" w:eastAsia="zh-CN" w:bidi="ar-SA"/>
                      <w14:ligatures w14:val="standardContextual"/>
                    </w:rPr>
                    <w:t>区，并采取有效分离或分隔。如：通常可划分为清洁作业区、准清洁作业区和一般作业区；或清洁作业</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s="Times New Roman"/>
                      <w:snapToGrid/>
                      <w:color w:val="auto"/>
                      <w:kern w:val="2"/>
                      <w:sz w:val="21"/>
                      <w:szCs w:val="21"/>
                      <w:shd w:val="clear" w:color="auto" w:fill="FFFFFF"/>
                      <w:lang w:val="en-US" w:eastAsia="zh-CN" w:bidi="ar-SA"/>
                      <w14:ligatures w14:val="standardContextual"/>
                    </w:rPr>
                  </w:pPr>
                  <w:r>
                    <w:rPr>
                      <w:rFonts w:hint="eastAsia" w:cs="Times New Roman"/>
                      <w:snapToGrid/>
                      <w:color w:val="auto"/>
                      <w:kern w:val="2"/>
                      <w:sz w:val="21"/>
                      <w:szCs w:val="21"/>
                      <w:shd w:val="clear" w:color="auto" w:fill="FFFFFF"/>
                      <w:lang w:val="en-US" w:eastAsia="zh-CN" w:bidi="ar-SA"/>
                      <w14:ligatures w14:val="standardContextual"/>
                    </w:rPr>
                    <w:t>区和一般作业区等。一般作业区应与其他作业区域分隔。</w:t>
                  </w:r>
                </w:p>
                <w:p>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Times New Roman" w:hAnsi="Times New Roman" w:eastAsia="宋体" w:cs="Times New Roman"/>
                      <w:snapToGrid/>
                      <w:color w:val="auto"/>
                      <w:kern w:val="2"/>
                      <w:sz w:val="21"/>
                      <w:szCs w:val="21"/>
                      <w:shd w:val="clear" w:color="auto" w:fill="FFFFFF"/>
                      <w:lang w:val="en-US" w:eastAsia="zh-CN" w:bidi="ar-SA"/>
                      <w14:ligatures w14:val="standardContextual"/>
                    </w:rPr>
                  </w:pPr>
                  <w:r>
                    <w:rPr>
                      <w:rFonts w:hint="eastAsia" w:ascii="Times New Roman" w:hAnsi="Times New Roman" w:eastAsia="宋体" w:cs="Times New Roman"/>
                      <w:snapToGrid/>
                      <w:color w:val="auto"/>
                      <w:kern w:val="2"/>
                      <w:sz w:val="21"/>
                      <w:szCs w:val="21"/>
                      <w:shd w:val="clear" w:color="auto" w:fill="FFFFFF"/>
                      <w:lang w:val="en-US" w:eastAsia="zh-CN" w:bidi="ar-SA"/>
                      <w14:ligatures w14:val="standardContextual"/>
                    </w:rPr>
                    <w:t>4.2.2.1顶棚应使用无毒、无味、与生产需求相适应、易于观察清洁状况的材料建造；若直接在屋顶内层喷涂涂料作为顶棚，应使用无毒、无味、防霉、不易脱落、易于清洁的涂料。</w:t>
                  </w:r>
                </w:p>
                <w:p>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eastAsia="宋体" w:cs="Times New Roman"/>
                      <w:snapToGrid/>
                      <w:color w:val="auto"/>
                      <w:kern w:val="2"/>
                      <w:sz w:val="21"/>
                      <w:szCs w:val="21"/>
                      <w:shd w:val="clear" w:color="auto" w:fill="FFFFFF"/>
                      <w:lang w:val="en-US" w:eastAsia="zh-CN" w:bidi="ar-SA"/>
                      <w14:ligatures w14:val="standardContextual"/>
                    </w:rPr>
                  </w:pPr>
                  <w:r>
                    <w:rPr>
                      <w:rFonts w:hint="default" w:ascii="Times New Roman" w:hAnsi="Times New Roman" w:eastAsia="宋体" w:cs="Times New Roman"/>
                      <w:snapToGrid/>
                      <w:color w:val="auto"/>
                      <w:kern w:val="2"/>
                      <w:sz w:val="21"/>
                      <w:szCs w:val="21"/>
                      <w:shd w:val="clear" w:color="auto" w:fill="FFFFFF"/>
                      <w:lang w:val="en-US" w:eastAsia="zh-CN" w:bidi="ar-SA"/>
                      <w14:ligatures w14:val="standardContextual"/>
                    </w:rPr>
                    <w:t>5.1.5.1生产场所或生产车间入口处应设置更衣室；必要时特定的作业区入口处可按需要设置更衣室。更衣室应保证工作服与个人服装及其他物品分开放置。</w:t>
                  </w:r>
                </w:p>
              </w:tc>
              <w:tc>
                <w:tcPr>
                  <w:tcW w:w="2658" w:type="dxa"/>
                  <w:tcBorders>
                    <w:tl2br w:val="nil"/>
                    <w:tr2bl w:val="nil"/>
                  </w:tcBorders>
                  <w:shd w:val="clear" w:color="auto" w:fill="auto"/>
                  <w:vAlign w:val="center"/>
                </w:tcPr>
                <w:p>
                  <w:pPr>
                    <w:pStyle w:val="35"/>
                    <w:bidi w:val="0"/>
                    <w:ind w:left="0" w:leftChars="0" w:firstLine="0" w:firstLineChars="0"/>
                    <w:jc w:val="both"/>
                    <w:rPr>
                      <w:rFonts w:hint="default" w:ascii="Times New Roman" w:hAnsi="Times New Roman" w:eastAsia="宋体" w:cs="Times New Roman"/>
                      <w:snapToGrid/>
                      <w:color w:val="auto"/>
                      <w:kern w:val="2"/>
                      <w:sz w:val="21"/>
                      <w:szCs w:val="21"/>
                      <w:shd w:val="clear" w:color="auto" w:fill="FFFFFF"/>
                      <w:lang w:val="en-US" w:eastAsia="zh-CN" w:bidi="ar-SA"/>
                      <w14:ligatures w14:val="standardContextual"/>
                    </w:rPr>
                  </w:pPr>
                  <w:r>
                    <w:rPr>
                      <w:rFonts w:hint="eastAsia" w:ascii="Times New Roman" w:hAnsi="Times New Roman" w:eastAsia="宋体" w:cs="Times New Roman"/>
                      <w:snapToGrid/>
                      <w:color w:val="auto"/>
                      <w:kern w:val="2"/>
                      <w:sz w:val="21"/>
                      <w:szCs w:val="21"/>
                      <w:shd w:val="clear" w:color="auto" w:fill="FFFFFF"/>
                      <w:lang w:val="en-US" w:eastAsia="zh-CN" w:bidi="ar-SA"/>
                      <w14:ligatures w14:val="standardContextual"/>
                    </w:rPr>
                    <w:t>本项目位于和硕县多式联运产业物流园区内的辣椒产业加工区；根据本项目提供的规划平面布置图可知打粉</w:t>
                  </w:r>
                  <w:r>
                    <w:rPr>
                      <w:rFonts w:hint="default" w:ascii="Times New Roman" w:hAnsi="Times New Roman" w:eastAsia="宋体" w:cs="Times New Roman"/>
                      <w:snapToGrid/>
                      <w:color w:val="auto"/>
                      <w:kern w:val="2"/>
                      <w:sz w:val="21"/>
                      <w:szCs w:val="21"/>
                      <w:shd w:val="clear" w:color="auto" w:fill="FFFFFF"/>
                      <w:lang w:val="en-US" w:eastAsia="zh-CN" w:bidi="ar-SA"/>
                      <w14:ligatures w14:val="standardContextual"/>
                    </w:rPr>
                    <w:t>车间位</w:t>
                  </w:r>
                  <w:r>
                    <w:rPr>
                      <w:rFonts w:hint="eastAsia" w:ascii="Times New Roman" w:hAnsi="Times New Roman" w:eastAsia="宋体" w:cs="Times New Roman"/>
                      <w:snapToGrid/>
                      <w:color w:val="auto"/>
                      <w:kern w:val="2"/>
                      <w:sz w:val="21"/>
                      <w:szCs w:val="21"/>
                      <w:shd w:val="clear" w:color="auto" w:fill="FFFFFF"/>
                      <w:lang w:val="en-US" w:eastAsia="zh-CN" w:bidi="ar-SA"/>
                      <w14:ligatures w14:val="standardContextual"/>
                    </w:rPr>
                    <w:t>于厂区西北侧</w:t>
                  </w:r>
                  <w:r>
                    <w:rPr>
                      <w:rFonts w:hint="default" w:ascii="Times New Roman" w:hAnsi="Times New Roman" w:eastAsia="宋体" w:cs="Times New Roman"/>
                      <w:snapToGrid/>
                      <w:color w:val="auto"/>
                      <w:kern w:val="2"/>
                      <w:sz w:val="21"/>
                      <w:szCs w:val="21"/>
                      <w:shd w:val="clear" w:color="auto" w:fill="FFFFFF"/>
                      <w:lang w:val="en-US" w:eastAsia="zh-CN" w:bidi="ar-SA"/>
                      <w14:ligatures w14:val="standardContextual"/>
                    </w:rPr>
                    <w:t>，</w:t>
                  </w:r>
                  <w:r>
                    <w:rPr>
                      <w:rFonts w:hint="eastAsia" w:ascii="Times New Roman" w:hAnsi="Times New Roman" w:eastAsia="宋体" w:cs="Times New Roman"/>
                      <w:snapToGrid/>
                      <w:color w:val="auto"/>
                      <w:kern w:val="2"/>
                      <w:sz w:val="21"/>
                      <w:szCs w:val="21"/>
                      <w:shd w:val="clear" w:color="auto" w:fill="FFFFFF"/>
                      <w:lang w:val="en-US" w:eastAsia="zh-CN" w:bidi="ar-SA"/>
                      <w14:ligatures w14:val="standardContextual"/>
                    </w:rPr>
                    <w:t>原料库房位于厂区西南侧</w:t>
                  </w:r>
                  <w:r>
                    <w:rPr>
                      <w:rFonts w:hint="default" w:ascii="Times New Roman" w:hAnsi="Times New Roman" w:eastAsia="宋体" w:cs="Times New Roman"/>
                      <w:snapToGrid/>
                      <w:color w:val="auto"/>
                      <w:kern w:val="2"/>
                      <w:sz w:val="21"/>
                      <w:szCs w:val="21"/>
                      <w:shd w:val="clear" w:color="auto" w:fill="FFFFFF"/>
                      <w:lang w:val="en-US" w:eastAsia="zh-CN" w:bidi="ar-SA"/>
                      <w14:ligatures w14:val="standardContextual"/>
                    </w:rPr>
                    <w:t>，</w:t>
                  </w:r>
                  <w:r>
                    <w:rPr>
                      <w:rFonts w:hint="eastAsia" w:ascii="Times New Roman" w:hAnsi="Times New Roman" w:eastAsia="宋体" w:cs="Times New Roman"/>
                      <w:snapToGrid/>
                      <w:color w:val="auto"/>
                      <w:kern w:val="2"/>
                      <w:sz w:val="21"/>
                      <w:szCs w:val="21"/>
                      <w:shd w:val="clear" w:color="auto" w:fill="FFFFFF"/>
                      <w:lang w:val="en-US" w:eastAsia="zh-CN" w:bidi="ar-SA"/>
                      <w14:ligatures w14:val="standardContextual"/>
                    </w:rPr>
                    <w:t>冷库位于厂区西南侧，各功能区分区明显，生产区、生活区分区明显。厂区道路硬化，厂区四周绿化带距离厂房5米，绿化带植被定期维护，避免虫害滋生；本项目按照工艺，分为打粉车间；车间采用钢结构无毒、无味、防霉、不易脱落、易于清洁；厂房入口设置更衣室，员工工作时间按照要求穿戴工作服。</w:t>
                  </w:r>
                </w:p>
              </w:tc>
              <w:tc>
                <w:tcPr>
                  <w:tcW w:w="425" w:type="dxa"/>
                  <w:tcBorders>
                    <w:tl2br w:val="nil"/>
                    <w:tr2bl w:val="nil"/>
                  </w:tcBorders>
                  <w:shd w:val="clear" w:color="auto" w:fill="auto"/>
                  <w:vAlign w:val="center"/>
                </w:tcPr>
                <w:p>
                  <w:pPr>
                    <w:spacing w:line="240" w:lineRule="auto"/>
                    <w:ind w:firstLine="0" w:firstLineChars="0"/>
                    <w:jc w:val="both"/>
                    <w:textAlignment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eastAsia" w:cs="Times New Roman"/>
                      <w:snapToGrid w:val="0"/>
                      <w:color w:val="auto"/>
                      <w:kern w:val="0"/>
                      <w:sz w:val="21"/>
                      <w:szCs w:val="21"/>
                      <w:lang w:val="en-US" w:eastAsia="zh-CN" w:bidi="ar-SA"/>
                      <w14:ligatures w14:val="none"/>
                    </w:rPr>
                    <w:t>符合</w:t>
                  </w:r>
                </w:p>
              </w:tc>
            </w:tr>
          </w:tbl>
          <w:p>
            <w:pPr>
              <w:autoSpaceDE w:val="0"/>
              <w:autoSpaceDN w:val="0"/>
              <w:rPr>
                <w:rFonts w:hint="default" w:ascii="Times New Roman" w:hAnsi="Times New Roman" w:cs="Times New Roman"/>
                <w:bCs/>
                <w:color w:val="auto"/>
              </w:rPr>
            </w:pPr>
          </w:p>
        </w:tc>
      </w:tr>
    </w:tbl>
    <w:p>
      <w:pPr>
        <w:outlineLvl w:val="0"/>
        <w:rPr>
          <w:rFonts w:eastAsia="黑体"/>
          <w:color w:val="auto"/>
          <w:sz w:val="30"/>
        </w:rPr>
        <w:sectPr>
          <w:footerReference r:id="rId8"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jc w:val="center"/>
        <w:outlineLvl w:val="0"/>
        <w:rPr>
          <w:rFonts w:ascii="黑体" w:hAnsi="黑体" w:eastAsia="黑体"/>
          <w:color w:val="auto"/>
          <w:sz w:val="30"/>
          <w:szCs w:val="30"/>
        </w:rPr>
      </w:pPr>
      <w:r>
        <w:rPr>
          <w:rFonts w:hint="eastAsia" w:ascii="黑体" w:hAnsi="黑体" w:eastAsia="黑体"/>
          <w:color w:val="auto"/>
          <w:sz w:val="30"/>
          <w:szCs w:val="30"/>
        </w:rPr>
        <w:t>二、建设项目工程分析</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85"/>
        <w:gridCol w:w="84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793" w:hRule="atLeast"/>
          <w:jc w:val="center"/>
        </w:trPr>
        <w:tc>
          <w:tcPr>
            <w:tcW w:w="485"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建设内容</w:t>
            </w:r>
          </w:p>
        </w:tc>
        <w:tc>
          <w:tcPr>
            <w:tcW w:w="8499" w:type="dxa"/>
          </w:tcPr>
          <w:p>
            <w:pPr>
              <w:keepNext w:val="0"/>
              <w:keepLines w:val="0"/>
              <w:pageBreakBefore w:val="0"/>
              <w:widowControl w:val="0"/>
              <w:kinsoku/>
              <w:wordWrap/>
              <w:overflowPunct/>
              <w:topLinePunct w:val="0"/>
              <w:bidi w:val="0"/>
              <w:adjustRightInd w:val="0"/>
              <w:snapToGrid w:val="0"/>
              <w:spacing w:line="500" w:lineRule="exact"/>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2.1建设内容</w:t>
            </w:r>
          </w:p>
          <w:p>
            <w:pPr>
              <w:keepNext w:val="0"/>
              <w:keepLines w:val="0"/>
              <w:pageBreakBefore w:val="0"/>
              <w:widowControl w:val="0"/>
              <w:kinsoku/>
              <w:wordWrap/>
              <w:overflowPunct/>
              <w:topLinePunct w:val="0"/>
              <w:bidi w:val="0"/>
              <w:adjustRightInd w:val="0"/>
              <w:snapToGrid w:val="0"/>
              <w:spacing w:line="500" w:lineRule="exact"/>
              <w:textAlignment w:val="auto"/>
              <w:rPr>
                <w:rFonts w:hint="eastAsia" w:cs="Times New Roman"/>
                <w:b/>
                <w:bCs/>
                <w:color w:val="auto"/>
                <w:lang w:val="en-US" w:eastAsia="zh-CN"/>
              </w:rPr>
            </w:pPr>
            <w:r>
              <w:rPr>
                <w:rFonts w:hint="eastAsia" w:cs="Times New Roman"/>
                <w:b/>
                <w:bCs/>
                <w:color w:val="auto"/>
                <w:lang w:val="en-US" w:eastAsia="zh-CN"/>
              </w:rPr>
              <w:t>2.1.1项目背景</w:t>
            </w:r>
          </w:p>
          <w:p>
            <w:pPr>
              <w:pStyle w:val="31"/>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default" w:ascii="Times New Roman" w:hAnsi="Times New Roman" w:eastAsia="宋体" w:cs="Times New Roman"/>
                <w:b w:val="0"/>
                <w:bCs/>
                <w:color w:val="auto"/>
                <w:sz w:val="24"/>
                <w:szCs w:val="24"/>
                <w:lang w:val="en-US" w:eastAsia="zh-CN"/>
              </w:rPr>
            </w:pPr>
            <w:r>
              <w:rPr>
                <w:rFonts w:hint="eastAsia" w:hAnsi="Times New Roman" w:cs="Times New Roman"/>
                <w:b w:val="0"/>
                <w:bCs/>
                <w:color w:val="auto"/>
                <w:sz w:val="24"/>
                <w:szCs w:val="24"/>
                <w:lang w:val="en-US" w:eastAsia="zh-CN"/>
              </w:rPr>
              <w:t>和硕县地域广阔，全县行政面积1.28万平方公里，辖4乡3镇，25个行政村，8个社区，户籍人口6.6万人。光热资源充足，十分适宜葡萄、辣椒、番茄、蔬菜、瓜果等农作物生长，是发展绿色食品和有机食品的绝佳之地，具备高起点发展葡萄酒酿造、工业番茄、辣椒深加工的优势。为进一步增强辣椒产业的竞争力，和硕多式联运产业物流园规划有农产品产业区-辣椒产业加工区。本项目为辣椒初级加工，旨在提高辣椒产品的附加值，满足市场对多样化辣椒产品的需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color w:val="auto"/>
                <w:lang w:val="en-US" w:eastAsia="zh-CN"/>
              </w:rPr>
            </w:pPr>
            <w:r>
              <w:rPr>
                <w:rFonts w:hint="default" w:ascii="Times New Roman" w:hAnsi="Times New Roman" w:eastAsia="宋体" w:cs="Times New Roman"/>
                <w:b w:val="0"/>
                <w:bCs/>
                <w:color w:val="auto"/>
                <w:sz w:val="24"/>
                <w:szCs w:val="24"/>
                <w:lang w:val="en-US" w:eastAsia="zh-CN"/>
              </w:rPr>
              <w:t>项目于202</w:t>
            </w:r>
            <w:r>
              <w:rPr>
                <w:rFonts w:hint="eastAsia" w:ascii="Times New Roman" w:hAnsi="Times New Roman" w:eastAsia="宋体" w:cs="Times New Roman"/>
                <w:b w:val="0"/>
                <w:bCs/>
                <w:color w:val="auto"/>
                <w:sz w:val="24"/>
                <w:szCs w:val="24"/>
                <w:lang w:val="en-US" w:eastAsia="zh-CN"/>
              </w:rPr>
              <w:t>5</w:t>
            </w:r>
            <w:r>
              <w:rPr>
                <w:rFonts w:hint="default" w:ascii="Times New Roman" w:hAnsi="Times New Roman" w:eastAsia="宋体" w:cs="Times New Roman"/>
                <w:b w:val="0"/>
                <w:bCs/>
                <w:color w:val="auto"/>
                <w:sz w:val="24"/>
                <w:szCs w:val="24"/>
                <w:lang w:val="en-US" w:eastAsia="zh-CN"/>
              </w:rPr>
              <w:t>年</w:t>
            </w:r>
            <w:r>
              <w:rPr>
                <w:rFonts w:hint="eastAsia" w:cs="Times New Roman"/>
                <w:b w:val="0"/>
                <w:bCs/>
                <w:color w:val="auto"/>
                <w:sz w:val="24"/>
                <w:szCs w:val="24"/>
                <w:lang w:val="en-US" w:eastAsia="zh-CN"/>
              </w:rPr>
              <w:t>11</w:t>
            </w:r>
            <w:r>
              <w:rPr>
                <w:rFonts w:hint="default" w:ascii="Times New Roman" w:hAnsi="Times New Roman" w:eastAsia="宋体" w:cs="Times New Roman"/>
                <w:b w:val="0"/>
                <w:bCs/>
                <w:color w:val="auto"/>
                <w:sz w:val="24"/>
                <w:szCs w:val="24"/>
                <w:lang w:val="en-US" w:eastAsia="zh-CN"/>
              </w:rPr>
              <w:t>月</w:t>
            </w:r>
            <w:r>
              <w:rPr>
                <w:rFonts w:hint="eastAsia" w:cs="Times New Roman"/>
                <w:b w:val="0"/>
                <w:bCs/>
                <w:color w:val="auto"/>
                <w:sz w:val="24"/>
                <w:szCs w:val="24"/>
                <w:lang w:val="en-US" w:eastAsia="zh-CN"/>
              </w:rPr>
              <w:t>6</w:t>
            </w:r>
            <w:r>
              <w:rPr>
                <w:rFonts w:hint="default" w:ascii="Times New Roman" w:hAnsi="Times New Roman" w:eastAsia="宋体" w:cs="Times New Roman"/>
                <w:b w:val="0"/>
                <w:bCs/>
                <w:color w:val="auto"/>
                <w:sz w:val="24"/>
                <w:szCs w:val="24"/>
                <w:lang w:val="en-US" w:eastAsia="zh-CN"/>
              </w:rPr>
              <w:t>日取得</w:t>
            </w:r>
            <w:r>
              <w:rPr>
                <w:rFonts w:hint="eastAsia" w:cs="Times New Roman"/>
                <w:b w:val="0"/>
                <w:bCs/>
                <w:color w:val="auto"/>
                <w:sz w:val="24"/>
                <w:szCs w:val="24"/>
                <w:lang w:val="en-US" w:eastAsia="zh-CN"/>
              </w:rPr>
              <w:t>和硕县</w:t>
            </w:r>
            <w:r>
              <w:rPr>
                <w:rFonts w:hint="default" w:ascii="Times New Roman" w:hAnsi="Times New Roman" w:eastAsia="宋体" w:cs="Times New Roman"/>
                <w:b w:val="0"/>
                <w:bCs/>
                <w:color w:val="auto"/>
                <w:sz w:val="24"/>
                <w:szCs w:val="24"/>
                <w:lang w:val="en-US" w:eastAsia="zh-CN"/>
              </w:rPr>
              <w:t>发展和改革</w:t>
            </w:r>
            <w:r>
              <w:rPr>
                <w:rFonts w:hint="eastAsia" w:ascii="Times New Roman" w:hAnsi="Times New Roman" w:eastAsia="宋体" w:cs="Times New Roman"/>
                <w:b w:val="0"/>
                <w:bCs/>
                <w:color w:val="auto"/>
                <w:sz w:val="24"/>
                <w:szCs w:val="24"/>
                <w:lang w:val="en-US" w:eastAsia="zh-CN"/>
              </w:rPr>
              <w:t>委员会</w:t>
            </w:r>
            <w:r>
              <w:rPr>
                <w:rFonts w:hint="default" w:ascii="Times New Roman" w:hAnsi="Times New Roman" w:eastAsia="宋体" w:cs="Times New Roman"/>
                <w:b w:val="0"/>
                <w:bCs/>
                <w:color w:val="auto"/>
                <w:sz w:val="24"/>
                <w:szCs w:val="24"/>
                <w:lang w:val="en-US" w:eastAsia="zh-CN"/>
              </w:rPr>
              <w:t>出具的投资项目备案证，项目代码</w:t>
            </w:r>
            <w:r>
              <w:rPr>
                <w:rFonts w:hint="eastAsia" w:cs="Times New Roman"/>
                <w:b w:val="0"/>
                <w:bCs/>
                <w:color w:val="auto"/>
                <w:sz w:val="24"/>
                <w:szCs w:val="24"/>
                <w:lang w:val="en-US" w:eastAsia="zh-CN"/>
              </w:rPr>
              <w:t>：</w:t>
            </w:r>
            <w:r>
              <w:rPr>
                <w:rFonts w:hint="default" w:ascii="Times New Roman" w:hAnsi="Times New Roman" w:eastAsia="宋体" w:cs="Times New Roman"/>
                <w:b w:val="0"/>
                <w:bCs/>
                <w:color w:val="auto"/>
                <w:sz w:val="24"/>
                <w:szCs w:val="24"/>
                <w:lang w:val="en-US" w:eastAsia="zh-CN"/>
              </w:rPr>
              <w:t>2511-652828-04-01-406960。</w:t>
            </w:r>
          </w:p>
          <w:p>
            <w:pPr>
              <w:pStyle w:val="31"/>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default" w:ascii="Times New Roman" w:hAnsi="Times New Roman" w:eastAsia="宋体" w:cs="Times New Roman"/>
                <w:b w:val="0"/>
                <w:bCs/>
                <w:color w:val="auto"/>
                <w:sz w:val="24"/>
                <w:szCs w:val="24"/>
                <w:lang w:val="en-US" w:eastAsia="zh-CN"/>
              </w:rPr>
            </w:pPr>
            <w:r>
              <w:rPr>
                <w:rFonts w:hint="default"/>
                <w:b w:val="0"/>
                <w:bCs/>
                <w:color w:val="auto"/>
                <w:lang w:val="en-US" w:eastAsia="zh-CN"/>
              </w:rPr>
              <w:t>根据《中华人民共和国环境影响评价法》及《建设项目环境保护管理条例》（国务院令</w:t>
            </w:r>
            <w:r>
              <w:rPr>
                <w:rFonts w:hint="eastAsia"/>
                <w:b w:val="0"/>
                <w:bCs/>
                <w:color w:val="auto"/>
                <w:lang w:val="en-US" w:eastAsia="zh-CN"/>
              </w:rPr>
              <w:t>〔2017〕682号</w:t>
            </w:r>
            <w:r>
              <w:rPr>
                <w:rFonts w:hint="default"/>
                <w:b w:val="0"/>
                <w:bCs/>
                <w:color w:val="auto"/>
                <w:lang w:val="en-US" w:eastAsia="zh-CN"/>
              </w:rPr>
              <w:t>）中的有关规定，本项目需进行环境影响评价。根据《建设项目环境影响评价分类管理名录（2021年版）》，本项目属于</w:t>
            </w:r>
            <w:r>
              <w:rPr>
                <w:rFonts w:hint="eastAsia"/>
                <w:b w:val="0"/>
                <w:bCs/>
                <w:color w:val="auto"/>
                <w:lang w:val="en-US" w:eastAsia="zh-CN"/>
              </w:rPr>
              <w:t>“十一、食品制造14其他食品制造149盐加工；营养食品制造、保健食品制造、冷冻饮品及食用冰制造、无发酵工艺的食品及饲料添加剂制造、其他未列明食品制造以上均不含单纯混合、分装的”</w:t>
            </w:r>
            <w:r>
              <w:rPr>
                <w:rFonts w:hint="default"/>
                <w:b w:val="0"/>
                <w:bCs/>
                <w:color w:val="auto"/>
                <w:lang w:val="en-US" w:eastAsia="zh-CN"/>
              </w:rPr>
              <w:t>，需编制环境影响报告表。为此，建设单位特委托新疆玖和生态环境科技有限公司（以下简称</w:t>
            </w:r>
            <w:r>
              <w:rPr>
                <w:rFonts w:hint="eastAsia"/>
                <w:b w:val="0"/>
                <w:bCs/>
                <w:color w:val="auto"/>
                <w:lang w:val="en-US" w:eastAsia="zh-CN"/>
              </w:rPr>
              <w:t>“</w:t>
            </w:r>
            <w:r>
              <w:rPr>
                <w:rFonts w:hint="default"/>
                <w:b w:val="0"/>
                <w:bCs/>
                <w:color w:val="auto"/>
                <w:lang w:val="en-US" w:eastAsia="zh-CN"/>
              </w:rPr>
              <w:t>我公司</w:t>
            </w:r>
            <w:r>
              <w:rPr>
                <w:rFonts w:hint="eastAsia"/>
                <w:b w:val="0"/>
                <w:bCs/>
                <w:color w:val="auto"/>
                <w:lang w:val="en-US" w:eastAsia="zh-CN"/>
              </w:rPr>
              <w:t>”</w:t>
            </w:r>
            <w:r>
              <w:rPr>
                <w:rFonts w:hint="default"/>
                <w:b w:val="0"/>
                <w:bCs/>
                <w:color w:val="auto"/>
                <w:lang w:val="en-US" w:eastAsia="zh-CN"/>
              </w:rPr>
              <w:t>）承担项目环境影响评价工作。</w:t>
            </w:r>
          </w:p>
          <w:p>
            <w:pPr>
              <w:keepNext w:val="0"/>
              <w:keepLines w:val="0"/>
              <w:pageBreakBefore w:val="0"/>
              <w:widowControl w:val="0"/>
              <w:kinsoku/>
              <w:wordWrap/>
              <w:overflowPunct/>
              <w:topLinePunct w:val="0"/>
              <w:bidi w:val="0"/>
              <w:adjustRightInd w:val="0"/>
              <w:snapToGrid w:val="0"/>
              <w:spacing w:line="500" w:lineRule="exact"/>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2.1.</w:t>
            </w:r>
            <w:r>
              <w:rPr>
                <w:rFonts w:hint="eastAsia" w:cs="Times New Roman"/>
                <w:b/>
                <w:bCs/>
                <w:color w:val="auto"/>
                <w:lang w:val="en-US" w:eastAsia="zh-CN"/>
              </w:rPr>
              <w:t>2</w:t>
            </w:r>
            <w:r>
              <w:rPr>
                <w:rFonts w:hint="default" w:ascii="Times New Roman" w:hAnsi="Times New Roman" w:eastAsia="宋体" w:cs="Times New Roman"/>
                <w:b/>
                <w:bCs/>
                <w:color w:val="auto"/>
              </w:rPr>
              <w:t>建设内容及规模</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eastAsia="宋体" w:cs="Times New Roman"/>
                <w:bCs/>
                <w:color w:val="auto"/>
                <w:lang w:eastAsia="zh-CN"/>
              </w:rPr>
            </w:pPr>
            <w:r>
              <w:rPr>
                <w:rFonts w:hint="default" w:ascii="Times New Roman" w:hAnsi="Times New Roman" w:eastAsia="宋体" w:cs="Times New Roman"/>
                <w:bCs/>
                <w:color w:val="auto"/>
                <w:highlight w:val="none"/>
              </w:rPr>
              <w:t>项目</w:t>
            </w:r>
            <w:r>
              <w:rPr>
                <w:rFonts w:hint="eastAsia" w:cs="Times New Roman"/>
                <w:bCs/>
                <w:color w:val="auto"/>
                <w:highlight w:val="none"/>
                <w:lang w:val="en-US" w:eastAsia="zh-CN"/>
              </w:rPr>
              <w:t>总规划用地面积22000</w:t>
            </w:r>
            <w:r>
              <w:rPr>
                <w:rFonts w:hint="default" w:ascii="Times New Roman" w:hAnsi="Times New Roman" w:eastAsia="宋体" w:cs="Times New Roman"/>
                <w:bCs/>
                <w:color w:val="auto"/>
                <w:highlight w:val="none"/>
              </w:rPr>
              <w:t>m</w:t>
            </w:r>
            <w:r>
              <w:rPr>
                <w:rFonts w:hint="default" w:ascii="Times New Roman" w:hAnsi="Times New Roman" w:eastAsia="宋体" w:cs="Times New Roman"/>
                <w:bCs/>
                <w:color w:val="auto"/>
                <w:highlight w:val="none"/>
                <w:vertAlign w:val="superscript"/>
              </w:rPr>
              <w:t>2</w:t>
            </w:r>
            <w:r>
              <w:rPr>
                <w:rFonts w:hint="eastAsia" w:cs="Times New Roman"/>
                <w:bCs/>
                <w:color w:val="auto"/>
                <w:highlight w:val="none"/>
                <w:lang w:eastAsia="zh-CN"/>
              </w:rPr>
              <w:t>，</w:t>
            </w:r>
            <w:r>
              <w:rPr>
                <w:rFonts w:hint="eastAsia" w:cs="Times New Roman"/>
                <w:bCs/>
                <w:color w:val="auto"/>
                <w:highlight w:val="none"/>
                <w:lang w:val="en-US" w:eastAsia="zh-CN"/>
              </w:rPr>
              <w:t>总建筑面积为11234.17</w:t>
            </w:r>
            <w:r>
              <w:rPr>
                <w:rFonts w:hint="default" w:ascii="Times New Roman" w:hAnsi="Times New Roman" w:eastAsia="宋体" w:cs="Times New Roman"/>
                <w:bCs/>
                <w:color w:val="auto"/>
                <w:highlight w:val="none"/>
              </w:rPr>
              <w:t>m</w:t>
            </w:r>
            <w:r>
              <w:rPr>
                <w:rFonts w:hint="default" w:ascii="Times New Roman" w:hAnsi="Times New Roman" w:eastAsia="宋体" w:cs="Times New Roman"/>
                <w:bCs/>
                <w:color w:val="auto"/>
                <w:highlight w:val="none"/>
                <w:vertAlign w:val="superscript"/>
              </w:rPr>
              <w:t>2</w:t>
            </w:r>
            <w:r>
              <w:rPr>
                <w:rFonts w:hint="eastAsia" w:cs="Times New Roman"/>
                <w:bCs/>
                <w:color w:val="auto"/>
                <w:highlight w:val="none"/>
                <w:lang w:val="en-US" w:eastAsia="zh-CN"/>
              </w:rPr>
              <w:t>，包括一期打粉车间、冷库，二期原料库房等。本项目设置1条辣椒颗粒生产线，年产辣椒颗粒2.8万吨。</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表2</w:t>
            </w:r>
            <w:r>
              <w:rPr>
                <w:rFonts w:hint="eastAsia" w:ascii="Times New Roman" w:hAnsi="Times New Roman" w:eastAsia="宋体" w:cs="Times New Roman"/>
                <w:b/>
                <w:bCs/>
                <w:color w:val="auto"/>
                <w:sz w:val="21"/>
                <w:szCs w:val="21"/>
                <w:lang w:val="en-US" w:eastAsia="zh-CN"/>
              </w:rPr>
              <w:t>.1</w:t>
            </w:r>
            <w:r>
              <w:rPr>
                <w:rFonts w:hint="default" w:ascii="Times New Roman" w:hAnsi="Times New Roman" w:eastAsia="宋体" w:cs="Times New Roman"/>
                <w:b/>
                <w:bCs/>
                <w:color w:val="auto"/>
                <w:sz w:val="21"/>
                <w:szCs w:val="21"/>
                <w:lang w:val="en-US" w:eastAsia="zh-CN"/>
              </w:rPr>
              <w:t>-1  项目工程组成一览表</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07"/>
              <w:gridCol w:w="486"/>
              <w:gridCol w:w="1562"/>
              <w:gridCol w:w="4955"/>
              <w:gridCol w:w="7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2555" w:type="dxa"/>
                  <w:gridSpan w:val="3"/>
                  <w:tcBorders>
                    <w:tl2br w:val="nil"/>
                    <w:tr2bl w:val="nil"/>
                  </w:tcBorders>
                  <w:vAlign w:val="center"/>
                </w:tcPr>
                <w:p>
                  <w:pPr>
                    <w:spacing w:line="240" w:lineRule="auto"/>
                    <w:jc w:val="center"/>
                    <w:rPr>
                      <w:rFonts w:hint="default" w:ascii="Times New Roman" w:hAnsi="Times New Roman" w:eastAsia="宋体" w:cs="Times New Roman"/>
                      <w:b/>
                      <w:color w:val="auto"/>
                      <w:sz w:val="21"/>
                      <w:szCs w:val="21"/>
                    </w:rPr>
                  </w:pPr>
                  <w:bookmarkStart w:id="2" w:name="_Hlk71572411"/>
                  <w:r>
                    <w:rPr>
                      <w:rFonts w:hint="default" w:ascii="Times New Roman" w:hAnsi="Times New Roman" w:eastAsia="宋体" w:cs="Times New Roman"/>
                      <w:b/>
                      <w:color w:val="auto"/>
                      <w:sz w:val="21"/>
                      <w:szCs w:val="21"/>
                    </w:rPr>
                    <w:t>组成</w:t>
                  </w:r>
                </w:p>
              </w:tc>
              <w:tc>
                <w:tcPr>
                  <w:tcW w:w="4955" w:type="dxa"/>
                  <w:tcBorders>
                    <w:tl2br w:val="nil"/>
                    <w:tr2bl w:val="nil"/>
                  </w:tcBorders>
                  <w:vAlign w:val="center"/>
                </w:tcPr>
                <w:p>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建设内容</w:t>
                  </w:r>
                </w:p>
              </w:tc>
              <w:tc>
                <w:tcPr>
                  <w:tcW w:w="753" w:type="dxa"/>
                  <w:tcBorders>
                    <w:tl2br w:val="nil"/>
                    <w:tr2bl w:val="nil"/>
                  </w:tcBorders>
                  <w:vAlign w:val="center"/>
                </w:tcPr>
                <w:p>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817" w:hRule="atLeast"/>
                <w:jc w:val="center"/>
              </w:trPr>
              <w:tc>
                <w:tcPr>
                  <w:tcW w:w="507" w:type="dxa"/>
                  <w:tcBorders>
                    <w:tl2br w:val="nil"/>
                    <w:tr2bl w:val="nil"/>
                  </w:tcBorders>
                  <w:vAlign w:val="center"/>
                </w:tcPr>
                <w:p>
                  <w:pPr>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主体工程</w:t>
                  </w:r>
                </w:p>
              </w:tc>
              <w:tc>
                <w:tcPr>
                  <w:tcW w:w="2048" w:type="dxa"/>
                  <w:gridSpan w:val="2"/>
                  <w:tcBorders>
                    <w:tl2br w:val="nil"/>
                    <w:tr2bl w:val="nil"/>
                  </w:tcBorders>
                  <w:vAlign w:val="center"/>
                </w:tcPr>
                <w:p>
                  <w:pPr>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color w:val="auto"/>
                      <w:sz w:val="21"/>
                      <w:szCs w:val="21"/>
                      <w:highlight w:val="none"/>
                      <w:lang w:val="en-US" w:eastAsia="zh-CN"/>
                    </w:rPr>
                    <w:t>打粉车间</w:t>
                  </w:r>
                </w:p>
              </w:tc>
              <w:tc>
                <w:tcPr>
                  <w:tcW w:w="4955" w:type="dxa"/>
                  <w:tcBorders>
                    <w:tl2br w:val="nil"/>
                    <w:tr2bl w:val="nil"/>
                  </w:tcBorders>
                  <w:vAlign w:val="center"/>
                </w:tcPr>
                <w:p>
                  <w:pPr>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color w:val="auto"/>
                      <w:sz w:val="21"/>
                      <w:szCs w:val="21"/>
                      <w:highlight w:val="none"/>
                      <w:lang w:val="en-US" w:eastAsia="zh-CN"/>
                    </w:rPr>
                    <w:t>位于厂区</w:t>
                  </w:r>
                  <w:r>
                    <w:rPr>
                      <w:rFonts w:hint="eastAsia" w:cs="Times New Roman"/>
                      <w:color w:val="auto"/>
                      <w:sz w:val="21"/>
                      <w:szCs w:val="21"/>
                      <w:highlight w:val="none"/>
                      <w:lang w:val="en-US" w:eastAsia="zh-CN"/>
                    </w:rPr>
                    <w:t>西北侧</w:t>
                  </w:r>
                  <w:r>
                    <w:rPr>
                      <w:rFonts w:hint="default" w:ascii="Times New Roman" w:hAnsi="Times New Roman" w:eastAsia="宋体" w:cs="Times New Roman"/>
                      <w:color w:val="auto"/>
                      <w:sz w:val="21"/>
                      <w:szCs w:val="21"/>
                      <w:highlight w:val="none"/>
                      <w:lang w:val="en-US" w:eastAsia="zh-CN"/>
                    </w:rPr>
                    <w:t>，占地面积</w:t>
                  </w:r>
                  <w:r>
                    <w:rPr>
                      <w:rFonts w:hint="eastAsia" w:cs="Times New Roman"/>
                      <w:color w:val="auto"/>
                      <w:sz w:val="21"/>
                      <w:szCs w:val="21"/>
                      <w:highlight w:val="none"/>
                      <w:lang w:val="en-US" w:eastAsia="zh-CN"/>
                    </w:rPr>
                    <w:t>2966.35</w:t>
                  </w:r>
                  <w:r>
                    <w:rPr>
                      <w:rFonts w:hint="default" w:ascii="Times New Roman" w:hAnsi="Times New Roman" w:eastAsia="宋体" w:cs="Times New Roman"/>
                      <w:color w:val="auto"/>
                      <w:sz w:val="21"/>
                      <w:szCs w:val="21"/>
                      <w:highlight w:val="none"/>
                      <w:lang w:val="en-US" w:eastAsia="zh-CN"/>
                    </w:rPr>
                    <w:t>m</w:t>
                  </w:r>
                  <w:r>
                    <w:rPr>
                      <w:rFonts w:hint="eastAsia"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全封闭车间，钢结构，1层，高8.1m。</w:t>
                  </w:r>
                </w:p>
              </w:tc>
              <w:tc>
                <w:tcPr>
                  <w:tcW w:w="753" w:type="dxa"/>
                  <w:tcBorders>
                    <w:tl2br w:val="nil"/>
                    <w:tr2bl w:val="nil"/>
                  </w:tcBorders>
                  <w:vAlign w:val="center"/>
                </w:tcPr>
                <w:p>
                  <w:pPr>
                    <w:spacing w:line="240" w:lineRule="auto"/>
                    <w:jc w:val="center"/>
                    <w:rPr>
                      <w:rFonts w:hint="default" w:ascii="Times New Roman" w:hAnsi="Times New Roman" w:eastAsia="宋体" w:cs="Times New Roman"/>
                      <w:snapToGrid w:val="0"/>
                      <w:color w:val="auto"/>
                      <w:kern w:val="0"/>
                      <w:sz w:val="21"/>
                      <w:szCs w:val="21"/>
                      <w:highlight w:val="yellow"/>
                      <w:lang w:val="en-US" w:eastAsia="zh-CN" w:bidi="ar-SA"/>
                      <w14:ligatures w14:val="none"/>
                    </w:rPr>
                  </w:pPr>
                  <w:r>
                    <w:rPr>
                      <w:rFonts w:hint="eastAsia" w:cs="Times New Roman"/>
                      <w:color w:val="auto"/>
                      <w:sz w:val="21"/>
                      <w:szCs w:val="21"/>
                      <w:highlight w:val="none"/>
                      <w:lang w:val="en-US" w:eastAsia="zh-CN"/>
                    </w:rPr>
                    <w:t>一期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817" w:hRule="atLeast"/>
                <w:jc w:val="center"/>
              </w:trPr>
              <w:tc>
                <w:tcPr>
                  <w:tcW w:w="507" w:type="dxa"/>
                  <w:vMerge w:val="restart"/>
                  <w:tcBorders>
                    <w:tl2br w:val="nil"/>
                    <w:tr2bl w:val="nil"/>
                  </w:tcBorders>
                  <w:vAlign w:val="center"/>
                </w:tcPr>
                <w:p>
                  <w:pPr>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储运工程</w:t>
                  </w:r>
                </w:p>
              </w:tc>
              <w:tc>
                <w:tcPr>
                  <w:tcW w:w="2048" w:type="dxa"/>
                  <w:gridSpan w:val="2"/>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冷库（成品库房）</w:t>
                  </w:r>
                </w:p>
              </w:tc>
              <w:tc>
                <w:tcPr>
                  <w:tcW w:w="4955"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位于厂区东南侧，占地</w:t>
                  </w:r>
                  <w:r>
                    <w:rPr>
                      <w:rFonts w:hint="default" w:ascii="Times New Roman" w:hAnsi="Times New Roman" w:eastAsia="宋体" w:cs="Times New Roman"/>
                      <w:color w:val="auto"/>
                      <w:sz w:val="21"/>
                      <w:szCs w:val="21"/>
                      <w:highlight w:val="none"/>
                      <w:lang w:val="en-US" w:eastAsia="zh-CN"/>
                    </w:rPr>
                    <w:t>面积</w:t>
                  </w:r>
                  <w:r>
                    <w:rPr>
                      <w:rFonts w:hint="eastAsia" w:cs="Times New Roman"/>
                      <w:color w:val="auto"/>
                      <w:sz w:val="21"/>
                      <w:szCs w:val="21"/>
                      <w:highlight w:val="none"/>
                      <w:lang w:val="en-US" w:eastAsia="zh-CN"/>
                    </w:rPr>
                    <w:t>3730.56</w:t>
                  </w:r>
                  <w:r>
                    <w:rPr>
                      <w:rFonts w:hint="default" w:ascii="Times New Roman" w:hAnsi="Times New Roman" w:eastAsia="宋体" w:cs="Times New Roman"/>
                      <w:color w:val="auto"/>
                      <w:sz w:val="21"/>
                      <w:szCs w:val="21"/>
                      <w:highlight w:val="none"/>
                      <w:lang w:val="en-US" w:eastAsia="zh-CN"/>
                    </w:rPr>
                    <w:t>m</w:t>
                  </w:r>
                  <w:r>
                    <w:rPr>
                      <w:rFonts w:hint="eastAsia"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全封闭库房，钢结构，1层，高9m。</w:t>
                  </w:r>
                </w:p>
              </w:tc>
              <w:tc>
                <w:tcPr>
                  <w:tcW w:w="753" w:type="dxa"/>
                  <w:tcBorders>
                    <w:tl2br w:val="nil"/>
                    <w:tr2bl w:val="nil"/>
                  </w:tcBorders>
                  <w:vAlign w:val="center"/>
                </w:tcPr>
                <w:p>
                  <w:pPr>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一期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817" w:hRule="atLeast"/>
                <w:jc w:val="center"/>
              </w:trPr>
              <w:tc>
                <w:tcPr>
                  <w:tcW w:w="507" w:type="dxa"/>
                  <w:vMerge w:val="continue"/>
                  <w:tcBorders>
                    <w:tl2br w:val="nil"/>
                    <w:tr2bl w:val="nil"/>
                  </w:tcBorders>
                  <w:vAlign w:val="center"/>
                </w:tcPr>
                <w:p>
                  <w:pPr>
                    <w:spacing w:line="240" w:lineRule="auto"/>
                    <w:jc w:val="center"/>
                    <w:rPr>
                      <w:rFonts w:hint="default" w:ascii="Times New Roman" w:hAnsi="Times New Roman" w:eastAsia="宋体" w:cs="Times New Roman"/>
                      <w:b/>
                      <w:bCs/>
                      <w:color w:val="auto"/>
                      <w:sz w:val="21"/>
                      <w:szCs w:val="21"/>
                    </w:rPr>
                  </w:pPr>
                </w:p>
              </w:tc>
              <w:tc>
                <w:tcPr>
                  <w:tcW w:w="2048" w:type="dxa"/>
                  <w:gridSpan w:val="2"/>
                  <w:tcBorders>
                    <w:tl2br w:val="nil"/>
                    <w:tr2bl w:val="nil"/>
                  </w:tcBorders>
                  <w:shd w:val="clear" w:color="auto" w:fill="auto"/>
                  <w:vAlign w:val="center"/>
                </w:tcPr>
                <w:p>
                  <w:pPr>
                    <w:spacing w:line="240" w:lineRule="auto"/>
                    <w:jc w:val="center"/>
                    <w:rPr>
                      <w:rFonts w:hint="eastAsia"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color w:val="auto"/>
                      <w:sz w:val="21"/>
                      <w:szCs w:val="21"/>
                      <w:highlight w:val="none"/>
                      <w:lang w:val="en-US" w:eastAsia="zh-CN"/>
                    </w:rPr>
                    <w:t>原料库房</w:t>
                  </w:r>
                </w:p>
              </w:tc>
              <w:tc>
                <w:tcPr>
                  <w:tcW w:w="4955"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color w:val="auto"/>
                      <w:sz w:val="21"/>
                      <w:szCs w:val="21"/>
                      <w:highlight w:val="none"/>
                      <w:lang w:val="en-US" w:eastAsia="zh-CN"/>
                    </w:rPr>
                    <w:t>位于厂区西侧，占地</w:t>
                  </w:r>
                  <w:r>
                    <w:rPr>
                      <w:rFonts w:hint="default" w:ascii="Times New Roman" w:hAnsi="Times New Roman" w:eastAsia="宋体" w:cs="Times New Roman"/>
                      <w:color w:val="auto"/>
                      <w:sz w:val="21"/>
                      <w:szCs w:val="21"/>
                      <w:highlight w:val="none"/>
                      <w:lang w:val="en-US" w:eastAsia="zh-CN"/>
                    </w:rPr>
                    <w:t>面积</w:t>
                  </w:r>
                  <w:r>
                    <w:rPr>
                      <w:rFonts w:hint="eastAsia" w:cs="Times New Roman"/>
                      <w:color w:val="auto"/>
                      <w:sz w:val="21"/>
                      <w:szCs w:val="21"/>
                      <w:highlight w:val="none"/>
                      <w:lang w:val="en-US" w:eastAsia="zh-CN"/>
                    </w:rPr>
                    <w:t>4537.26</w:t>
                  </w:r>
                  <w:r>
                    <w:rPr>
                      <w:rFonts w:hint="default" w:ascii="Times New Roman" w:hAnsi="Times New Roman" w:eastAsia="宋体" w:cs="Times New Roman"/>
                      <w:color w:val="auto"/>
                      <w:sz w:val="21"/>
                      <w:szCs w:val="21"/>
                      <w:highlight w:val="none"/>
                      <w:lang w:val="en-US" w:eastAsia="zh-CN"/>
                    </w:rPr>
                    <w:t>m</w:t>
                  </w:r>
                  <w:r>
                    <w:rPr>
                      <w:rFonts w:hint="eastAsia"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全封闭库房，钢结构，1层，高8.1m。</w:t>
                  </w:r>
                </w:p>
              </w:tc>
              <w:tc>
                <w:tcPr>
                  <w:tcW w:w="753"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color w:val="auto"/>
                      <w:sz w:val="21"/>
                      <w:szCs w:val="21"/>
                      <w:highlight w:val="none"/>
                      <w:lang w:val="en-US" w:eastAsia="zh-CN"/>
                    </w:rPr>
                    <w:t>二期</w:t>
                  </w:r>
                </w:p>
              </w:tc>
            </w:tr>
            <w:bookmarkEnd w:id="2"/>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68" w:hRule="atLeast"/>
                <w:jc w:val="center"/>
              </w:trPr>
              <w:tc>
                <w:tcPr>
                  <w:tcW w:w="507" w:type="dxa"/>
                  <w:vMerge w:val="restart"/>
                  <w:tcBorders>
                    <w:tl2br w:val="nil"/>
                    <w:tr2bl w:val="nil"/>
                  </w:tcBorders>
                  <w:vAlign w:val="center"/>
                </w:tcPr>
                <w:p>
                  <w:pPr>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公用工程</w:t>
                  </w:r>
                </w:p>
              </w:tc>
              <w:tc>
                <w:tcPr>
                  <w:tcW w:w="2048"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vertAlign w:val="baseline"/>
                      <w:lang w:val="en-US" w:eastAsia="zh-CN" w:bidi="ar-SA"/>
                      <w14:ligatures w14:val="none"/>
                    </w:rPr>
                  </w:pPr>
                  <w:r>
                    <w:rPr>
                      <w:rFonts w:hint="default" w:ascii="Times New Roman" w:hAnsi="Times New Roman" w:eastAsia="宋体" w:cs="Times New Roman"/>
                      <w:color w:val="auto"/>
                      <w:sz w:val="21"/>
                      <w:szCs w:val="21"/>
                      <w:highlight w:val="none"/>
                      <w:vertAlign w:val="baseline"/>
                      <w:lang w:val="en-US" w:eastAsia="zh-CN"/>
                    </w:rPr>
                    <w:t>供水</w:t>
                  </w:r>
                </w:p>
              </w:tc>
              <w:tc>
                <w:tcPr>
                  <w:tcW w:w="495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yellow"/>
                      <w:vertAlign w:val="baseline"/>
                      <w:lang w:val="en-US" w:eastAsia="zh-CN" w:bidi="ar-SA"/>
                      <w14:ligatures w14:val="none"/>
                    </w:rPr>
                  </w:pPr>
                  <w:r>
                    <w:rPr>
                      <w:rFonts w:hint="eastAsia" w:cs="Times New Roman"/>
                      <w:color w:val="auto"/>
                      <w:kern w:val="0"/>
                      <w:sz w:val="21"/>
                      <w:szCs w:val="21"/>
                      <w:highlight w:val="none"/>
                      <w:lang w:val="en-US" w:eastAsia="zh-CN"/>
                    </w:rPr>
                    <w:t>园区供水管网接入</w:t>
                  </w:r>
                  <w:r>
                    <w:rPr>
                      <w:rFonts w:hint="eastAsia" w:cs="Times New Roman"/>
                      <w:color w:val="auto"/>
                      <w:kern w:val="0"/>
                      <w:sz w:val="21"/>
                      <w:szCs w:val="21"/>
                      <w:highlight w:val="none"/>
                      <w:lang w:eastAsia="zh-CN"/>
                    </w:rPr>
                    <w:t>。</w:t>
                  </w:r>
                </w:p>
              </w:tc>
              <w:tc>
                <w:tcPr>
                  <w:tcW w:w="7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507" w:type="dxa"/>
                  <w:vMerge w:val="continue"/>
                  <w:tcBorders>
                    <w:tl2br w:val="nil"/>
                    <w:tr2bl w:val="nil"/>
                  </w:tcBorders>
                  <w:vAlign w:val="center"/>
                </w:tcPr>
                <w:p>
                  <w:pPr>
                    <w:widowControl/>
                    <w:spacing w:line="240" w:lineRule="auto"/>
                    <w:jc w:val="center"/>
                    <w:rPr>
                      <w:rFonts w:hint="default" w:ascii="Times New Roman" w:hAnsi="Times New Roman" w:eastAsia="宋体" w:cs="Times New Roman"/>
                      <w:b/>
                      <w:bCs/>
                      <w:color w:val="auto"/>
                      <w:sz w:val="21"/>
                      <w:szCs w:val="21"/>
                    </w:rPr>
                  </w:pPr>
                </w:p>
              </w:tc>
              <w:tc>
                <w:tcPr>
                  <w:tcW w:w="2048"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vertAlign w:val="baseline"/>
                      <w:lang w:val="en-US" w:eastAsia="zh-CN" w:bidi="ar-SA"/>
                      <w14:ligatures w14:val="none"/>
                    </w:rPr>
                  </w:pPr>
                  <w:r>
                    <w:rPr>
                      <w:rFonts w:hint="default" w:ascii="Times New Roman" w:hAnsi="Times New Roman" w:eastAsia="宋体" w:cs="Times New Roman"/>
                      <w:color w:val="auto"/>
                      <w:sz w:val="21"/>
                      <w:szCs w:val="21"/>
                      <w:highlight w:val="none"/>
                      <w:vertAlign w:val="baseline"/>
                      <w:lang w:val="en-US" w:eastAsia="zh-CN"/>
                    </w:rPr>
                    <w:t>排水</w:t>
                  </w:r>
                </w:p>
              </w:tc>
              <w:tc>
                <w:tcPr>
                  <w:tcW w:w="495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yellow"/>
                      <w:lang w:val="en-US" w:eastAsia="zh-CN" w:bidi="ar-SA"/>
                      <w14:ligatures w14:val="none"/>
                    </w:rPr>
                  </w:pPr>
                  <w:r>
                    <w:rPr>
                      <w:rFonts w:hint="eastAsia" w:cs="Times New Roman"/>
                      <w:color w:val="auto"/>
                      <w:kern w:val="0"/>
                      <w:sz w:val="21"/>
                      <w:szCs w:val="21"/>
                      <w:highlight w:val="none"/>
                      <w:lang w:val="en-US" w:eastAsia="zh-CN"/>
                    </w:rPr>
                    <w:t>项目无生产废水</w:t>
                  </w:r>
                  <w:r>
                    <w:rPr>
                      <w:rFonts w:hint="default" w:ascii="Times New Roman" w:hAnsi="Times New Roman" w:eastAsia="宋体" w:cs="Times New Roman"/>
                      <w:color w:val="auto"/>
                      <w:kern w:val="0"/>
                      <w:sz w:val="21"/>
                      <w:szCs w:val="21"/>
                      <w:highlight w:val="none"/>
                    </w:rPr>
                    <w:t>；</w:t>
                  </w:r>
                  <w:r>
                    <w:rPr>
                      <w:rFonts w:hint="eastAsia" w:ascii="Times New Roman" w:hAnsi="Times New Roman" w:cs="Times New Roman"/>
                      <w:b w:val="0"/>
                      <w:bCs w:val="0"/>
                      <w:color w:val="auto"/>
                      <w:sz w:val="21"/>
                      <w:szCs w:val="21"/>
                      <w:highlight w:val="none"/>
                      <w:lang w:val="en-US" w:eastAsia="zh-CN"/>
                    </w:rPr>
                    <w:t>员工不在厂区内食宿，无</w:t>
                  </w:r>
                  <w:r>
                    <w:rPr>
                      <w:rFonts w:hint="eastAsia" w:ascii="Times New Roman" w:hAnsi="Times New Roman" w:eastAsia="宋体" w:cs="Times New Roman"/>
                      <w:b w:val="0"/>
                      <w:bCs w:val="0"/>
                      <w:color w:val="auto"/>
                      <w:sz w:val="21"/>
                      <w:szCs w:val="21"/>
                      <w:highlight w:val="none"/>
                      <w:lang w:val="en-US" w:eastAsia="zh-CN"/>
                    </w:rPr>
                    <w:t>生活污水</w:t>
                  </w:r>
                  <w:r>
                    <w:rPr>
                      <w:rFonts w:hint="eastAsia" w:cs="Times New Roman"/>
                      <w:color w:val="auto"/>
                      <w:sz w:val="21"/>
                      <w:szCs w:val="21"/>
                      <w:highlight w:val="none"/>
                      <w:lang w:val="en-US" w:eastAsia="zh-CN"/>
                    </w:rPr>
                    <w:t>。</w:t>
                  </w:r>
                </w:p>
              </w:tc>
              <w:tc>
                <w:tcPr>
                  <w:tcW w:w="7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30" w:hRule="atLeast"/>
                <w:jc w:val="center"/>
              </w:trPr>
              <w:tc>
                <w:tcPr>
                  <w:tcW w:w="507" w:type="dxa"/>
                  <w:vMerge w:val="continue"/>
                  <w:tcBorders>
                    <w:tl2br w:val="nil"/>
                    <w:tr2bl w:val="nil"/>
                  </w:tcBorders>
                  <w:vAlign w:val="center"/>
                </w:tcPr>
                <w:p>
                  <w:pPr>
                    <w:widowControl/>
                    <w:spacing w:line="240" w:lineRule="auto"/>
                    <w:jc w:val="center"/>
                    <w:rPr>
                      <w:rFonts w:hint="default" w:ascii="Times New Roman" w:hAnsi="Times New Roman" w:eastAsia="宋体" w:cs="Times New Roman"/>
                      <w:b/>
                      <w:bCs/>
                      <w:color w:val="auto"/>
                      <w:sz w:val="21"/>
                      <w:szCs w:val="21"/>
                    </w:rPr>
                  </w:pPr>
                </w:p>
              </w:tc>
              <w:tc>
                <w:tcPr>
                  <w:tcW w:w="2048"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vertAlign w:val="baseline"/>
                      <w:lang w:val="en-US" w:eastAsia="zh-CN" w:bidi="ar-SA"/>
                      <w14:ligatures w14:val="none"/>
                    </w:rPr>
                  </w:pPr>
                  <w:r>
                    <w:rPr>
                      <w:rFonts w:hint="default" w:ascii="Times New Roman" w:hAnsi="Times New Roman" w:eastAsia="宋体" w:cs="Times New Roman"/>
                      <w:color w:val="auto"/>
                      <w:sz w:val="21"/>
                      <w:szCs w:val="21"/>
                      <w:highlight w:val="none"/>
                      <w:vertAlign w:val="baseline"/>
                      <w:lang w:val="en-US" w:eastAsia="zh-CN"/>
                    </w:rPr>
                    <w:t>供电</w:t>
                  </w:r>
                </w:p>
              </w:tc>
              <w:tc>
                <w:tcPr>
                  <w:tcW w:w="495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2"/>
                      <w:sz w:val="21"/>
                      <w:szCs w:val="21"/>
                      <w:highlight w:val="yellow"/>
                      <w:lang w:val="en-US" w:eastAsia="zh-CN" w:bidi="ar-SA"/>
                      <w14:ligatures w14:val="none"/>
                    </w:rPr>
                  </w:pPr>
                  <w:r>
                    <w:rPr>
                      <w:rFonts w:hint="eastAsia" w:cs="Times New Roman"/>
                      <w:color w:val="auto"/>
                      <w:kern w:val="0"/>
                      <w:sz w:val="21"/>
                      <w:szCs w:val="21"/>
                      <w:highlight w:val="none"/>
                      <w:lang w:val="en-US" w:eastAsia="zh-CN"/>
                    </w:rPr>
                    <w:t>国家电网接入</w:t>
                  </w:r>
                  <w:r>
                    <w:rPr>
                      <w:rFonts w:hint="default" w:ascii="Times New Roman" w:hAnsi="Times New Roman" w:eastAsia="宋体" w:cs="Times New Roman"/>
                      <w:color w:val="auto"/>
                      <w:kern w:val="0"/>
                      <w:sz w:val="21"/>
                      <w:szCs w:val="21"/>
                      <w:highlight w:val="none"/>
                    </w:rPr>
                    <w:t>。</w:t>
                  </w:r>
                </w:p>
              </w:tc>
              <w:tc>
                <w:tcPr>
                  <w:tcW w:w="7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rPr>
                  </w:pPr>
                  <w:r>
                    <w:rPr>
                      <w:rFonts w:hint="eastAsia" w:cs="Times New Roman"/>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54" w:hRule="atLeast"/>
                <w:jc w:val="center"/>
              </w:trPr>
              <w:tc>
                <w:tcPr>
                  <w:tcW w:w="507" w:type="dxa"/>
                  <w:vMerge w:val="continue"/>
                  <w:tcBorders>
                    <w:tl2br w:val="nil"/>
                    <w:tr2bl w:val="nil"/>
                  </w:tcBorders>
                  <w:vAlign w:val="center"/>
                </w:tcPr>
                <w:p>
                  <w:pPr>
                    <w:widowControl/>
                    <w:spacing w:line="240" w:lineRule="auto"/>
                    <w:jc w:val="center"/>
                    <w:rPr>
                      <w:rFonts w:hint="default" w:ascii="Times New Roman" w:hAnsi="Times New Roman" w:eastAsia="宋体" w:cs="Times New Roman"/>
                      <w:b/>
                      <w:bCs/>
                      <w:color w:val="auto"/>
                      <w:sz w:val="21"/>
                      <w:szCs w:val="21"/>
                    </w:rPr>
                  </w:pPr>
                </w:p>
              </w:tc>
              <w:tc>
                <w:tcPr>
                  <w:tcW w:w="2048"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vertAlign w:val="baseline"/>
                      <w:lang w:val="en-US" w:eastAsia="zh-CN" w:bidi="ar-SA"/>
                      <w14:ligatures w14:val="none"/>
                    </w:rPr>
                  </w:pPr>
                  <w:r>
                    <w:rPr>
                      <w:rFonts w:hint="default" w:ascii="Times New Roman" w:hAnsi="Times New Roman" w:eastAsia="宋体" w:cs="Times New Roman"/>
                      <w:color w:val="auto"/>
                      <w:sz w:val="21"/>
                      <w:szCs w:val="21"/>
                      <w:highlight w:val="none"/>
                      <w:vertAlign w:val="baseline"/>
                      <w:lang w:val="en-US" w:eastAsia="zh-CN"/>
                    </w:rPr>
                    <w:t>供热</w:t>
                  </w:r>
                </w:p>
              </w:tc>
              <w:tc>
                <w:tcPr>
                  <w:tcW w:w="495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2"/>
                      <w:sz w:val="21"/>
                      <w:szCs w:val="21"/>
                      <w:highlight w:val="none"/>
                      <w:lang w:val="en-US" w:eastAsia="zh-CN" w:bidi="ar-SA"/>
                      <w14:ligatures w14:val="none"/>
                    </w:rPr>
                  </w:pPr>
                  <w:r>
                    <w:rPr>
                      <w:rFonts w:hint="default" w:ascii="Times New Roman" w:hAnsi="Times New Roman" w:eastAsia="宋体" w:cs="Times New Roman"/>
                      <w:color w:val="auto"/>
                      <w:kern w:val="0"/>
                      <w:sz w:val="21"/>
                      <w:szCs w:val="21"/>
                      <w:highlight w:val="none"/>
                      <w:lang w:eastAsia="zh-CN"/>
                    </w:rPr>
                    <w:t>生产无需供热</w:t>
                  </w:r>
                  <w:r>
                    <w:rPr>
                      <w:rFonts w:hint="eastAsia" w:cs="Times New Roman"/>
                      <w:color w:val="auto"/>
                      <w:sz w:val="21"/>
                      <w:szCs w:val="21"/>
                      <w:highlight w:val="none"/>
                      <w:lang w:val="en-US" w:eastAsia="zh-CN"/>
                    </w:rPr>
                    <w:t>。</w:t>
                  </w:r>
                </w:p>
              </w:tc>
              <w:tc>
                <w:tcPr>
                  <w:tcW w:w="7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507" w:type="dxa"/>
                  <w:vMerge w:val="restart"/>
                  <w:tcBorders>
                    <w:tl2br w:val="nil"/>
                    <w:tr2bl w:val="nil"/>
                  </w:tcBorders>
                  <w:vAlign w:val="center"/>
                </w:tcPr>
                <w:p>
                  <w:pPr>
                    <w:spacing w:line="240" w:lineRule="auto"/>
                    <w:jc w:val="center"/>
                    <w:rPr>
                      <w:rFonts w:hint="default"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环保工程</w:t>
                  </w:r>
                </w:p>
              </w:tc>
              <w:tc>
                <w:tcPr>
                  <w:tcW w:w="486" w:type="dxa"/>
                  <w:vMerge w:val="restar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废气治理</w:t>
                  </w:r>
                </w:p>
              </w:tc>
              <w:tc>
                <w:tcPr>
                  <w:tcW w:w="156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lang w:val="en-US" w:eastAsia="zh-CN" w:bidi="ar-SA"/>
                      <w14:ligatures w14:val="none"/>
                    </w:rPr>
                  </w:pPr>
                  <w:r>
                    <w:rPr>
                      <w:rFonts w:hint="eastAsia" w:ascii="Times New Roman" w:hAnsi="Times New Roman" w:eastAsia="宋体" w:cs="Times New Roman"/>
                      <w:color w:val="000000" w:themeColor="text1"/>
                      <w:sz w:val="21"/>
                      <w:lang w:val="en-US" w:eastAsia="zh-CN"/>
                      <w14:textFill>
                        <w14:solidFill>
                          <w14:schemeClr w14:val="tx1"/>
                        </w14:solidFill>
                      </w14:textFill>
                    </w:rPr>
                    <w:t>车辆运输扬尘</w:t>
                  </w:r>
                </w:p>
              </w:tc>
              <w:tc>
                <w:tcPr>
                  <w:tcW w:w="495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宋体" w:cs="Times New Roman"/>
                      <w:snapToGrid w:val="0"/>
                      <w:color w:val="auto"/>
                      <w:spacing w:val="0"/>
                      <w:kern w:val="0"/>
                      <w:sz w:val="21"/>
                      <w:szCs w:val="21"/>
                      <w:highlight w:val="none"/>
                      <w:lang w:val="en-US" w:eastAsia="zh-CN" w:bidi="ar-SA"/>
                      <w14:ligatures w14:val="none"/>
                    </w:rPr>
                  </w:pPr>
                  <w:r>
                    <w:rPr>
                      <w:rFonts w:hint="default" w:ascii="Times New Roman" w:hAnsi="Times New Roman" w:cs="Times New Roman"/>
                      <w:color w:val="auto"/>
                      <w:sz w:val="21"/>
                      <w:szCs w:val="21"/>
                      <w:highlight w:val="none"/>
                    </w:rPr>
                    <w:t>道路洒水降</w:t>
                  </w:r>
                  <w:r>
                    <w:rPr>
                      <w:rFonts w:hint="eastAsia" w:cs="Times New Roman"/>
                      <w:color w:val="auto"/>
                      <w:sz w:val="21"/>
                      <w:szCs w:val="21"/>
                      <w:highlight w:val="none"/>
                      <w:lang w:val="en-US" w:eastAsia="zh-CN"/>
                    </w:rPr>
                    <w:t>尘。</w:t>
                  </w:r>
                </w:p>
              </w:tc>
              <w:tc>
                <w:tcPr>
                  <w:tcW w:w="753"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507" w:type="dxa"/>
                  <w:vMerge w:val="continue"/>
                  <w:tcBorders>
                    <w:tl2br w:val="nil"/>
                    <w:tr2bl w:val="nil"/>
                  </w:tcBorders>
                  <w:vAlign w:val="center"/>
                </w:tcPr>
                <w:p>
                  <w:pPr>
                    <w:spacing w:line="240" w:lineRule="auto"/>
                    <w:jc w:val="center"/>
                    <w:rPr>
                      <w:rFonts w:hint="eastAsia" w:cs="Times New Roman"/>
                      <w:b/>
                      <w:bCs/>
                      <w:color w:val="auto"/>
                      <w:sz w:val="21"/>
                      <w:szCs w:val="21"/>
                      <w:lang w:val="en-US" w:eastAsia="zh-CN"/>
                    </w:rPr>
                  </w:pPr>
                </w:p>
              </w:tc>
              <w:tc>
                <w:tcPr>
                  <w:tcW w:w="486" w:type="dxa"/>
                  <w:vMerge w:val="continue"/>
                  <w:tcBorders>
                    <w:tl2br w:val="nil"/>
                    <w:tr2bl w:val="nil"/>
                  </w:tcBorders>
                  <w:vAlign w:val="center"/>
                </w:tcPr>
                <w:p>
                  <w:pPr>
                    <w:spacing w:line="240" w:lineRule="auto"/>
                    <w:jc w:val="center"/>
                    <w:rPr>
                      <w:rFonts w:hint="eastAsia" w:cs="Times New Roman"/>
                      <w:color w:val="auto"/>
                      <w:sz w:val="21"/>
                      <w:szCs w:val="21"/>
                      <w:lang w:val="en-US" w:eastAsia="zh-CN"/>
                    </w:rPr>
                  </w:pPr>
                </w:p>
              </w:tc>
              <w:tc>
                <w:tcPr>
                  <w:tcW w:w="156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上料</w:t>
                  </w:r>
                </w:p>
              </w:tc>
              <w:tc>
                <w:tcPr>
                  <w:tcW w:w="4955"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宋体" w:cs="Times New Roman"/>
                      <w:snapToGrid w:val="0"/>
                      <w:color w:val="auto"/>
                      <w:kern w:val="2"/>
                      <w:sz w:val="21"/>
                      <w:szCs w:val="21"/>
                      <w:highlight w:val="none"/>
                      <w:lang w:val="en-US" w:eastAsia="zh-CN" w:bidi="ar-SA"/>
                      <w14:ligatures w14:val="none"/>
                    </w:rPr>
                  </w:pPr>
                  <w:r>
                    <w:rPr>
                      <w:rFonts w:hint="eastAsia" w:cs="Times New Roman"/>
                      <w:snapToGrid w:val="0"/>
                      <w:color w:val="auto"/>
                      <w:kern w:val="2"/>
                      <w:sz w:val="21"/>
                      <w:szCs w:val="21"/>
                      <w:highlight w:val="none"/>
                      <w:lang w:val="en-US" w:eastAsia="zh-CN" w:bidi="ar-SA"/>
                      <w14:ligatures w14:val="none"/>
                    </w:rPr>
                    <w:t>布袋除尘器处理后通过15m高排气筒（DA001）排放。</w:t>
                  </w:r>
                </w:p>
              </w:tc>
              <w:tc>
                <w:tcPr>
                  <w:tcW w:w="753"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507" w:type="dxa"/>
                  <w:vMerge w:val="continue"/>
                  <w:tcBorders>
                    <w:tl2br w:val="nil"/>
                    <w:tr2bl w:val="nil"/>
                  </w:tcBorders>
                  <w:vAlign w:val="center"/>
                </w:tcPr>
                <w:p>
                  <w:pPr>
                    <w:spacing w:line="240" w:lineRule="auto"/>
                    <w:jc w:val="center"/>
                    <w:rPr>
                      <w:rFonts w:hint="eastAsia" w:cs="Times New Roman"/>
                      <w:b/>
                      <w:bCs/>
                      <w:color w:val="auto"/>
                      <w:sz w:val="21"/>
                      <w:szCs w:val="21"/>
                      <w:lang w:val="en-US" w:eastAsia="zh-CN"/>
                    </w:rPr>
                  </w:pPr>
                </w:p>
              </w:tc>
              <w:tc>
                <w:tcPr>
                  <w:tcW w:w="486" w:type="dxa"/>
                  <w:vMerge w:val="continue"/>
                  <w:tcBorders>
                    <w:tl2br w:val="nil"/>
                    <w:tr2bl w:val="nil"/>
                  </w:tcBorders>
                  <w:vAlign w:val="center"/>
                </w:tcPr>
                <w:p>
                  <w:pPr>
                    <w:spacing w:line="240" w:lineRule="auto"/>
                    <w:jc w:val="center"/>
                    <w:rPr>
                      <w:rFonts w:hint="eastAsia" w:cs="Times New Roman"/>
                      <w:color w:val="auto"/>
                      <w:sz w:val="21"/>
                      <w:szCs w:val="21"/>
                      <w:lang w:val="en-US" w:eastAsia="zh-CN"/>
                    </w:rPr>
                  </w:pPr>
                </w:p>
              </w:tc>
              <w:tc>
                <w:tcPr>
                  <w:tcW w:w="156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造粒</w:t>
                  </w:r>
                </w:p>
              </w:tc>
              <w:tc>
                <w:tcPr>
                  <w:tcW w:w="4955"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highlight w:val="none"/>
                    </w:rPr>
                  </w:pPr>
                </w:p>
              </w:tc>
              <w:tc>
                <w:tcPr>
                  <w:tcW w:w="753"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65" w:hRule="atLeast"/>
                <w:jc w:val="center"/>
              </w:trPr>
              <w:tc>
                <w:tcPr>
                  <w:tcW w:w="507" w:type="dxa"/>
                  <w:vMerge w:val="continue"/>
                  <w:tcBorders>
                    <w:tl2br w:val="nil"/>
                    <w:tr2bl w:val="nil"/>
                  </w:tcBorders>
                  <w:vAlign w:val="center"/>
                </w:tcPr>
                <w:p>
                  <w:pPr>
                    <w:spacing w:line="240" w:lineRule="auto"/>
                    <w:jc w:val="center"/>
                    <w:rPr>
                      <w:rFonts w:hint="default" w:ascii="Times New Roman" w:hAnsi="Times New Roman" w:eastAsia="宋体" w:cs="Times New Roman"/>
                      <w:b/>
                      <w:bCs/>
                      <w:color w:val="auto"/>
                      <w:sz w:val="21"/>
                      <w:szCs w:val="21"/>
                    </w:rPr>
                  </w:pPr>
                </w:p>
              </w:tc>
              <w:tc>
                <w:tcPr>
                  <w:tcW w:w="486" w:type="dxa"/>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56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2"/>
                      <w:sz w:val="21"/>
                      <w:szCs w:val="21"/>
                      <w:highlight w:val="none"/>
                      <w:lang w:val="en-US" w:eastAsia="zh-CN" w:bidi="ar-SA"/>
                      <w14:ligatures w14:val="none"/>
                    </w:rPr>
                  </w:pPr>
                  <w:r>
                    <w:rPr>
                      <w:rFonts w:hint="eastAsia" w:cs="Times New Roman"/>
                      <w:color w:val="auto"/>
                      <w:kern w:val="0"/>
                      <w:sz w:val="21"/>
                      <w:szCs w:val="21"/>
                      <w:lang w:val="en-US" w:eastAsia="zh-CN" w:bidi="ar-SA"/>
                    </w:rPr>
                    <w:t>磨粉</w:t>
                  </w:r>
                  <w:r>
                    <w:rPr>
                      <w:rFonts w:hint="eastAsia" w:ascii="Times New Roman" w:hAnsi="Times New Roman" w:eastAsia="宋体" w:cs="Times New Roman"/>
                      <w:color w:val="auto"/>
                      <w:kern w:val="0"/>
                      <w:sz w:val="21"/>
                      <w:szCs w:val="21"/>
                      <w:lang w:val="en-US" w:eastAsia="zh-CN" w:bidi="ar-SA"/>
                    </w:rPr>
                    <w:t>粉尘</w:t>
                  </w:r>
                </w:p>
              </w:tc>
              <w:tc>
                <w:tcPr>
                  <w:tcW w:w="4955"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宋体" w:cs="Times New Roman"/>
                      <w:snapToGrid w:val="0"/>
                      <w:color w:val="auto"/>
                      <w:kern w:val="2"/>
                      <w:sz w:val="21"/>
                      <w:szCs w:val="21"/>
                      <w:highlight w:val="none"/>
                      <w:lang w:val="en-US" w:eastAsia="zh-CN" w:bidi="ar-SA"/>
                      <w14:ligatures w14:val="none"/>
                    </w:rPr>
                  </w:pPr>
                </w:p>
              </w:tc>
              <w:tc>
                <w:tcPr>
                  <w:tcW w:w="753"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22" w:hRule="atLeast"/>
                <w:jc w:val="center"/>
              </w:trPr>
              <w:tc>
                <w:tcPr>
                  <w:tcW w:w="507" w:type="dxa"/>
                  <w:vMerge w:val="continue"/>
                  <w:tcBorders>
                    <w:tl2br w:val="nil"/>
                    <w:tr2bl w:val="nil"/>
                  </w:tcBorders>
                  <w:vAlign w:val="center"/>
                </w:tcPr>
                <w:p>
                  <w:pPr>
                    <w:spacing w:line="240" w:lineRule="auto"/>
                    <w:jc w:val="center"/>
                    <w:rPr>
                      <w:rFonts w:hint="default" w:ascii="Times New Roman" w:hAnsi="Times New Roman" w:eastAsia="宋体" w:cs="Times New Roman"/>
                      <w:b/>
                      <w:bCs/>
                      <w:color w:val="auto"/>
                      <w:sz w:val="21"/>
                      <w:szCs w:val="21"/>
                    </w:rPr>
                  </w:pPr>
                </w:p>
              </w:tc>
              <w:tc>
                <w:tcPr>
                  <w:tcW w:w="486" w:type="dxa"/>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56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val="0"/>
                      <w:color w:val="auto"/>
                      <w:spacing w:val="-2"/>
                      <w:kern w:val="0"/>
                      <w:sz w:val="21"/>
                      <w:szCs w:val="21"/>
                      <w:highlight w:val="none"/>
                      <w:lang w:val="en-US" w:eastAsia="zh-CN" w:bidi="ar-SA"/>
                      <w14:ligatures w14:val="none"/>
                    </w:rPr>
                  </w:pPr>
                  <w:r>
                    <w:rPr>
                      <w:rFonts w:hint="eastAsia" w:cs="Times New Roman"/>
                      <w:color w:val="auto"/>
                      <w:kern w:val="0"/>
                      <w:sz w:val="21"/>
                      <w:szCs w:val="21"/>
                      <w:lang w:val="en-US" w:eastAsia="zh-CN" w:bidi="ar-SA"/>
                    </w:rPr>
                    <w:t>筛分</w:t>
                  </w:r>
                  <w:r>
                    <w:rPr>
                      <w:rFonts w:hint="eastAsia" w:ascii="Times New Roman" w:hAnsi="Times New Roman" w:eastAsia="宋体" w:cs="Times New Roman"/>
                      <w:color w:val="auto"/>
                      <w:kern w:val="0"/>
                      <w:sz w:val="21"/>
                      <w:szCs w:val="21"/>
                      <w:lang w:val="en-US" w:eastAsia="zh-CN" w:bidi="ar-SA"/>
                    </w:rPr>
                    <w:t>粉尘</w:t>
                  </w:r>
                </w:p>
              </w:tc>
              <w:tc>
                <w:tcPr>
                  <w:tcW w:w="4955"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宋体" w:cs="Times New Roman"/>
                      <w:snapToGrid w:val="0"/>
                      <w:color w:val="auto"/>
                      <w:spacing w:val="0"/>
                      <w:kern w:val="0"/>
                      <w:sz w:val="21"/>
                      <w:szCs w:val="21"/>
                      <w:highlight w:val="none"/>
                      <w:lang w:val="en-US" w:eastAsia="zh-CN" w:bidi="ar-SA"/>
                      <w14:ligatures w14:val="none"/>
                    </w:rPr>
                  </w:pPr>
                </w:p>
              </w:tc>
              <w:tc>
                <w:tcPr>
                  <w:tcW w:w="753"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41" w:hRule="atLeast"/>
                <w:jc w:val="center"/>
              </w:trPr>
              <w:tc>
                <w:tcPr>
                  <w:tcW w:w="507" w:type="dxa"/>
                  <w:vMerge w:val="continue"/>
                  <w:tcBorders>
                    <w:tl2br w:val="nil"/>
                    <w:tr2bl w:val="nil"/>
                  </w:tcBorders>
                  <w:vAlign w:val="center"/>
                </w:tcPr>
                <w:p>
                  <w:pPr>
                    <w:spacing w:line="240" w:lineRule="auto"/>
                    <w:jc w:val="center"/>
                    <w:rPr>
                      <w:rFonts w:hint="default" w:ascii="Times New Roman" w:hAnsi="Times New Roman" w:eastAsia="宋体" w:cs="Times New Roman"/>
                      <w:b/>
                      <w:bCs/>
                      <w:color w:val="auto"/>
                      <w:sz w:val="21"/>
                      <w:szCs w:val="21"/>
                    </w:rPr>
                  </w:pPr>
                </w:p>
              </w:tc>
              <w:tc>
                <w:tcPr>
                  <w:tcW w:w="486" w:type="dxa"/>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56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lang w:val="en-US" w:eastAsia="zh-CN" w:bidi="ar-SA"/>
                      <w14:ligatures w14:val="none"/>
                    </w:rPr>
                  </w:pPr>
                  <w:r>
                    <w:rPr>
                      <w:rFonts w:hint="eastAsia" w:cs="Times New Roman"/>
                      <w:color w:val="auto"/>
                      <w:kern w:val="0"/>
                      <w:sz w:val="21"/>
                      <w:szCs w:val="21"/>
                      <w:lang w:val="en-US" w:eastAsia="zh-CN" w:bidi="ar-SA"/>
                    </w:rPr>
                    <w:t>搅拌粉尘</w:t>
                  </w:r>
                </w:p>
              </w:tc>
              <w:tc>
                <w:tcPr>
                  <w:tcW w:w="4955"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宋体" w:cs="Times New Roman"/>
                      <w:snapToGrid w:val="0"/>
                      <w:color w:val="auto"/>
                      <w:spacing w:val="0"/>
                      <w:kern w:val="0"/>
                      <w:sz w:val="21"/>
                      <w:szCs w:val="21"/>
                      <w:highlight w:val="none"/>
                      <w:lang w:val="en-US" w:eastAsia="zh-CN" w:bidi="ar-SA"/>
                      <w14:ligatures w14:val="none"/>
                    </w:rPr>
                  </w:pPr>
                </w:p>
              </w:tc>
              <w:tc>
                <w:tcPr>
                  <w:tcW w:w="753"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51" w:hRule="atLeast"/>
                <w:jc w:val="center"/>
              </w:trPr>
              <w:tc>
                <w:tcPr>
                  <w:tcW w:w="507" w:type="dxa"/>
                  <w:vMerge w:val="continue"/>
                  <w:tcBorders>
                    <w:tl2br w:val="nil"/>
                    <w:tr2bl w:val="nil"/>
                  </w:tcBorders>
                  <w:vAlign w:val="center"/>
                </w:tcPr>
                <w:p>
                  <w:pPr>
                    <w:widowControl/>
                    <w:spacing w:line="240" w:lineRule="auto"/>
                    <w:jc w:val="center"/>
                    <w:rPr>
                      <w:rFonts w:hint="default" w:ascii="Times New Roman" w:hAnsi="Times New Roman" w:eastAsia="宋体" w:cs="Times New Roman"/>
                      <w:color w:val="auto"/>
                      <w:sz w:val="21"/>
                      <w:szCs w:val="21"/>
                    </w:rPr>
                  </w:pPr>
                </w:p>
              </w:tc>
              <w:tc>
                <w:tcPr>
                  <w:tcW w:w="486"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废水治理</w:t>
                  </w:r>
                </w:p>
              </w:tc>
              <w:tc>
                <w:tcPr>
                  <w:tcW w:w="1562"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生活污水</w:t>
                  </w:r>
                </w:p>
              </w:tc>
              <w:tc>
                <w:tcPr>
                  <w:tcW w:w="4955"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员工不在厂区内食宿，无</w:t>
                  </w:r>
                  <w:r>
                    <w:rPr>
                      <w:rFonts w:hint="eastAsia" w:ascii="Times New Roman" w:hAnsi="Times New Roman" w:eastAsia="宋体" w:cs="Times New Roman"/>
                      <w:b w:val="0"/>
                      <w:bCs w:val="0"/>
                      <w:color w:val="auto"/>
                      <w:sz w:val="21"/>
                      <w:szCs w:val="21"/>
                      <w:highlight w:val="none"/>
                      <w:lang w:val="en-US" w:eastAsia="zh-CN"/>
                    </w:rPr>
                    <w:t>生活污水</w:t>
                  </w:r>
                  <w:r>
                    <w:rPr>
                      <w:rFonts w:hint="default" w:ascii="Times New Roman" w:hAnsi="Times New Roman" w:eastAsia="宋体" w:cs="Times New Roman"/>
                      <w:color w:val="auto"/>
                      <w:sz w:val="21"/>
                      <w:szCs w:val="21"/>
                      <w:highlight w:val="none"/>
                      <w:lang w:val="en-US" w:eastAsia="zh-CN"/>
                    </w:rPr>
                    <w:t>。</w:t>
                  </w:r>
                </w:p>
              </w:tc>
              <w:tc>
                <w:tcPr>
                  <w:tcW w:w="753"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27" w:hRule="atLeast"/>
                <w:jc w:val="center"/>
              </w:trPr>
              <w:tc>
                <w:tcPr>
                  <w:tcW w:w="507" w:type="dxa"/>
                  <w:vMerge w:val="continue"/>
                  <w:tcBorders>
                    <w:tl2br w:val="nil"/>
                    <w:tr2bl w:val="nil"/>
                  </w:tcBorders>
                  <w:vAlign w:val="center"/>
                </w:tcPr>
                <w:p>
                  <w:pPr>
                    <w:widowControl/>
                    <w:spacing w:line="240" w:lineRule="auto"/>
                    <w:jc w:val="center"/>
                    <w:rPr>
                      <w:rFonts w:hint="default" w:ascii="Times New Roman" w:hAnsi="Times New Roman" w:eastAsia="宋体" w:cs="Times New Roman"/>
                      <w:color w:val="auto"/>
                      <w:sz w:val="21"/>
                      <w:szCs w:val="21"/>
                    </w:rPr>
                  </w:pPr>
                </w:p>
              </w:tc>
              <w:tc>
                <w:tcPr>
                  <w:tcW w:w="486"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噪声治理</w:t>
                  </w:r>
                </w:p>
              </w:tc>
              <w:tc>
                <w:tcPr>
                  <w:tcW w:w="1562"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设备噪声</w:t>
                  </w:r>
                </w:p>
              </w:tc>
              <w:tc>
                <w:tcPr>
                  <w:tcW w:w="4955"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val="en-US" w:eastAsia="zh-CN"/>
                    </w:rPr>
                    <w:t>密闭厂房，</w:t>
                  </w:r>
                  <w:r>
                    <w:rPr>
                      <w:rFonts w:hint="default" w:ascii="Times New Roman" w:hAnsi="Times New Roman" w:eastAsia="宋体" w:cs="Times New Roman"/>
                      <w:color w:val="auto"/>
                      <w:sz w:val="21"/>
                      <w:szCs w:val="21"/>
                    </w:rPr>
                    <w:t>选用低噪声设备，并对高噪声设备进行基础隔声、减振措施</w:t>
                  </w:r>
                  <w:r>
                    <w:rPr>
                      <w:rFonts w:hint="default" w:ascii="Times New Roman" w:hAnsi="Times New Roman" w:eastAsia="宋体" w:cs="Times New Roman"/>
                      <w:color w:val="auto"/>
                      <w:sz w:val="21"/>
                      <w:szCs w:val="21"/>
                      <w:lang w:eastAsia="zh-CN"/>
                    </w:rPr>
                    <w:t>。</w:t>
                  </w:r>
                </w:p>
              </w:tc>
              <w:tc>
                <w:tcPr>
                  <w:tcW w:w="753"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507" w:type="dxa"/>
                  <w:vMerge w:val="continue"/>
                  <w:tcBorders>
                    <w:tl2br w:val="nil"/>
                    <w:tr2bl w:val="nil"/>
                  </w:tcBorders>
                  <w:vAlign w:val="center"/>
                </w:tcPr>
                <w:p>
                  <w:pPr>
                    <w:widowControl/>
                    <w:spacing w:line="240" w:lineRule="auto"/>
                    <w:jc w:val="center"/>
                    <w:rPr>
                      <w:rFonts w:hint="default" w:ascii="Times New Roman" w:hAnsi="Times New Roman" w:eastAsia="宋体" w:cs="Times New Roman"/>
                      <w:color w:val="auto"/>
                      <w:sz w:val="21"/>
                      <w:szCs w:val="21"/>
                    </w:rPr>
                  </w:pPr>
                </w:p>
              </w:tc>
              <w:tc>
                <w:tcPr>
                  <w:tcW w:w="486" w:type="dxa"/>
                  <w:vMerge w:val="restar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固废治理</w:t>
                  </w:r>
                </w:p>
              </w:tc>
              <w:tc>
                <w:tcPr>
                  <w:tcW w:w="1562"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生活垃圾</w:t>
                  </w:r>
                </w:p>
              </w:tc>
              <w:tc>
                <w:tcPr>
                  <w:tcW w:w="4955"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
                    </w:rPr>
                    <w:t>集中收集后由当地环卫部门统一处理。</w:t>
                  </w:r>
                </w:p>
              </w:tc>
              <w:tc>
                <w:tcPr>
                  <w:tcW w:w="753"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43" w:hRule="atLeast"/>
                <w:jc w:val="center"/>
              </w:trPr>
              <w:tc>
                <w:tcPr>
                  <w:tcW w:w="507" w:type="dxa"/>
                  <w:vMerge w:val="continue"/>
                  <w:tcBorders>
                    <w:tl2br w:val="nil"/>
                    <w:tr2bl w:val="nil"/>
                  </w:tcBorders>
                  <w:vAlign w:val="center"/>
                </w:tcPr>
                <w:p>
                  <w:pPr>
                    <w:widowControl/>
                    <w:spacing w:line="240" w:lineRule="auto"/>
                    <w:jc w:val="center"/>
                    <w:rPr>
                      <w:rFonts w:hint="default" w:ascii="Times New Roman" w:hAnsi="Times New Roman" w:eastAsia="宋体" w:cs="Times New Roman"/>
                      <w:color w:val="auto"/>
                      <w:sz w:val="21"/>
                      <w:szCs w:val="21"/>
                    </w:rPr>
                  </w:pPr>
                </w:p>
              </w:tc>
              <w:tc>
                <w:tcPr>
                  <w:tcW w:w="486" w:type="dxa"/>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rPr>
                  </w:pPr>
                </w:p>
              </w:tc>
              <w:tc>
                <w:tcPr>
                  <w:tcW w:w="1562"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磨粉、</w:t>
                  </w:r>
                  <w:r>
                    <w:rPr>
                      <w:rFonts w:hint="eastAsia" w:cs="Times New Roman"/>
                      <w:color w:val="000000" w:themeColor="text1"/>
                      <w:sz w:val="21"/>
                      <w:highlight w:val="none"/>
                      <w:lang w:val="en-US" w:eastAsia="zh-CN"/>
                      <w14:textFill>
                        <w14:solidFill>
                          <w14:schemeClr w14:val="tx1"/>
                        </w14:solidFill>
                      </w14:textFill>
                    </w:rPr>
                    <w:t>筛分</w:t>
                  </w: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、混合工序</w:t>
                  </w:r>
                </w:p>
              </w:tc>
              <w:tc>
                <w:tcPr>
                  <w:tcW w:w="4955"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筛分产生的粗渣回用于生产；布袋除尘器收集的粉尘回用于生产；</w:t>
                  </w:r>
                  <w:r>
                    <w:rPr>
                      <w:rFonts w:hint="default" w:ascii="Times New Roman" w:hAnsi="Times New Roman" w:eastAsia="宋体" w:cs="Times New Roman"/>
                      <w:color w:val="auto"/>
                      <w:sz w:val="21"/>
                      <w:szCs w:val="21"/>
                      <w:highlight w:val="none"/>
                    </w:rPr>
                    <w:t>废布袋交由厂家回收处理</w:t>
                  </w:r>
                  <w:r>
                    <w:rPr>
                      <w:rFonts w:hint="default" w:ascii="Times New Roman" w:hAnsi="Times New Roman" w:eastAsia="宋体" w:cs="Times New Roman"/>
                      <w:color w:val="auto"/>
                      <w:sz w:val="21"/>
                      <w:szCs w:val="21"/>
                      <w:highlight w:val="none"/>
                      <w:lang w:eastAsia="zh-CN"/>
                    </w:rPr>
                    <w:t>。</w:t>
                  </w:r>
                </w:p>
              </w:tc>
              <w:tc>
                <w:tcPr>
                  <w:tcW w:w="753"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43" w:hRule="atLeast"/>
                <w:jc w:val="center"/>
              </w:trPr>
              <w:tc>
                <w:tcPr>
                  <w:tcW w:w="507" w:type="dxa"/>
                  <w:vMerge w:val="continue"/>
                  <w:tcBorders>
                    <w:tl2br w:val="nil"/>
                    <w:tr2bl w:val="nil"/>
                  </w:tcBorders>
                  <w:vAlign w:val="center"/>
                </w:tcPr>
                <w:p>
                  <w:pPr>
                    <w:widowControl/>
                    <w:spacing w:line="240" w:lineRule="auto"/>
                    <w:jc w:val="center"/>
                    <w:rPr>
                      <w:rFonts w:hint="default" w:ascii="Times New Roman" w:hAnsi="Times New Roman" w:eastAsia="宋体" w:cs="Times New Roman"/>
                      <w:color w:val="auto"/>
                      <w:sz w:val="21"/>
                      <w:szCs w:val="21"/>
                    </w:rPr>
                  </w:pPr>
                </w:p>
              </w:tc>
              <w:tc>
                <w:tcPr>
                  <w:tcW w:w="486" w:type="dxa"/>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rPr>
                  </w:pPr>
                </w:p>
              </w:tc>
              <w:tc>
                <w:tcPr>
                  <w:tcW w:w="1562" w:type="dxa"/>
                  <w:tcBorders>
                    <w:tl2br w:val="nil"/>
                    <w:tr2bl w:val="nil"/>
                  </w:tcBorders>
                  <w:vAlign w:val="center"/>
                </w:tcPr>
                <w:p>
                  <w:pPr>
                    <w:spacing w:line="240" w:lineRule="auto"/>
                    <w:jc w:val="cente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去磁工序</w:t>
                  </w:r>
                </w:p>
              </w:tc>
              <w:tc>
                <w:tcPr>
                  <w:tcW w:w="4955" w:type="dxa"/>
                  <w:tcBorders>
                    <w:tl2br w:val="nil"/>
                    <w:tr2bl w:val="nil"/>
                  </w:tcBorders>
                  <w:vAlign w:val="center"/>
                </w:tcPr>
                <w:p>
                  <w:pPr>
                    <w:spacing w:line="240" w:lineRule="auto"/>
                    <w:jc w:val="center"/>
                    <w:rPr>
                      <w:rFonts w:hint="eastAsia" w:cs="Times New Roman"/>
                      <w:color w:val="auto"/>
                      <w:sz w:val="21"/>
                      <w:szCs w:val="21"/>
                      <w:highlight w:val="none"/>
                      <w:lang w:val="en-US" w:eastAsia="zh-CN"/>
                    </w:rPr>
                  </w:pPr>
                  <w:r>
                    <w:rPr>
                      <w:rFonts w:hint="eastAsia" w:ascii="Times New Roman" w:hAnsi="Times New Roman" w:eastAsia="宋体" w:cs="Times New Roman"/>
                      <w:color w:val="000000" w:themeColor="text1"/>
                      <w:sz w:val="21"/>
                      <w:lang w:val="en-US" w:eastAsia="zh-CN"/>
                      <w14:textFill>
                        <w14:solidFill>
                          <w14:schemeClr w14:val="tx1"/>
                        </w14:solidFill>
                      </w14:textFill>
                    </w:rPr>
                    <w:t>废铁</w:t>
                  </w:r>
                  <w:r>
                    <w:rPr>
                      <w:rFonts w:hint="eastAsia" w:cs="Times New Roman"/>
                      <w:color w:val="auto"/>
                      <w:sz w:val="21"/>
                      <w:szCs w:val="21"/>
                      <w:highlight w:val="none"/>
                      <w:lang w:val="en-US" w:eastAsia="zh-CN"/>
                    </w:rPr>
                    <w:t>集中收集，作为废品外售</w:t>
                  </w:r>
                </w:p>
              </w:tc>
              <w:tc>
                <w:tcPr>
                  <w:tcW w:w="753" w:type="dxa"/>
                  <w:tcBorders>
                    <w:tl2br w:val="nil"/>
                    <w:tr2bl w:val="nil"/>
                  </w:tcBorders>
                  <w:vAlign w:val="center"/>
                </w:tcPr>
                <w:p>
                  <w:pPr>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80" w:hRule="atLeast"/>
                <w:jc w:val="center"/>
              </w:trPr>
              <w:tc>
                <w:tcPr>
                  <w:tcW w:w="507" w:type="dxa"/>
                  <w:vMerge w:val="continue"/>
                  <w:tcBorders>
                    <w:tl2br w:val="nil"/>
                    <w:tr2bl w:val="nil"/>
                  </w:tcBorders>
                  <w:vAlign w:val="center"/>
                </w:tcPr>
                <w:p>
                  <w:pPr>
                    <w:widowControl/>
                    <w:spacing w:line="240" w:lineRule="auto"/>
                    <w:jc w:val="center"/>
                    <w:rPr>
                      <w:rFonts w:hint="default" w:ascii="Times New Roman" w:hAnsi="Times New Roman" w:eastAsia="宋体" w:cs="Times New Roman"/>
                      <w:color w:val="auto"/>
                      <w:sz w:val="21"/>
                      <w:szCs w:val="21"/>
                    </w:rPr>
                  </w:pPr>
                </w:p>
              </w:tc>
              <w:tc>
                <w:tcPr>
                  <w:tcW w:w="486" w:type="dxa"/>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rPr>
                  </w:pPr>
                </w:p>
              </w:tc>
              <w:tc>
                <w:tcPr>
                  <w:tcW w:w="1562"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color w:val="auto"/>
                      <w:sz w:val="21"/>
                      <w:szCs w:val="21"/>
                      <w:highlight w:val="none"/>
                      <w:lang w:val="en-US" w:eastAsia="zh-CN"/>
                    </w:rPr>
                    <w:t>设备保养</w:t>
                  </w:r>
                </w:p>
              </w:tc>
              <w:tc>
                <w:tcPr>
                  <w:tcW w:w="4955"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color w:val="auto"/>
                      <w:sz w:val="21"/>
                      <w:szCs w:val="21"/>
                      <w:highlight w:val="none"/>
                    </w:rPr>
                    <w:t>废机油、废油桶暂存在</w:t>
                  </w:r>
                  <w:r>
                    <w:rPr>
                      <w:rFonts w:hint="eastAsia" w:cs="Times New Roman"/>
                      <w:color w:val="auto"/>
                      <w:sz w:val="21"/>
                      <w:szCs w:val="21"/>
                      <w:highlight w:val="none"/>
                      <w:lang w:eastAsia="zh-CN"/>
                    </w:rPr>
                    <w:t>危废贮存点</w:t>
                  </w:r>
                  <w:r>
                    <w:rPr>
                      <w:rFonts w:hint="default" w:ascii="Times New Roman" w:hAnsi="Times New Roman" w:eastAsia="宋体" w:cs="Times New Roman"/>
                      <w:color w:val="auto"/>
                      <w:sz w:val="21"/>
                      <w:szCs w:val="21"/>
                      <w:highlight w:val="none"/>
                    </w:rPr>
                    <w:t>，委托有资质的单位统一处理。</w:t>
                  </w:r>
                </w:p>
              </w:tc>
              <w:tc>
                <w:tcPr>
                  <w:tcW w:w="753"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51" w:hRule="atLeast"/>
                <w:jc w:val="center"/>
              </w:trPr>
              <w:tc>
                <w:tcPr>
                  <w:tcW w:w="2555" w:type="dxa"/>
                  <w:gridSpan w:val="3"/>
                  <w:tcBorders>
                    <w:tl2br w:val="nil"/>
                    <w:tr2bl w:val="nil"/>
                  </w:tcBorders>
                  <w:vAlign w:val="center"/>
                </w:tcPr>
                <w:p>
                  <w:pPr>
                    <w:spacing w:line="240" w:lineRule="auto"/>
                    <w:jc w:val="center"/>
                    <w:rPr>
                      <w:rFonts w:hint="default" w:cs="Times New Roman"/>
                      <w:color w:val="auto"/>
                      <w:sz w:val="21"/>
                      <w:szCs w:val="21"/>
                      <w:lang w:val="en-US" w:eastAsia="zh-CN"/>
                    </w:rPr>
                  </w:pPr>
                  <w:r>
                    <w:rPr>
                      <w:rFonts w:hint="eastAsia" w:cs="Times New Roman"/>
                      <w:color w:val="auto"/>
                      <w:sz w:val="21"/>
                      <w:szCs w:val="21"/>
                      <w:lang w:val="en-US" w:eastAsia="zh-CN"/>
                    </w:rPr>
                    <w:t>绿化面积</w:t>
                  </w:r>
                </w:p>
              </w:tc>
              <w:tc>
                <w:tcPr>
                  <w:tcW w:w="4955"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1629.28</w:t>
                  </w:r>
                  <w:r>
                    <w:rPr>
                      <w:rFonts w:hint="default" w:ascii="Times New Roman" w:hAnsi="Times New Roman" w:eastAsia="宋体" w:cs="Times New Roman"/>
                      <w:color w:val="auto"/>
                      <w:sz w:val="21"/>
                      <w:szCs w:val="21"/>
                      <w:highlight w:val="none"/>
                      <w:lang w:val="en-US" w:eastAsia="zh-CN"/>
                    </w:rPr>
                    <w:t>m</w:t>
                  </w:r>
                  <w:r>
                    <w:rPr>
                      <w:rFonts w:hint="eastAsia" w:cs="Times New Roman"/>
                      <w:color w:val="auto"/>
                      <w:sz w:val="21"/>
                      <w:szCs w:val="21"/>
                      <w:highlight w:val="none"/>
                      <w:vertAlign w:val="superscript"/>
                      <w:lang w:val="en-US" w:eastAsia="zh-CN"/>
                    </w:rPr>
                    <w:t>2</w:t>
                  </w:r>
                  <w:r>
                    <w:rPr>
                      <w:rFonts w:hint="eastAsia" w:cs="Times New Roman"/>
                      <w:color w:val="auto"/>
                      <w:sz w:val="21"/>
                      <w:szCs w:val="21"/>
                      <w:highlight w:val="none"/>
                      <w:vertAlign w:val="baseline"/>
                      <w:lang w:val="en-US" w:eastAsia="zh-CN"/>
                    </w:rPr>
                    <w:t>。</w:t>
                  </w:r>
                </w:p>
              </w:tc>
              <w:tc>
                <w:tcPr>
                  <w:tcW w:w="753"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r>
          </w:tbl>
          <w:p>
            <w:pPr>
              <w:keepNext w:val="0"/>
              <w:keepLines w:val="0"/>
              <w:pageBreakBefore w:val="0"/>
              <w:widowControl w:val="0"/>
              <w:shd w:val="clear"/>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2.1.</w:t>
            </w: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rPr>
              <w:t>主要设备</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Cs/>
                <w:color w:val="auto"/>
                <w:sz w:val="24"/>
                <w:szCs w:val="24"/>
              </w:rPr>
              <w:t>项目</w:t>
            </w:r>
            <w:r>
              <w:rPr>
                <w:rFonts w:hint="eastAsia" w:cs="Times New Roman"/>
                <w:bCs/>
                <w:color w:val="auto"/>
                <w:sz w:val="24"/>
                <w:szCs w:val="24"/>
                <w:lang w:val="en-US" w:eastAsia="zh-CN"/>
              </w:rPr>
              <w:t>辣椒颗粒</w:t>
            </w:r>
            <w:r>
              <w:rPr>
                <w:rFonts w:hint="default" w:ascii="Times New Roman" w:hAnsi="Times New Roman" w:eastAsia="宋体" w:cs="Times New Roman"/>
                <w:bCs/>
                <w:color w:val="auto"/>
                <w:sz w:val="24"/>
                <w:szCs w:val="24"/>
              </w:rPr>
              <w:t>生产线主要生产设备</w:t>
            </w:r>
            <w:r>
              <w:rPr>
                <w:rFonts w:hint="eastAsia" w:cs="Times New Roman"/>
                <w:bCs/>
                <w:color w:val="auto"/>
                <w:sz w:val="24"/>
                <w:szCs w:val="24"/>
                <w:lang w:eastAsia="zh-CN"/>
              </w:rPr>
              <w:t>见下</w:t>
            </w:r>
            <w:r>
              <w:rPr>
                <w:rFonts w:hint="default" w:ascii="Times New Roman" w:hAnsi="Times New Roman" w:eastAsia="宋体" w:cs="Times New Roman"/>
                <w:bCs/>
                <w:color w:val="auto"/>
                <w:sz w:val="24"/>
                <w:szCs w:val="24"/>
              </w:rPr>
              <w:t>表2</w:t>
            </w:r>
            <w:r>
              <w:rPr>
                <w:rFonts w:hint="eastAsia" w:cs="Times New Roman"/>
                <w:bCs/>
                <w:color w:val="auto"/>
                <w:sz w:val="24"/>
                <w:szCs w:val="24"/>
                <w:lang w:val="en-US" w:eastAsia="zh-CN"/>
              </w:rPr>
              <w:t>.1</w:t>
            </w:r>
            <w:r>
              <w:rPr>
                <w:rFonts w:hint="default" w:ascii="Times New Roman" w:hAnsi="Times New Roman" w:eastAsia="宋体" w:cs="Times New Roman"/>
                <w:bCs/>
                <w:color w:val="auto"/>
                <w:sz w:val="24"/>
                <w:szCs w:val="24"/>
              </w:rPr>
              <w:t>-2：</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表2</w:t>
            </w:r>
            <w:r>
              <w:rPr>
                <w:rFonts w:hint="eastAsia" w:ascii="Times New Roman" w:hAnsi="Times New Roman" w:eastAsia="宋体" w:cs="Times New Roman"/>
                <w:b/>
                <w:bCs/>
                <w:color w:val="auto"/>
                <w:sz w:val="21"/>
                <w:szCs w:val="21"/>
                <w:lang w:val="en-US" w:eastAsia="zh-CN"/>
              </w:rPr>
              <w:t>.1</w:t>
            </w:r>
            <w:r>
              <w:rPr>
                <w:rFonts w:hint="default" w:ascii="Times New Roman" w:hAnsi="Times New Roman" w:eastAsia="宋体" w:cs="Times New Roman"/>
                <w:b/>
                <w:bCs/>
                <w:color w:val="auto"/>
                <w:sz w:val="21"/>
                <w:szCs w:val="21"/>
                <w:lang w:val="en-US" w:eastAsia="zh-CN"/>
              </w:rPr>
              <w:t xml:space="preserve">-2  </w:t>
            </w:r>
            <w:r>
              <w:rPr>
                <w:rFonts w:hint="eastAsia" w:ascii="Times New Roman" w:hAnsi="Times New Roman" w:eastAsia="宋体" w:cs="Times New Roman"/>
                <w:b/>
                <w:bCs/>
                <w:color w:val="auto"/>
                <w:sz w:val="21"/>
                <w:szCs w:val="21"/>
                <w:lang w:val="en-US" w:eastAsia="zh-CN"/>
              </w:rPr>
              <w:t>辣椒</w:t>
            </w:r>
            <w:r>
              <w:rPr>
                <w:rFonts w:hint="eastAsia" w:cs="Times New Roman"/>
                <w:b/>
                <w:bCs/>
                <w:color w:val="auto"/>
                <w:sz w:val="21"/>
                <w:szCs w:val="21"/>
                <w:lang w:val="en-US" w:eastAsia="zh-CN"/>
              </w:rPr>
              <w:t>颗粒</w:t>
            </w:r>
            <w:r>
              <w:rPr>
                <w:rFonts w:hint="default" w:ascii="Times New Roman" w:hAnsi="Times New Roman" w:eastAsia="宋体" w:cs="Times New Roman"/>
                <w:b/>
                <w:bCs/>
                <w:color w:val="auto"/>
                <w:sz w:val="21"/>
                <w:szCs w:val="21"/>
                <w:lang w:val="en-US" w:eastAsia="zh-CN"/>
              </w:rPr>
              <w:t>生产线主要生产设备一览表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533"/>
              <w:gridCol w:w="1587"/>
              <w:gridCol w:w="867"/>
              <w:gridCol w:w="813"/>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4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序号</w:t>
                  </w:r>
                </w:p>
              </w:tc>
              <w:tc>
                <w:tcPr>
                  <w:tcW w:w="9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设备名称</w:t>
                  </w:r>
                </w:p>
              </w:tc>
              <w:tc>
                <w:tcPr>
                  <w:tcW w:w="9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规格型号</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单位</w:t>
                  </w:r>
                </w:p>
              </w:tc>
              <w:tc>
                <w:tcPr>
                  <w:tcW w:w="4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数量</w:t>
                  </w:r>
                </w:p>
              </w:tc>
              <w:tc>
                <w:tcPr>
                  <w:tcW w:w="16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napToGrid w:val="0"/>
                      <w:color w:val="auto"/>
                      <w:kern w:val="0"/>
                      <w:sz w:val="21"/>
                      <w:szCs w:val="21"/>
                      <w:lang w:val="en-US" w:eastAsia="zh-CN" w:bidi="ar-SA"/>
                      <w14:ligatures w14:val="none"/>
                    </w:rPr>
                    <w:t>1</w:t>
                  </w:r>
                </w:p>
              </w:tc>
              <w:tc>
                <w:tcPr>
                  <w:tcW w:w="9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highlight w:val="none"/>
                      <w:lang w:val="en-US" w:eastAsia="zh-CN"/>
                    </w:rPr>
                    <w:t>喂料机</w:t>
                  </w:r>
                </w:p>
              </w:tc>
              <w:tc>
                <w:tcPr>
                  <w:tcW w:w="9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highlight w:val="none"/>
                      <w:lang w:val="en-US" w:eastAsia="zh-CN"/>
                    </w:rPr>
                    <w:t>台</w:t>
                  </w:r>
                </w:p>
              </w:tc>
              <w:tc>
                <w:tcPr>
                  <w:tcW w:w="4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highlight w:val="none"/>
                      <w:lang w:val="en-US" w:eastAsia="zh-CN"/>
                    </w:rPr>
                    <w:t>1</w:t>
                  </w:r>
                </w:p>
              </w:tc>
              <w:tc>
                <w:tcPr>
                  <w:tcW w:w="16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上辣椒用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2</w:t>
                  </w:r>
                </w:p>
              </w:tc>
              <w:tc>
                <w:tcPr>
                  <w:tcW w:w="9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风提</w:t>
                  </w:r>
                </w:p>
              </w:tc>
              <w:tc>
                <w:tcPr>
                  <w:tcW w:w="9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台</w:t>
                  </w:r>
                </w:p>
              </w:tc>
              <w:tc>
                <w:tcPr>
                  <w:tcW w:w="4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sz w:val="21"/>
                      <w:szCs w:val="21"/>
                      <w:lang w:val="en-US" w:eastAsia="zh-CN"/>
                    </w:rPr>
                  </w:pPr>
                  <w:r>
                    <w:rPr>
                      <w:rFonts w:hint="eastAsia" w:cs="Times New Roman"/>
                      <w:color w:val="auto"/>
                      <w:sz w:val="21"/>
                      <w:szCs w:val="21"/>
                      <w:highlight w:val="none"/>
                      <w:lang w:val="en-US" w:eastAsia="zh-CN"/>
                    </w:rPr>
                    <w:t>3</w:t>
                  </w:r>
                </w:p>
              </w:tc>
              <w:tc>
                <w:tcPr>
                  <w:tcW w:w="16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提原料到下个工序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3</w:t>
                  </w:r>
                </w:p>
              </w:tc>
              <w:tc>
                <w:tcPr>
                  <w:tcW w:w="92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auto"/>
                      <w:kern w:val="0"/>
                      <w:sz w:val="21"/>
                      <w:szCs w:val="21"/>
                      <w:lang w:val="en-US" w:eastAsia="zh-CN" w:bidi="ar-SA"/>
                      <w14:ligatures w14:val="none"/>
                    </w:rPr>
                  </w:pPr>
                  <w:r>
                    <w:rPr>
                      <w:rFonts w:hint="default" w:ascii="Times New Roman" w:hAnsi="Times New Roman" w:eastAsia="宋体" w:cs="Times New Roman"/>
                      <w:b w:val="0"/>
                      <w:bCs/>
                      <w:color w:val="auto"/>
                      <w:sz w:val="21"/>
                      <w:szCs w:val="21"/>
                      <w:lang w:val="en-US" w:eastAsia="zh-CN"/>
                    </w:rPr>
                    <w:t>单转子</w:t>
                  </w:r>
                </w:p>
              </w:tc>
              <w:tc>
                <w:tcPr>
                  <w:tcW w:w="95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auto"/>
                      <w:kern w:val="0"/>
                      <w:sz w:val="21"/>
                      <w:szCs w:val="21"/>
                      <w:lang w:val="en-US" w:eastAsia="zh-CN" w:bidi="ar-SA"/>
                      <w14:ligatures w14:val="none"/>
                    </w:rPr>
                  </w:pPr>
                  <w:r>
                    <w:rPr>
                      <w:rFonts w:hint="eastAsia" w:cs="Times New Roman"/>
                      <w:b w:val="0"/>
                      <w:bCs/>
                      <w:color w:val="auto"/>
                      <w:sz w:val="21"/>
                      <w:szCs w:val="21"/>
                      <w:lang w:val="en-US" w:eastAsia="zh-CN"/>
                    </w:rPr>
                    <w:t>/</w:t>
                  </w:r>
                </w:p>
              </w:tc>
              <w:tc>
                <w:tcPr>
                  <w:tcW w:w="52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color w:val="auto"/>
                      <w:sz w:val="21"/>
                      <w:szCs w:val="21"/>
                      <w:highlight w:val="none"/>
                      <w:lang w:val="en-US" w:eastAsia="zh-CN"/>
                    </w:rPr>
                    <w:t>台</w:t>
                  </w:r>
                </w:p>
              </w:tc>
              <w:tc>
                <w:tcPr>
                  <w:tcW w:w="49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color w:val="auto"/>
                      <w:sz w:val="21"/>
                      <w:szCs w:val="21"/>
                      <w:highlight w:val="none"/>
                      <w:lang w:val="en-US" w:eastAsia="zh-CN"/>
                    </w:rPr>
                    <w:t>1</w:t>
                  </w:r>
                </w:p>
              </w:tc>
              <w:tc>
                <w:tcPr>
                  <w:tcW w:w="1668"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color w:val="auto"/>
                      <w:sz w:val="21"/>
                      <w:szCs w:val="21"/>
                      <w:highlight w:val="none"/>
                      <w:lang w:val="en-US" w:eastAsia="zh-CN"/>
                    </w:rPr>
                    <w:t>粉碎料用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4</w:t>
                  </w:r>
                </w:p>
              </w:tc>
              <w:tc>
                <w:tcPr>
                  <w:tcW w:w="92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auto"/>
                      <w:kern w:val="0"/>
                      <w:sz w:val="21"/>
                      <w:szCs w:val="21"/>
                      <w:lang w:val="en-US" w:eastAsia="zh-CN" w:bidi="ar-SA"/>
                      <w14:ligatures w14:val="none"/>
                    </w:rPr>
                  </w:pPr>
                  <w:r>
                    <w:rPr>
                      <w:rFonts w:hint="default" w:ascii="Times New Roman" w:hAnsi="Times New Roman" w:eastAsia="宋体" w:cs="Times New Roman"/>
                      <w:b w:val="0"/>
                      <w:bCs/>
                      <w:color w:val="auto"/>
                      <w:sz w:val="21"/>
                      <w:szCs w:val="21"/>
                      <w:lang w:val="en-US" w:eastAsia="zh-CN"/>
                    </w:rPr>
                    <w:t>蛟龙</w:t>
                  </w:r>
                </w:p>
              </w:tc>
              <w:tc>
                <w:tcPr>
                  <w:tcW w:w="95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auto"/>
                      <w:kern w:val="0"/>
                      <w:sz w:val="21"/>
                      <w:szCs w:val="21"/>
                      <w:lang w:val="en-US" w:eastAsia="zh-CN" w:bidi="ar-SA"/>
                      <w14:ligatures w14:val="none"/>
                    </w:rPr>
                  </w:pPr>
                  <w:r>
                    <w:rPr>
                      <w:rFonts w:hint="eastAsia" w:cs="Times New Roman"/>
                      <w:b w:val="0"/>
                      <w:bCs/>
                      <w:color w:val="auto"/>
                      <w:sz w:val="21"/>
                      <w:szCs w:val="21"/>
                      <w:lang w:val="en-US" w:eastAsia="zh-CN"/>
                    </w:rPr>
                    <w:t>/</w:t>
                  </w:r>
                </w:p>
              </w:tc>
              <w:tc>
                <w:tcPr>
                  <w:tcW w:w="52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color w:val="auto"/>
                      <w:sz w:val="21"/>
                      <w:szCs w:val="21"/>
                      <w:highlight w:val="none"/>
                      <w:lang w:val="en-US" w:eastAsia="zh-CN"/>
                    </w:rPr>
                    <w:t>台</w:t>
                  </w:r>
                </w:p>
              </w:tc>
              <w:tc>
                <w:tcPr>
                  <w:tcW w:w="49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color w:val="auto"/>
                      <w:sz w:val="21"/>
                      <w:szCs w:val="21"/>
                      <w:highlight w:val="none"/>
                      <w:lang w:val="en-US" w:eastAsia="zh-CN"/>
                    </w:rPr>
                    <w:t>3</w:t>
                  </w:r>
                </w:p>
              </w:tc>
              <w:tc>
                <w:tcPr>
                  <w:tcW w:w="1668"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color w:val="auto"/>
                      <w:sz w:val="21"/>
                      <w:szCs w:val="21"/>
                      <w:highlight w:val="none"/>
                      <w:lang w:val="en-US" w:eastAsia="zh-CN"/>
                    </w:rPr>
                    <w:t>下料用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5</w:t>
                  </w:r>
                </w:p>
              </w:tc>
              <w:tc>
                <w:tcPr>
                  <w:tcW w:w="92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auto"/>
                      <w:kern w:val="0"/>
                      <w:sz w:val="21"/>
                      <w:szCs w:val="21"/>
                      <w:lang w:val="en-US" w:eastAsia="zh-CN" w:bidi="ar-SA"/>
                      <w14:ligatures w14:val="none"/>
                    </w:rPr>
                  </w:pPr>
                  <w:r>
                    <w:rPr>
                      <w:rFonts w:hint="default" w:ascii="Times New Roman" w:hAnsi="Times New Roman" w:eastAsia="宋体" w:cs="Times New Roman"/>
                      <w:b w:val="0"/>
                      <w:bCs/>
                      <w:color w:val="auto"/>
                      <w:sz w:val="21"/>
                      <w:szCs w:val="21"/>
                      <w:lang w:val="en-US" w:eastAsia="zh-CN"/>
                    </w:rPr>
                    <w:t>对棍磨粉机</w:t>
                  </w:r>
                </w:p>
              </w:tc>
              <w:tc>
                <w:tcPr>
                  <w:tcW w:w="95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auto"/>
                      <w:kern w:val="0"/>
                      <w:sz w:val="21"/>
                      <w:szCs w:val="21"/>
                      <w:lang w:val="en-US" w:eastAsia="zh-CN" w:bidi="ar-SA"/>
                      <w14:ligatures w14:val="none"/>
                    </w:rPr>
                  </w:pPr>
                  <w:r>
                    <w:rPr>
                      <w:rFonts w:hint="eastAsia" w:cs="Times New Roman"/>
                      <w:b w:val="0"/>
                      <w:bCs/>
                      <w:color w:val="auto"/>
                      <w:sz w:val="21"/>
                      <w:szCs w:val="21"/>
                      <w:lang w:val="en-US" w:eastAsia="zh-CN"/>
                    </w:rPr>
                    <w:t>/</w:t>
                  </w:r>
                </w:p>
              </w:tc>
              <w:tc>
                <w:tcPr>
                  <w:tcW w:w="52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color w:val="auto"/>
                      <w:sz w:val="21"/>
                      <w:szCs w:val="21"/>
                      <w:highlight w:val="none"/>
                      <w:lang w:val="en-US" w:eastAsia="zh-CN"/>
                    </w:rPr>
                    <w:t>台</w:t>
                  </w:r>
                </w:p>
              </w:tc>
              <w:tc>
                <w:tcPr>
                  <w:tcW w:w="49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color w:val="auto"/>
                      <w:sz w:val="21"/>
                      <w:szCs w:val="21"/>
                      <w:highlight w:val="none"/>
                      <w:lang w:val="en-US" w:eastAsia="zh-CN"/>
                    </w:rPr>
                    <w:t>20</w:t>
                  </w:r>
                </w:p>
              </w:tc>
              <w:tc>
                <w:tcPr>
                  <w:tcW w:w="1668"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color w:val="auto"/>
                      <w:sz w:val="21"/>
                      <w:szCs w:val="21"/>
                      <w:highlight w:val="none"/>
                      <w:lang w:val="en-US" w:eastAsia="zh-CN"/>
                    </w:rPr>
                    <w:t>磨辣椒粉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6</w:t>
                  </w:r>
                </w:p>
              </w:tc>
              <w:tc>
                <w:tcPr>
                  <w:tcW w:w="92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auto"/>
                      <w:kern w:val="0"/>
                      <w:sz w:val="21"/>
                      <w:szCs w:val="21"/>
                      <w:lang w:val="en-US" w:eastAsia="zh-CN" w:bidi="ar-SA"/>
                      <w14:ligatures w14:val="none"/>
                    </w:rPr>
                  </w:pPr>
                  <w:r>
                    <w:rPr>
                      <w:rFonts w:hint="default" w:ascii="Times New Roman" w:hAnsi="Times New Roman" w:eastAsia="宋体" w:cs="Times New Roman"/>
                      <w:b w:val="0"/>
                      <w:bCs/>
                      <w:color w:val="auto"/>
                      <w:sz w:val="21"/>
                      <w:szCs w:val="21"/>
                      <w:lang w:val="en-US" w:eastAsia="zh-CN"/>
                    </w:rPr>
                    <w:t>振动筛</w:t>
                  </w:r>
                </w:p>
              </w:tc>
              <w:tc>
                <w:tcPr>
                  <w:tcW w:w="95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auto"/>
                      <w:kern w:val="0"/>
                      <w:sz w:val="21"/>
                      <w:szCs w:val="21"/>
                      <w:lang w:val="en-US" w:eastAsia="zh-CN" w:bidi="ar-SA"/>
                      <w14:ligatures w14:val="none"/>
                    </w:rPr>
                  </w:pPr>
                  <w:r>
                    <w:rPr>
                      <w:rFonts w:hint="eastAsia" w:cs="Times New Roman"/>
                      <w:b w:val="0"/>
                      <w:bCs/>
                      <w:color w:val="auto"/>
                      <w:sz w:val="21"/>
                      <w:szCs w:val="21"/>
                      <w:lang w:val="en-US" w:eastAsia="zh-CN"/>
                    </w:rPr>
                    <w:t>/</w:t>
                  </w:r>
                </w:p>
              </w:tc>
              <w:tc>
                <w:tcPr>
                  <w:tcW w:w="52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color w:val="auto"/>
                      <w:sz w:val="21"/>
                      <w:szCs w:val="21"/>
                      <w:highlight w:val="none"/>
                      <w:lang w:val="en-US" w:eastAsia="zh-CN"/>
                    </w:rPr>
                    <w:t>台</w:t>
                  </w:r>
                </w:p>
              </w:tc>
              <w:tc>
                <w:tcPr>
                  <w:tcW w:w="49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color w:val="auto"/>
                      <w:sz w:val="21"/>
                      <w:szCs w:val="21"/>
                      <w:highlight w:val="none"/>
                      <w:lang w:val="en-US" w:eastAsia="zh-CN"/>
                    </w:rPr>
                    <w:t>1</w:t>
                  </w:r>
                </w:p>
              </w:tc>
              <w:tc>
                <w:tcPr>
                  <w:tcW w:w="1668"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color w:val="auto"/>
                      <w:sz w:val="21"/>
                      <w:szCs w:val="21"/>
                      <w:highlight w:val="none"/>
                      <w:lang w:val="en-US" w:eastAsia="zh-CN"/>
                    </w:rPr>
                    <w:t>粗细粉区分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7</w:t>
                  </w:r>
                </w:p>
              </w:tc>
              <w:tc>
                <w:tcPr>
                  <w:tcW w:w="92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auto"/>
                      <w:kern w:val="0"/>
                      <w:sz w:val="21"/>
                      <w:szCs w:val="21"/>
                      <w:lang w:val="en-US" w:eastAsia="zh-CN" w:bidi="ar-SA"/>
                      <w14:ligatures w14:val="none"/>
                    </w:rPr>
                  </w:pPr>
                  <w:r>
                    <w:rPr>
                      <w:rFonts w:hint="default" w:ascii="Times New Roman" w:hAnsi="Times New Roman" w:eastAsia="宋体" w:cs="Times New Roman"/>
                      <w:b w:val="0"/>
                      <w:bCs/>
                      <w:color w:val="auto"/>
                      <w:sz w:val="21"/>
                      <w:szCs w:val="21"/>
                      <w:lang w:val="en-US" w:eastAsia="zh-CN"/>
                    </w:rPr>
                    <w:t>搅拌罐</w:t>
                  </w:r>
                </w:p>
              </w:tc>
              <w:tc>
                <w:tcPr>
                  <w:tcW w:w="95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auto"/>
                      <w:kern w:val="0"/>
                      <w:sz w:val="21"/>
                      <w:szCs w:val="21"/>
                      <w:lang w:val="en-US" w:eastAsia="zh-CN" w:bidi="ar-SA"/>
                      <w14:ligatures w14:val="none"/>
                    </w:rPr>
                  </w:pPr>
                  <w:r>
                    <w:rPr>
                      <w:rFonts w:hint="eastAsia" w:cs="Times New Roman"/>
                      <w:b w:val="0"/>
                      <w:bCs/>
                      <w:color w:val="auto"/>
                      <w:sz w:val="21"/>
                      <w:szCs w:val="21"/>
                      <w:lang w:val="en-US" w:eastAsia="zh-CN"/>
                    </w:rPr>
                    <w:t>/</w:t>
                  </w:r>
                </w:p>
              </w:tc>
              <w:tc>
                <w:tcPr>
                  <w:tcW w:w="52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color w:val="auto"/>
                      <w:sz w:val="21"/>
                      <w:szCs w:val="21"/>
                      <w:highlight w:val="none"/>
                      <w:lang w:val="en-US" w:eastAsia="zh-CN"/>
                    </w:rPr>
                    <w:t>台</w:t>
                  </w:r>
                </w:p>
              </w:tc>
              <w:tc>
                <w:tcPr>
                  <w:tcW w:w="49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color w:val="auto"/>
                      <w:sz w:val="21"/>
                      <w:szCs w:val="21"/>
                      <w:highlight w:val="none"/>
                      <w:lang w:val="en-US" w:eastAsia="zh-CN"/>
                    </w:rPr>
                    <w:t>1</w:t>
                  </w:r>
                </w:p>
              </w:tc>
              <w:tc>
                <w:tcPr>
                  <w:tcW w:w="1668"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color w:val="auto"/>
                      <w:sz w:val="21"/>
                      <w:szCs w:val="21"/>
                      <w:highlight w:val="none"/>
                      <w:lang w:val="en-US" w:eastAsia="zh-CN"/>
                    </w:rPr>
                    <w:t>辣椒粉搅拌均匀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8</w:t>
                  </w:r>
                </w:p>
              </w:tc>
              <w:tc>
                <w:tcPr>
                  <w:tcW w:w="92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auto"/>
                      <w:kern w:val="0"/>
                      <w:sz w:val="21"/>
                      <w:szCs w:val="21"/>
                      <w:lang w:val="en-US" w:eastAsia="zh-CN" w:bidi="ar-SA"/>
                      <w14:ligatures w14:val="none"/>
                    </w:rPr>
                  </w:pPr>
                  <w:r>
                    <w:rPr>
                      <w:rFonts w:hint="default" w:ascii="Times New Roman" w:hAnsi="Times New Roman" w:eastAsia="宋体" w:cs="Times New Roman"/>
                      <w:b w:val="0"/>
                      <w:bCs/>
                      <w:color w:val="auto"/>
                      <w:sz w:val="21"/>
                      <w:szCs w:val="21"/>
                      <w:lang w:val="en-US" w:eastAsia="zh-CN"/>
                    </w:rPr>
                    <w:t>除磁机</w:t>
                  </w:r>
                </w:p>
              </w:tc>
              <w:tc>
                <w:tcPr>
                  <w:tcW w:w="95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auto"/>
                      <w:kern w:val="0"/>
                      <w:sz w:val="21"/>
                      <w:szCs w:val="21"/>
                      <w:lang w:val="en-US" w:eastAsia="zh-CN" w:bidi="ar-SA"/>
                      <w14:ligatures w14:val="none"/>
                    </w:rPr>
                  </w:pPr>
                  <w:r>
                    <w:rPr>
                      <w:rFonts w:hint="eastAsia" w:cs="Times New Roman"/>
                      <w:b w:val="0"/>
                      <w:bCs/>
                      <w:color w:val="auto"/>
                      <w:sz w:val="21"/>
                      <w:szCs w:val="21"/>
                      <w:lang w:val="en-US" w:eastAsia="zh-CN"/>
                    </w:rPr>
                    <w:t>/</w:t>
                  </w:r>
                </w:p>
              </w:tc>
              <w:tc>
                <w:tcPr>
                  <w:tcW w:w="52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color w:val="auto"/>
                      <w:sz w:val="21"/>
                      <w:szCs w:val="21"/>
                      <w:highlight w:val="none"/>
                      <w:lang w:val="en-US" w:eastAsia="zh-CN"/>
                    </w:rPr>
                    <w:t>台</w:t>
                  </w:r>
                </w:p>
              </w:tc>
              <w:tc>
                <w:tcPr>
                  <w:tcW w:w="49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color w:val="auto"/>
                      <w:sz w:val="21"/>
                      <w:szCs w:val="21"/>
                      <w:highlight w:val="none"/>
                      <w:lang w:val="en-US" w:eastAsia="zh-CN"/>
                    </w:rPr>
                    <w:t>1</w:t>
                  </w:r>
                </w:p>
              </w:tc>
              <w:tc>
                <w:tcPr>
                  <w:tcW w:w="1668"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color w:val="auto"/>
                      <w:sz w:val="21"/>
                      <w:szCs w:val="21"/>
                      <w:highlight w:val="none"/>
                      <w:lang w:val="en-US" w:eastAsia="zh-CN"/>
                    </w:rPr>
                    <w:t>去辣椒粉里面的铁沫沫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9</w:t>
                  </w:r>
                </w:p>
              </w:tc>
              <w:tc>
                <w:tcPr>
                  <w:tcW w:w="92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auto"/>
                      <w:kern w:val="0"/>
                      <w:sz w:val="21"/>
                      <w:szCs w:val="21"/>
                      <w:lang w:val="en-US" w:eastAsia="zh-CN" w:bidi="ar-SA"/>
                      <w14:ligatures w14:val="none"/>
                    </w:rPr>
                  </w:pPr>
                  <w:r>
                    <w:rPr>
                      <w:rFonts w:hint="default" w:ascii="Times New Roman" w:hAnsi="Times New Roman" w:eastAsia="宋体" w:cs="Times New Roman"/>
                      <w:b w:val="0"/>
                      <w:bCs/>
                      <w:color w:val="auto"/>
                      <w:sz w:val="21"/>
                      <w:szCs w:val="21"/>
                      <w:lang w:val="en-US" w:eastAsia="zh-CN"/>
                    </w:rPr>
                    <w:t>超微粉</w:t>
                  </w:r>
                </w:p>
              </w:tc>
              <w:tc>
                <w:tcPr>
                  <w:tcW w:w="95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auto"/>
                      <w:kern w:val="0"/>
                      <w:sz w:val="21"/>
                      <w:szCs w:val="21"/>
                      <w:lang w:val="en-US" w:eastAsia="zh-CN" w:bidi="ar-SA"/>
                      <w14:ligatures w14:val="none"/>
                    </w:rPr>
                  </w:pPr>
                  <w:r>
                    <w:rPr>
                      <w:rFonts w:hint="eastAsia" w:cs="Times New Roman"/>
                      <w:b w:val="0"/>
                      <w:bCs/>
                      <w:color w:val="auto"/>
                      <w:sz w:val="21"/>
                      <w:szCs w:val="21"/>
                      <w:lang w:val="en-US" w:eastAsia="zh-CN"/>
                    </w:rPr>
                    <w:t>/</w:t>
                  </w:r>
                </w:p>
              </w:tc>
              <w:tc>
                <w:tcPr>
                  <w:tcW w:w="52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color w:val="auto"/>
                      <w:sz w:val="21"/>
                      <w:szCs w:val="21"/>
                      <w:highlight w:val="none"/>
                      <w:lang w:val="en-US" w:eastAsia="zh-CN"/>
                    </w:rPr>
                    <w:t>套</w:t>
                  </w:r>
                </w:p>
              </w:tc>
              <w:tc>
                <w:tcPr>
                  <w:tcW w:w="49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color w:val="auto"/>
                      <w:sz w:val="21"/>
                      <w:szCs w:val="21"/>
                      <w:highlight w:val="none"/>
                      <w:lang w:val="en-US" w:eastAsia="zh-CN"/>
                    </w:rPr>
                    <w:t>1</w:t>
                  </w:r>
                </w:p>
              </w:tc>
              <w:tc>
                <w:tcPr>
                  <w:tcW w:w="1668"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color w:val="auto"/>
                      <w:sz w:val="21"/>
                      <w:szCs w:val="21"/>
                      <w:highlight w:val="none"/>
                      <w:lang w:val="en-US" w:eastAsia="zh-CN"/>
                    </w:rPr>
                    <w:t>出超细粉一整套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10</w:t>
                  </w:r>
                </w:p>
              </w:tc>
              <w:tc>
                <w:tcPr>
                  <w:tcW w:w="92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auto"/>
                      <w:kern w:val="0"/>
                      <w:sz w:val="21"/>
                      <w:szCs w:val="21"/>
                      <w:lang w:val="en-US" w:eastAsia="zh-CN" w:bidi="ar-SA"/>
                      <w14:ligatures w14:val="none"/>
                    </w:rPr>
                  </w:pPr>
                  <w:r>
                    <w:rPr>
                      <w:rFonts w:hint="default" w:ascii="Times New Roman" w:hAnsi="Times New Roman" w:eastAsia="宋体" w:cs="Times New Roman"/>
                      <w:b w:val="0"/>
                      <w:bCs/>
                      <w:color w:val="auto"/>
                      <w:sz w:val="21"/>
                      <w:szCs w:val="21"/>
                      <w:lang w:val="en-US" w:eastAsia="zh-CN"/>
                    </w:rPr>
                    <w:t>运输带</w:t>
                  </w:r>
                </w:p>
              </w:tc>
              <w:tc>
                <w:tcPr>
                  <w:tcW w:w="95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auto"/>
                      <w:kern w:val="0"/>
                      <w:sz w:val="21"/>
                      <w:szCs w:val="21"/>
                      <w:lang w:val="en-US" w:eastAsia="zh-CN" w:bidi="ar-SA"/>
                      <w14:ligatures w14:val="none"/>
                    </w:rPr>
                  </w:pPr>
                  <w:r>
                    <w:rPr>
                      <w:rFonts w:hint="eastAsia" w:cs="Times New Roman"/>
                      <w:b w:val="0"/>
                      <w:bCs/>
                      <w:color w:val="auto"/>
                      <w:sz w:val="21"/>
                      <w:szCs w:val="21"/>
                      <w:lang w:val="en-US" w:eastAsia="zh-CN"/>
                    </w:rPr>
                    <w:t>/</w:t>
                  </w:r>
                </w:p>
              </w:tc>
              <w:tc>
                <w:tcPr>
                  <w:tcW w:w="52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color w:val="auto"/>
                      <w:sz w:val="21"/>
                      <w:szCs w:val="21"/>
                      <w:highlight w:val="none"/>
                      <w:lang w:val="en-US" w:eastAsia="zh-CN"/>
                    </w:rPr>
                    <w:t>台</w:t>
                  </w:r>
                </w:p>
              </w:tc>
              <w:tc>
                <w:tcPr>
                  <w:tcW w:w="49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color w:val="auto"/>
                      <w:sz w:val="21"/>
                      <w:szCs w:val="21"/>
                      <w:highlight w:val="none"/>
                      <w:lang w:val="en-US" w:eastAsia="zh-CN"/>
                    </w:rPr>
                    <w:t>15</w:t>
                  </w:r>
                </w:p>
              </w:tc>
              <w:tc>
                <w:tcPr>
                  <w:tcW w:w="1668"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color w:val="auto"/>
                      <w:sz w:val="21"/>
                      <w:szCs w:val="21"/>
                      <w:highlight w:val="none"/>
                      <w:lang w:val="en-US" w:eastAsia="zh-CN"/>
                    </w:rPr>
                    <w:t>各个设备连接用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宋体" w:cs="Times New Roman"/>
                      <w:b w:val="0"/>
                      <w:bCs/>
                      <w:snapToGrid w:val="0"/>
                      <w:color w:val="auto"/>
                      <w:kern w:val="0"/>
                      <w:sz w:val="21"/>
                      <w:szCs w:val="21"/>
                      <w:lang w:val="en-US" w:eastAsia="zh-CN" w:bidi="ar-SA"/>
                      <w14:ligatures w14:val="none"/>
                    </w:rPr>
                  </w:pPr>
                  <w:r>
                    <w:rPr>
                      <w:rFonts w:hint="eastAsia" w:cs="Times New Roman"/>
                      <w:b w:val="0"/>
                      <w:bCs/>
                      <w:snapToGrid w:val="0"/>
                      <w:color w:val="auto"/>
                      <w:kern w:val="0"/>
                      <w:sz w:val="21"/>
                      <w:szCs w:val="21"/>
                      <w:lang w:val="en-US" w:eastAsia="zh-CN" w:bidi="ar-SA"/>
                      <w14:ligatures w14:val="none"/>
                    </w:rPr>
                    <w:t>11</w:t>
                  </w:r>
                </w:p>
              </w:tc>
              <w:tc>
                <w:tcPr>
                  <w:tcW w:w="92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造粒机</w:t>
                  </w:r>
                </w:p>
              </w:tc>
              <w:tc>
                <w:tcPr>
                  <w:tcW w:w="95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sz w:val="21"/>
                      <w:szCs w:val="21"/>
                      <w:lang w:val="en-US" w:eastAsia="zh-CN"/>
                    </w:rPr>
                  </w:pPr>
                  <w:r>
                    <w:rPr>
                      <w:rFonts w:hint="eastAsia" w:cs="Times New Roman"/>
                      <w:b w:val="0"/>
                      <w:bCs/>
                      <w:color w:val="auto"/>
                      <w:sz w:val="21"/>
                      <w:szCs w:val="21"/>
                      <w:lang w:val="en-US" w:eastAsia="zh-CN"/>
                    </w:rPr>
                    <w:t>/</w:t>
                  </w:r>
                </w:p>
              </w:tc>
              <w:tc>
                <w:tcPr>
                  <w:tcW w:w="52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台</w:t>
                  </w:r>
                </w:p>
              </w:tc>
              <w:tc>
                <w:tcPr>
                  <w:tcW w:w="49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1668"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辣椒粉造粒</w:t>
                  </w:r>
                </w:p>
              </w:tc>
            </w:tr>
          </w:tbl>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2.2主要产品及产能</w:t>
            </w:r>
          </w:p>
          <w:p>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w:t>
            </w:r>
            <w:r>
              <w:rPr>
                <w:rFonts w:hint="eastAsia" w:cs="Times New Roman"/>
                <w:color w:val="auto"/>
                <w:sz w:val="24"/>
                <w:szCs w:val="24"/>
                <w:highlight w:val="none"/>
                <w:lang w:val="en-US" w:eastAsia="zh-CN"/>
              </w:rPr>
              <w:t>产品方案见表</w:t>
            </w:r>
            <w:r>
              <w:rPr>
                <w:rFonts w:hint="default" w:ascii="Times New Roman" w:hAnsi="Times New Roman" w:eastAsia="宋体" w:cs="Times New Roman"/>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表2</w:t>
            </w:r>
            <w:r>
              <w:rPr>
                <w:rFonts w:hint="eastAsia" w:ascii="Times New Roman" w:hAnsi="Times New Roman" w:eastAsia="宋体" w:cs="Times New Roman"/>
                <w:b/>
                <w:bCs/>
                <w:color w:val="auto"/>
                <w:sz w:val="21"/>
                <w:szCs w:val="21"/>
                <w:lang w:val="en-US" w:eastAsia="zh-CN"/>
              </w:rPr>
              <w:t>.2-1</w:t>
            </w:r>
            <w:r>
              <w:rPr>
                <w:rFonts w:hint="default" w:ascii="Times New Roman" w:hAnsi="Times New Roman" w:eastAsia="宋体" w:cs="Times New Roman"/>
                <w:b/>
                <w:bCs/>
                <w:color w:val="auto"/>
                <w:sz w:val="21"/>
                <w:szCs w:val="21"/>
                <w:lang w:val="en-US" w:eastAsia="zh-CN"/>
              </w:rPr>
              <w:t xml:space="preserve">  项目主要产品一览表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0"/>
              <w:gridCol w:w="1689"/>
              <w:gridCol w:w="2413"/>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3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产品种类</w:t>
                  </w:r>
                </w:p>
              </w:tc>
              <w:tc>
                <w:tcPr>
                  <w:tcW w:w="102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主要生产单元</w:t>
                  </w:r>
                </w:p>
              </w:tc>
              <w:tc>
                <w:tcPr>
                  <w:tcW w:w="14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产能</w:t>
                  </w:r>
                </w:p>
              </w:tc>
              <w:tc>
                <w:tcPr>
                  <w:tcW w:w="78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3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2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4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val="en-US"/>
                    </w:rPr>
                  </w:pPr>
                  <w:r>
                    <w:rPr>
                      <w:rFonts w:hint="default" w:ascii="Times New Roman" w:hAnsi="Times New Roman" w:eastAsia="宋体" w:cs="Times New Roman"/>
                      <w:bCs/>
                      <w:color w:val="auto"/>
                      <w:sz w:val="21"/>
                      <w:szCs w:val="21"/>
                      <w:highlight w:val="none"/>
                      <w:lang w:val="en-US" w:eastAsia="zh-CN"/>
                    </w:rPr>
                    <w:t>万</w:t>
                  </w:r>
                  <w:r>
                    <w:rPr>
                      <w:rFonts w:hint="eastAsia" w:ascii="Times New Roman" w:hAnsi="Times New Roman" w:eastAsia="宋体" w:cs="Times New Roman"/>
                      <w:bCs/>
                      <w:color w:val="auto"/>
                      <w:sz w:val="21"/>
                      <w:szCs w:val="21"/>
                      <w:highlight w:val="none"/>
                      <w:lang w:val="en-US" w:eastAsia="zh-CN"/>
                    </w:rPr>
                    <w:t>t/a</w:t>
                  </w:r>
                </w:p>
              </w:tc>
              <w:tc>
                <w:tcPr>
                  <w:tcW w:w="78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辣椒颗粒</w:t>
                  </w:r>
                </w:p>
              </w:tc>
              <w:tc>
                <w:tcPr>
                  <w:tcW w:w="10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eastAsia" w:cs="Times New Roman"/>
                      <w:bCs/>
                      <w:color w:val="auto"/>
                      <w:sz w:val="21"/>
                      <w:szCs w:val="21"/>
                      <w:highlight w:val="none"/>
                      <w:lang w:val="en-US" w:eastAsia="zh-CN"/>
                    </w:rPr>
                    <w:t>造粒</w:t>
                  </w:r>
                </w:p>
              </w:tc>
              <w:tc>
                <w:tcPr>
                  <w:tcW w:w="14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sz w:val="21"/>
                      <w:szCs w:val="21"/>
                      <w:highlight w:val="none"/>
                      <w:lang w:val="en-US" w:eastAsia="zh-CN"/>
                    </w:rPr>
                    <w:t>2.8</w:t>
                  </w:r>
                </w:p>
              </w:tc>
              <w:tc>
                <w:tcPr>
                  <w:tcW w:w="7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val="en-US"/>
                    </w:rPr>
                  </w:pPr>
                  <w:r>
                    <w:rPr>
                      <w:rFonts w:hint="eastAsia" w:cs="Times New Roman"/>
                      <w:color w:val="auto"/>
                      <w:sz w:val="21"/>
                      <w:szCs w:val="21"/>
                      <w:highlight w:val="none"/>
                      <w:lang w:val="en-US" w:eastAsia="zh-CN"/>
                    </w:rPr>
                    <w:t>/</w:t>
                  </w:r>
                </w:p>
              </w:tc>
            </w:tr>
          </w:tbl>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rPr>
              <w:t>2.3</w:t>
            </w:r>
            <w:r>
              <w:rPr>
                <w:rFonts w:hint="default" w:ascii="Times New Roman" w:hAnsi="Times New Roman" w:eastAsia="宋体" w:cs="Times New Roman"/>
                <w:b/>
                <w:bCs/>
                <w:color w:val="auto"/>
                <w:lang w:val="en-US" w:eastAsia="zh-CN"/>
              </w:rPr>
              <w:t>主要原辅材料、能源</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本项目产品为</w:t>
            </w:r>
            <w:r>
              <w:rPr>
                <w:rFonts w:hint="eastAsia" w:cs="Times New Roman"/>
                <w:color w:val="auto"/>
                <w:sz w:val="24"/>
                <w:szCs w:val="24"/>
                <w:lang w:val="en-US" w:eastAsia="zh-CN"/>
              </w:rPr>
              <w:t>辣椒颗粒</w:t>
            </w:r>
            <w:r>
              <w:rPr>
                <w:rFonts w:hint="default" w:ascii="Times New Roman" w:hAnsi="Times New Roman" w:eastAsia="宋体" w:cs="Times New Roman"/>
                <w:color w:val="auto"/>
                <w:sz w:val="24"/>
                <w:szCs w:val="24"/>
              </w:rPr>
              <w:t>，</w:t>
            </w:r>
            <w:r>
              <w:rPr>
                <w:rFonts w:hint="eastAsia" w:cs="Times New Roman"/>
                <w:color w:val="auto"/>
                <w:sz w:val="24"/>
                <w:szCs w:val="24"/>
                <w:lang w:val="en-US" w:eastAsia="zh-CN"/>
              </w:rPr>
              <w:t>所用</w:t>
            </w:r>
            <w:r>
              <w:rPr>
                <w:rFonts w:hint="default" w:ascii="Times New Roman" w:hAnsi="Times New Roman" w:eastAsia="宋体" w:cs="Times New Roman"/>
                <w:color w:val="auto"/>
                <w:sz w:val="24"/>
                <w:szCs w:val="24"/>
              </w:rPr>
              <w:t>原辅材料情况见下表</w:t>
            </w:r>
            <w:r>
              <w:rPr>
                <w:rFonts w:hint="eastAsia" w:cs="Times New Roman"/>
                <w:color w:val="auto"/>
                <w:sz w:val="24"/>
                <w:szCs w:val="24"/>
                <w:lang w:val="en-US" w:eastAsia="zh-CN"/>
              </w:rPr>
              <w:t>2.3-1</w:t>
            </w:r>
            <w:r>
              <w:rPr>
                <w:rFonts w:hint="default" w:ascii="Times New Roman" w:hAnsi="Times New Roman" w:eastAsia="宋体" w:cs="Times New Roman"/>
                <w:color w:val="auto"/>
                <w:sz w:val="24"/>
                <w:szCs w:val="24"/>
              </w:rPr>
              <w:t>。</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表2</w:t>
            </w:r>
            <w:r>
              <w:rPr>
                <w:rFonts w:hint="eastAsia" w:ascii="Times New Roman" w:hAnsi="Times New Roman" w:eastAsia="宋体" w:cs="Times New Roman"/>
                <w:b/>
                <w:bCs/>
                <w:color w:val="auto"/>
                <w:sz w:val="21"/>
                <w:szCs w:val="21"/>
                <w:lang w:val="en-US" w:eastAsia="zh-CN"/>
              </w:rPr>
              <w:t>.3</w:t>
            </w:r>
            <w:r>
              <w:rPr>
                <w:rFonts w:hint="default" w:ascii="Times New Roman" w:hAnsi="Times New Roman" w:eastAsia="宋体" w:cs="Times New Roman"/>
                <w:b/>
                <w:bCs/>
                <w:color w:val="auto"/>
                <w:sz w:val="21"/>
                <w:szCs w:val="21"/>
                <w:lang w:val="en-US" w:eastAsia="zh-CN"/>
              </w:rPr>
              <w:t>-</w:t>
            </w:r>
            <w:r>
              <w:rPr>
                <w:rFonts w:hint="eastAsia" w:ascii="Times New Roman" w:hAnsi="Times New Roman" w:eastAsia="宋体" w:cs="Times New Roman"/>
                <w:b/>
                <w:bCs/>
                <w:color w:val="auto"/>
                <w:sz w:val="21"/>
                <w:szCs w:val="21"/>
                <w:lang w:val="en-US" w:eastAsia="zh-CN"/>
              </w:rPr>
              <w:t>1</w:t>
            </w:r>
            <w:r>
              <w:rPr>
                <w:rFonts w:hint="default" w:ascii="Times New Roman" w:hAnsi="Times New Roman" w:eastAsia="宋体" w:cs="Times New Roman"/>
                <w:b/>
                <w:bCs/>
                <w:color w:val="auto"/>
                <w:sz w:val="21"/>
                <w:szCs w:val="21"/>
                <w:lang w:val="en-US" w:eastAsia="zh-CN"/>
              </w:rPr>
              <w:t xml:space="preserve">  主要原辅料、能源一览表</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25"/>
              <w:gridCol w:w="1290"/>
              <w:gridCol w:w="939"/>
              <w:gridCol w:w="2269"/>
              <w:gridCol w:w="17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0" w:type="dxa"/>
                  <w:tcBorders>
                    <w:tl2br w:val="nil"/>
                    <w:tr2bl w:val="nil"/>
                  </w:tcBorders>
                  <w:vAlign w:val="center"/>
                </w:tcPr>
                <w:p>
                  <w:pPr>
                    <w:spacing w:line="240" w:lineRule="auto"/>
                    <w:jc w:val="center"/>
                    <w:textAlignment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color w:val="auto"/>
                      <w:sz w:val="21"/>
                      <w:szCs w:val="21"/>
                    </w:rPr>
                    <w:t>序号</w:t>
                  </w:r>
                </w:p>
              </w:tc>
              <w:tc>
                <w:tcPr>
                  <w:tcW w:w="1225" w:type="dxa"/>
                  <w:tcBorders>
                    <w:tl2br w:val="nil"/>
                    <w:tr2bl w:val="nil"/>
                  </w:tcBorders>
                  <w:vAlign w:val="center"/>
                </w:tcPr>
                <w:p>
                  <w:pPr>
                    <w:spacing w:line="240" w:lineRule="auto"/>
                    <w:jc w:val="center"/>
                    <w:textAlignment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名称</w:t>
                  </w:r>
                </w:p>
              </w:tc>
              <w:tc>
                <w:tcPr>
                  <w:tcW w:w="1290" w:type="dxa"/>
                  <w:tcBorders>
                    <w:tl2br w:val="nil"/>
                    <w:tr2bl w:val="nil"/>
                  </w:tcBorders>
                  <w:vAlign w:val="center"/>
                </w:tcPr>
                <w:p>
                  <w:pPr>
                    <w:spacing w:line="240" w:lineRule="auto"/>
                    <w:jc w:val="center"/>
                    <w:textAlignment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消耗量</w:t>
                  </w:r>
                </w:p>
              </w:tc>
              <w:tc>
                <w:tcPr>
                  <w:tcW w:w="939" w:type="dxa"/>
                  <w:tcBorders>
                    <w:tl2br w:val="nil"/>
                    <w:tr2bl w:val="nil"/>
                  </w:tcBorders>
                  <w:vAlign w:val="center"/>
                </w:tcPr>
                <w:p>
                  <w:pPr>
                    <w:spacing w:line="240" w:lineRule="auto"/>
                    <w:jc w:val="center"/>
                    <w:textAlignment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单位</w:t>
                  </w:r>
                </w:p>
              </w:tc>
              <w:tc>
                <w:tcPr>
                  <w:tcW w:w="2269" w:type="dxa"/>
                  <w:tcBorders>
                    <w:tl2br w:val="nil"/>
                    <w:tr2bl w:val="nil"/>
                  </w:tcBorders>
                  <w:vAlign w:val="center"/>
                </w:tcPr>
                <w:p>
                  <w:pPr>
                    <w:spacing w:line="240" w:lineRule="auto"/>
                    <w:jc w:val="center"/>
                    <w:textAlignment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来源</w:t>
                  </w:r>
                </w:p>
              </w:tc>
              <w:tc>
                <w:tcPr>
                  <w:tcW w:w="1730" w:type="dxa"/>
                  <w:tcBorders>
                    <w:tl2br w:val="nil"/>
                    <w:tr2bl w:val="nil"/>
                  </w:tcBorders>
                  <w:vAlign w:val="center"/>
                </w:tcPr>
                <w:p>
                  <w:pPr>
                    <w:spacing w:line="240" w:lineRule="auto"/>
                    <w:jc w:val="center"/>
                    <w:textAlignment w:val="center"/>
                    <w:rPr>
                      <w:rFonts w:hint="eastAsia" w:ascii="Times New Roman" w:hAnsi="Times New Roman" w:eastAsia="宋体" w:cs="Times New Roman"/>
                      <w:b/>
                      <w:color w:val="auto"/>
                      <w:sz w:val="21"/>
                      <w:szCs w:val="21"/>
                      <w:lang w:val="en-US" w:eastAsia="zh-CN"/>
                    </w:rPr>
                  </w:pPr>
                  <w:r>
                    <w:rPr>
                      <w:rFonts w:hint="eastAsia" w:cs="Times New Roman"/>
                      <w:b/>
                      <w:color w:val="auto"/>
                      <w:sz w:val="21"/>
                      <w:szCs w:val="21"/>
                      <w:lang w:val="en-US" w:eastAsia="zh-CN"/>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0" w:type="dxa"/>
                  <w:tcBorders>
                    <w:tl2br w:val="nil"/>
                    <w:tr2bl w:val="nil"/>
                  </w:tcBorders>
                  <w:vAlign w:val="center"/>
                </w:tcPr>
                <w:p>
                  <w:pPr>
                    <w:spacing w:line="24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225" w:type="dxa"/>
                  <w:tcBorders>
                    <w:tl2br w:val="nil"/>
                    <w:tr2bl w:val="nil"/>
                  </w:tcBorders>
                  <w:vAlign w:val="center"/>
                </w:tcPr>
                <w:p>
                  <w:pPr>
                    <w:pStyle w:val="53"/>
                    <w:spacing w:line="240" w:lineRule="auto"/>
                    <w:ind w:firstLine="0" w:firstLineChars="0"/>
                    <w:jc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eastAsia" w:cs="Times New Roman"/>
                      <w:snapToGrid w:val="0"/>
                      <w:color w:val="auto"/>
                      <w:kern w:val="0"/>
                      <w:sz w:val="21"/>
                      <w:szCs w:val="21"/>
                      <w:lang w:val="en-US" w:eastAsia="zh-CN" w:bidi="ar-SA"/>
                      <w14:ligatures w14:val="none"/>
                    </w:rPr>
                    <w:t>辣椒</w:t>
                  </w:r>
                </w:p>
              </w:tc>
              <w:tc>
                <w:tcPr>
                  <w:tcW w:w="1290"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2.85万</w:t>
                  </w:r>
                </w:p>
              </w:tc>
              <w:tc>
                <w:tcPr>
                  <w:tcW w:w="939" w:type="dxa"/>
                  <w:tcBorders>
                    <w:tl2br w:val="nil"/>
                    <w:tr2bl w:val="nil"/>
                  </w:tcBorders>
                  <w:vAlign w:val="center"/>
                </w:tcPr>
                <w:p>
                  <w:pPr>
                    <w:spacing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t/a</w:t>
                  </w:r>
                </w:p>
              </w:tc>
              <w:tc>
                <w:tcPr>
                  <w:tcW w:w="2269"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收购</w:t>
                  </w:r>
                </w:p>
              </w:tc>
              <w:tc>
                <w:tcPr>
                  <w:tcW w:w="1730" w:type="dxa"/>
                  <w:tcBorders>
                    <w:tl2br w:val="nil"/>
                    <w:tr2bl w:val="nil"/>
                  </w:tcBorders>
                  <w:vAlign w:val="center"/>
                </w:tcPr>
                <w:p>
                  <w:pPr>
                    <w:spacing w:line="240" w:lineRule="auto"/>
                    <w:jc w:val="center"/>
                    <w:textAlignment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0" w:type="dxa"/>
                  <w:tcBorders>
                    <w:tl2br w:val="nil"/>
                    <w:tr2bl w:val="nil"/>
                  </w:tcBorders>
                  <w:vAlign w:val="center"/>
                </w:tcPr>
                <w:p>
                  <w:pPr>
                    <w:spacing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w:t>
                  </w:r>
                </w:p>
              </w:tc>
              <w:tc>
                <w:tcPr>
                  <w:tcW w:w="1225" w:type="dxa"/>
                  <w:tcBorders>
                    <w:tl2br w:val="nil"/>
                    <w:tr2bl w:val="nil"/>
                  </w:tcBorders>
                  <w:vAlign w:val="center"/>
                </w:tcPr>
                <w:p>
                  <w:pPr>
                    <w:pStyle w:val="53"/>
                    <w:spacing w:line="240" w:lineRule="auto"/>
                    <w:ind w:firstLine="0" w:firstLineChars="0"/>
                    <w:jc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default" w:ascii="Times New Roman" w:hAnsi="Times New Roman" w:eastAsia="宋体" w:cs="Times New Roman"/>
                      <w:snapToGrid w:val="0"/>
                      <w:color w:val="auto"/>
                      <w:kern w:val="0"/>
                      <w:sz w:val="21"/>
                      <w:szCs w:val="21"/>
                      <w:lang w:val="en-US" w:eastAsia="zh-CN" w:bidi="ar-SA"/>
                      <w14:ligatures w14:val="none"/>
                    </w:rPr>
                    <w:t>水</w:t>
                  </w:r>
                </w:p>
              </w:tc>
              <w:tc>
                <w:tcPr>
                  <w:tcW w:w="1290"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cs="Times New Roman"/>
                      <w:i w:val="0"/>
                      <w:iCs w:val="0"/>
                      <w:snapToGrid w:val="0"/>
                      <w:color w:val="auto"/>
                      <w:kern w:val="0"/>
                      <w:sz w:val="21"/>
                      <w:szCs w:val="21"/>
                      <w:u w:val="none"/>
                      <w:lang w:val="en-US" w:eastAsia="zh-CN" w:bidi="ar"/>
                      <w14:ligatures w14:val="none"/>
                    </w:rPr>
                    <w:t>500</w:t>
                  </w:r>
                </w:p>
              </w:tc>
              <w:tc>
                <w:tcPr>
                  <w:tcW w:w="939" w:type="dxa"/>
                  <w:tcBorders>
                    <w:tl2br w:val="nil"/>
                    <w:tr2bl w:val="nil"/>
                  </w:tcBorders>
                  <w:vAlign w:val="center"/>
                </w:tcPr>
                <w:p>
                  <w:pPr>
                    <w:spacing w:line="240" w:lineRule="auto"/>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rPr>
                    <w:t>/a</w:t>
                  </w:r>
                </w:p>
              </w:tc>
              <w:tc>
                <w:tcPr>
                  <w:tcW w:w="2269" w:type="dxa"/>
                  <w:tcBorders>
                    <w:tl2br w:val="nil"/>
                    <w:tr2bl w:val="nil"/>
                  </w:tcBorders>
                  <w:shd w:val="clear" w:color="auto" w:fill="auto"/>
                  <w:vAlign w:val="center"/>
                </w:tcPr>
                <w:p>
                  <w:pPr>
                    <w:spacing w:line="240" w:lineRule="auto"/>
                    <w:jc w:val="center"/>
                    <w:textAlignment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eastAsia" w:cs="Times New Roman"/>
                      <w:color w:val="auto"/>
                      <w:sz w:val="21"/>
                      <w:szCs w:val="21"/>
                      <w:lang w:val="en-US" w:eastAsia="zh-CN"/>
                    </w:rPr>
                    <w:t>园区管网供应</w:t>
                  </w:r>
                </w:p>
              </w:tc>
              <w:tc>
                <w:tcPr>
                  <w:tcW w:w="1730" w:type="dxa"/>
                  <w:tcBorders>
                    <w:tl2br w:val="nil"/>
                    <w:tr2bl w:val="nil"/>
                  </w:tcBorders>
                  <w:vAlign w:val="center"/>
                </w:tcPr>
                <w:p>
                  <w:pPr>
                    <w:spacing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0" w:type="dxa"/>
                  <w:tcBorders>
                    <w:tl2br w:val="nil"/>
                    <w:tr2bl w:val="nil"/>
                  </w:tcBorders>
                  <w:vAlign w:val="center"/>
                </w:tcPr>
                <w:p>
                  <w:pPr>
                    <w:spacing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w:t>
                  </w:r>
                </w:p>
              </w:tc>
              <w:tc>
                <w:tcPr>
                  <w:tcW w:w="1225" w:type="dxa"/>
                  <w:tcBorders>
                    <w:tl2br w:val="nil"/>
                    <w:tr2bl w:val="nil"/>
                  </w:tcBorders>
                  <w:vAlign w:val="center"/>
                </w:tcPr>
                <w:p>
                  <w:pPr>
                    <w:pStyle w:val="53"/>
                    <w:spacing w:line="240" w:lineRule="auto"/>
                    <w:ind w:firstLine="0" w:firstLineChars="0"/>
                    <w:jc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default" w:ascii="Times New Roman" w:hAnsi="Times New Roman" w:eastAsia="宋体" w:cs="Times New Roman"/>
                      <w:snapToGrid w:val="0"/>
                      <w:color w:val="auto"/>
                      <w:kern w:val="0"/>
                      <w:sz w:val="21"/>
                      <w:szCs w:val="21"/>
                      <w:lang w:val="en-US" w:eastAsia="zh-CN" w:bidi="ar-SA"/>
                      <w14:ligatures w14:val="none"/>
                    </w:rPr>
                    <w:t>电</w:t>
                  </w:r>
                </w:p>
              </w:tc>
              <w:tc>
                <w:tcPr>
                  <w:tcW w:w="1290"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cs="Times New Roman"/>
                      <w:i w:val="0"/>
                      <w:iCs w:val="0"/>
                      <w:snapToGrid w:val="0"/>
                      <w:color w:val="auto"/>
                      <w:kern w:val="0"/>
                      <w:sz w:val="21"/>
                      <w:szCs w:val="21"/>
                      <w:u w:val="none"/>
                      <w:lang w:val="en-US" w:eastAsia="zh-CN" w:bidi="ar"/>
                      <w14:ligatures w14:val="none"/>
                    </w:rPr>
                    <w:t>400000</w:t>
                  </w:r>
                </w:p>
              </w:tc>
              <w:tc>
                <w:tcPr>
                  <w:tcW w:w="939" w:type="dxa"/>
                  <w:tcBorders>
                    <w:tl2br w:val="nil"/>
                    <w:tr2bl w:val="nil"/>
                  </w:tcBorders>
                  <w:vAlign w:val="center"/>
                </w:tcPr>
                <w:p>
                  <w:pPr>
                    <w:spacing w:line="240" w:lineRule="auto"/>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kW·h</w:t>
                  </w:r>
                  <w:r>
                    <w:rPr>
                      <w:rFonts w:hint="default" w:ascii="Times New Roman" w:hAnsi="Times New Roman" w:eastAsia="宋体" w:cs="Times New Roman"/>
                      <w:color w:val="auto"/>
                      <w:sz w:val="21"/>
                      <w:szCs w:val="21"/>
                    </w:rPr>
                    <w:t>/a</w:t>
                  </w:r>
                </w:p>
              </w:tc>
              <w:tc>
                <w:tcPr>
                  <w:tcW w:w="2269" w:type="dxa"/>
                  <w:tcBorders>
                    <w:tl2br w:val="nil"/>
                    <w:tr2bl w:val="nil"/>
                  </w:tcBorders>
                  <w:shd w:val="clear" w:color="auto" w:fill="auto"/>
                  <w:vAlign w:val="center"/>
                </w:tcPr>
                <w:p>
                  <w:pPr>
                    <w:spacing w:line="240" w:lineRule="auto"/>
                    <w:jc w:val="center"/>
                    <w:textAlignment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eastAsia" w:cs="Times New Roman"/>
                      <w:color w:val="auto"/>
                      <w:sz w:val="21"/>
                      <w:szCs w:val="21"/>
                      <w:lang w:val="en-US" w:eastAsia="zh-CN"/>
                    </w:rPr>
                    <w:t>园区电网供应</w:t>
                  </w:r>
                </w:p>
              </w:tc>
              <w:tc>
                <w:tcPr>
                  <w:tcW w:w="1730" w:type="dxa"/>
                  <w:tcBorders>
                    <w:tl2br w:val="nil"/>
                    <w:tr2bl w:val="nil"/>
                  </w:tcBorders>
                  <w:vAlign w:val="center"/>
                </w:tcPr>
                <w:p>
                  <w:pPr>
                    <w:spacing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r>
          </w:tbl>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表2</w:t>
            </w:r>
            <w:r>
              <w:rPr>
                <w:rFonts w:hint="eastAsia" w:ascii="Times New Roman" w:hAnsi="Times New Roman" w:eastAsia="宋体" w:cs="Times New Roman"/>
                <w:b/>
                <w:bCs/>
                <w:color w:val="auto"/>
                <w:sz w:val="21"/>
                <w:szCs w:val="21"/>
                <w:lang w:val="en-US" w:eastAsia="zh-CN"/>
              </w:rPr>
              <w:t>.3</w:t>
            </w:r>
            <w:r>
              <w:rPr>
                <w:rFonts w:hint="default" w:ascii="Times New Roman" w:hAnsi="Times New Roman" w:eastAsia="宋体" w:cs="Times New Roman"/>
                <w:b/>
                <w:bCs/>
                <w:color w:val="auto"/>
                <w:sz w:val="21"/>
                <w:szCs w:val="21"/>
                <w:lang w:val="en-US" w:eastAsia="zh-CN"/>
              </w:rPr>
              <w:t>-</w:t>
            </w:r>
            <w:r>
              <w:rPr>
                <w:rFonts w:hint="eastAsia"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b/>
                <w:bCs/>
                <w:color w:val="auto"/>
                <w:sz w:val="21"/>
                <w:szCs w:val="21"/>
                <w:lang w:val="en-US" w:eastAsia="zh-CN"/>
              </w:rPr>
              <w:t xml:space="preserve">  </w:t>
            </w:r>
            <w:r>
              <w:rPr>
                <w:rFonts w:hint="eastAsia" w:ascii="Times New Roman" w:hAnsi="Times New Roman" w:eastAsia="宋体" w:cs="Times New Roman"/>
                <w:b/>
                <w:bCs/>
                <w:color w:val="auto"/>
                <w:sz w:val="21"/>
                <w:szCs w:val="21"/>
                <w:lang w:val="en-US" w:eastAsia="zh-CN"/>
              </w:rPr>
              <w:t>项目</w:t>
            </w:r>
            <w:r>
              <w:rPr>
                <w:rFonts w:hint="default" w:ascii="Times New Roman" w:hAnsi="Times New Roman" w:eastAsia="宋体" w:cs="Times New Roman"/>
                <w:b/>
                <w:bCs/>
                <w:color w:val="auto"/>
                <w:sz w:val="21"/>
                <w:szCs w:val="21"/>
                <w:lang w:val="en-US" w:eastAsia="zh-CN"/>
              </w:rPr>
              <w:t>物料平衡</w:t>
            </w:r>
            <w:r>
              <w:rPr>
                <w:rFonts w:hint="eastAsia" w:ascii="Times New Roman" w:hAnsi="Times New Roman" w:eastAsia="宋体" w:cs="Times New Roman"/>
                <w:b/>
                <w:bCs/>
                <w:color w:val="auto"/>
                <w:sz w:val="21"/>
                <w:szCs w:val="21"/>
                <w:lang w:val="en-US" w:eastAsia="zh-CN"/>
              </w:rPr>
              <w:t>一览</w:t>
            </w:r>
            <w:r>
              <w:rPr>
                <w:rFonts w:hint="default" w:ascii="Times New Roman" w:hAnsi="Times New Roman" w:eastAsia="宋体" w:cs="Times New Roman"/>
                <w:b/>
                <w:bCs/>
                <w:color w:val="auto"/>
                <w:sz w:val="21"/>
                <w:szCs w:val="21"/>
                <w:lang w:val="en-US" w:eastAsia="zh-CN"/>
              </w:rPr>
              <w:t>表  单位（t/a）</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77"/>
              <w:gridCol w:w="1201"/>
              <w:gridCol w:w="1184"/>
              <w:gridCol w:w="2615"/>
              <w:gridCol w:w="11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077" w:type="dxa"/>
                  <w:vMerge w:val="restart"/>
                  <w:tcBorders>
                    <w:tl2br w:val="nil"/>
                    <w:tr2bl w:val="nil"/>
                  </w:tcBorders>
                  <w:vAlign w:val="center"/>
                </w:tcPr>
                <w:p>
                  <w:pPr>
                    <w:spacing w:line="240" w:lineRule="auto"/>
                    <w:jc w:val="center"/>
                    <w:textAlignment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产品</w:t>
                  </w:r>
                </w:p>
              </w:tc>
              <w:tc>
                <w:tcPr>
                  <w:tcW w:w="2385" w:type="dxa"/>
                  <w:gridSpan w:val="2"/>
                  <w:tcBorders>
                    <w:tl2br w:val="nil"/>
                    <w:tr2bl w:val="nil"/>
                  </w:tcBorders>
                  <w:vAlign w:val="center"/>
                </w:tcPr>
                <w:p>
                  <w:pPr>
                    <w:spacing w:line="240" w:lineRule="auto"/>
                    <w:jc w:val="center"/>
                    <w:textAlignment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投入</w:t>
                  </w:r>
                </w:p>
              </w:tc>
              <w:tc>
                <w:tcPr>
                  <w:tcW w:w="3801" w:type="dxa"/>
                  <w:gridSpan w:val="2"/>
                  <w:tcBorders>
                    <w:tl2br w:val="nil"/>
                    <w:tr2bl w:val="nil"/>
                  </w:tcBorders>
                  <w:vAlign w:val="center"/>
                </w:tcPr>
                <w:p>
                  <w:pPr>
                    <w:spacing w:line="240" w:lineRule="auto"/>
                    <w:jc w:val="center"/>
                    <w:textAlignment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产出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077" w:type="dxa"/>
                  <w:vMerge w:val="continue"/>
                  <w:tcBorders>
                    <w:tl2br w:val="nil"/>
                    <w:tr2bl w:val="nil"/>
                  </w:tcBorders>
                  <w:vAlign w:val="center"/>
                </w:tcPr>
                <w:p>
                  <w:pPr>
                    <w:spacing w:line="240" w:lineRule="auto"/>
                    <w:jc w:val="center"/>
                    <w:textAlignment w:val="center"/>
                    <w:rPr>
                      <w:rFonts w:hint="default" w:ascii="Times New Roman" w:hAnsi="Times New Roman" w:eastAsia="宋体" w:cs="Times New Roman"/>
                      <w:b/>
                      <w:bCs/>
                      <w:color w:val="auto"/>
                      <w:sz w:val="21"/>
                      <w:szCs w:val="21"/>
                      <w:highlight w:val="none"/>
                    </w:rPr>
                  </w:pPr>
                </w:p>
              </w:tc>
              <w:tc>
                <w:tcPr>
                  <w:tcW w:w="1201" w:type="dxa"/>
                  <w:tcBorders>
                    <w:tl2br w:val="nil"/>
                    <w:tr2bl w:val="nil"/>
                  </w:tcBorders>
                  <w:vAlign w:val="center"/>
                </w:tcPr>
                <w:p>
                  <w:pPr>
                    <w:spacing w:line="240" w:lineRule="auto"/>
                    <w:jc w:val="center"/>
                    <w:textAlignment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名称</w:t>
                  </w:r>
                </w:p>
              </w:tc>
              <w:tc>
                <w:tcPr>
                  <w:tcW w:w="1184" w:type="dxa"/>
                  <w:tcBorders>
                    <w:tl2br w:val="nil"/>
                    <w:tr2bl w:val="nil"/>
                  </w:tcBorders>
                  <w:vAlign w:val="center"/>
                </w:tcPr>
                <w:p>
                  <w:pPr>
                    <w:spacing w:line="240" w:lineRule="auto"/>
                    <w:jc w:val="center"/>
                    <w:textAlignment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数量</w:t>
                  </w:r>
                </w:p>
              </w:tc>
              <w:tc>
                <w:tcPr>
                  <w:tcW w:w="2615" w:type="dxa"/>
                  <w:tcBorders>
                    <w:tl2br w:val="nil"/>
                    <w:tr2bl w:val="nil"/>
                  </w:tcBorders>
                  <w:vAlign w:val="center"/>
                </w:tcPr>
                <w:p>
                  <w:pPr>
                    <w:spacing w:line="240" w:lineRule="auto"/>
                    <w:jc w:val="center"/>
                    <w:textAlignment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名称</w:t>
                  </w:r>
                </w:p>
              </w:tc>
              <w:tc>
                <w:tcPr>
                  <w:tcW w:w="1186" w:type="dxa"/>
                  <w:tcBorders>
                    <w:tl2br w:val="nil"/>
                    <w:tr2bl w:val="nil"/>
                  </w:tcBorders>
                  <w:vAlign w:val="center"/>
                </w:tcPr>
                <w:p>
                  <w:pPr>
                    <w:spacing w:line="240" w:lineRule="auto"/>
                    <w:jc w:val="center"/>
                    <w:textAlignment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数量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77" w:type="dxa"/>
                  <w:vMerge w:val="restart"/>
                  <w:tcBorders>
                    <w:tl2br w:val="nil"/>
                    <w:tr2bl w:val="nil"/>
                  </w:tcBorders>
                  <w:vAlign w:val="center"/>
                </w:tcPr>
                <w:p>
                  <w:pPr>
                    <w:spacing w:line="240" w:lineRule="auto"/>
                    <w:jc w:val="center"/>
                    <w:textAlignment w:val="center"/>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辣椒</w:t>
                  </w:r>
                  <w:r>
                    <w:rPr>
                      <w:rFonts w:hint="eastAsia" w:cs="Times New Roman"/>
                      <w:bCs/>
                      <w:color w:val="auto"/>
                      <w:sz w:val="21"/>
                      <w:szCs w:val="21"/>
                      <w:highlight w:val="none"/>
                      <w:lang w:val="en-US" w:eastAsia="zh-CN"/>
                    </w:rPr>
                    <w:t>粒</w:t>
                  </w:r>
                </w:p>
              </w:tc>
              <w:tc>
                <w:tcPr>
                  <w:tcW w:w="1201" w:type="dxa"/>
                  <w:vMerge w:val="restart"/>
                  <w:tcBorders>
                    <w:tl2br w:val="nil"/>
                    <w:tr2bl w:val="nil"/>
                  </w:tcBorders>
                  <w:vAlign w:val="center"/>
                </w:tcPr>
                <w:p>
                  <w:pPr>
                    <w:pStyle w:val="53"/>
                    <w:spacing w:line="240" w:lineRule="auto"/>
                    <w:ind w:firstLine="0" w:firstLineChars="0"/>
                    <w:jc w:val="center"/>
                    <w:rPr>
                      <w:rFonts w:hint="default" w:ascii="Times New Roman" w:hAnsi="Times New Roman" w:eastAsia="宋体" w:cs="Times New Roman"/>
                      <w:color w:val="auto"/>
                      <w:sz w:val="21"/>
                      <w:szCs w:val="21"/>
                      <w:highlight w:val="none"/>
                      <w:lang w:val="en-US"/>
                    </w:rPr>
                  </w:pPr>
                  <w:r>
                    <w:rPr>
                      <w:rFonts w:hint="eastAsia" w:cs="Times New Roman"/>
                      <w:snapToGrid w:val="0"/>
                      <w:color w:val="auto"/>
                      <w:kern w:val="0"/>
                      <w:sz w:val="21"/>
                      <w:szCs w:val="21"/>
                      <w:highlight w:val="none"/>
                      <w:lang w:val="en-US" w:eastAsia="zh-CN" w:bidi="ar-SA"/>
                      <w14:ligatures w14:val="none"/>
                    </w:rPr>
                    <w:t>辣椒</w:t>
                  </w:r>
                </w:p>
              </w:tc>
              <w:tc>
                <w:tcPr>
                  <w:tcW w:w="1184" w:type="dxa"/>
                  <w:vMerge w:val="restart"/>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highlight w:val="none"/>
                      <w:lang w:val="en-US"/>
                    </w:rPr>
                  </w:pPr>
                  <w:r>
                    <w:rPr>
                      <w:rFonts w:hint="eastAsia" w:cs="Times New Roman"/>
                      <w:i w:val="0"/>
                      <w:iCs w:val="0"/>
                      <w:snapToGrid w:val="0"/>
                      <w:color w:val="auto"/>
                      <w:kern w:val="0"/>
                      <w:sz w:val="21"/>
                      <w:szCs w:val="21"/>
                      <w:highlight w:val="none"/>
                      <w:u w:val="none"/>
                      <w:lang w:val="en-US" w:eastAsia="zh-CN" w:bidi="ar"/>
                      <w14:ligatures w14:val="none"/>
                    </w:rPr>
                    <w:t>28500</w:t>
                  </w:r>
                </w:p>
              </w:tc>
              <w:tc>
                <w:tcPr>
                  <w:tcW w:w="261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14:ligatures w14:val="none"/>
                    </w:rPr>
                  </w:pPr>
                  <w:r>
                    <w:rPr>
                      <w:rFonts w:hint="eastAsia" w:cs="Times New Roman"/>
                      <w:bCs/>
                      <w:color w:val="auto"/>
                      <w:sz w:val="21"/>
                      <w:szCs w:val="21"/>
                      <w:highlight w:val="none"/>
                      <w:lang w:val="en-US" w:eastAsia="zh-CN"/>
                    </w:rPr>
                    <w:t>辣椒粒</w:t>
                  </w:r>
                </w:p>
              </w:tc>
              <w:tc>
                <w:tcPr>
                  <w:tcW w:w="1186" w:type="dxa"/>
                  <w:tcBorders>
                    <w:tl2br w:val="nil"/>
                    <w:tr2bl w:val="nil"/>
                  </w:tcBorders>
                  <w:shd w:val="clear" w:color="auto" w:fill="auto"/>
                  <w:vAlign w:val="center"/>
                </w:tcPr>
                <w:p>
                  <w:pPr>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28000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2077" w:type="dxa"/>
                  <w:vMerge w:val="continue"/>
                  <w:tcBorders>
                    <w:tl2br w:val="nil"/>
                    <w:tr2bl w:val="nil"/>
                  </w:tcBorders>
                  <w:vAlign w:val="center"/>
                </w:tcPr>
                <w:p>
                  <w:pPr>
                    <w:spacing w:line="240" w:lineRule="auto"/>
                    <w:jc w:val="center"/>
                    <w:textAlignment w:val="center"/>
                    <w:rPr>
                      <w:rFonts w:hint="default" w:ascii="Times New Roman" w:hAnsi="Times New Roman" w:eastAsia="宋体" w:cs="Times New Roman"/>
                      <w:color w:val="auto"/>
                      <w:sz w:val="21"/>
                      <w:szCs w:val="21"/>
                      <w:highlight w:val="none"/>
                    </w:rPr>
                  </w:pPr>
                </w:p>
              </w:tc>
              <w:tc>
                <w:tcPr>
                  <w:tcW w:w="1201" w:type="dxa"/>
                  <w:vMerge w:val="continue"/>
                  <w:tcBorders>
                    <w:tl2br w:val="nil"/>
                    <w:tr2bl w:val="nil"/>
                  </w:tcBorders>
                  <w:vAlign w:val="center"/>
                </w:tcPr>
                <w:p>
                  <w:pPr>
                    <w:pStyle w:val="53"/>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1184" w:type="dxa"/>
                  <w:vMerge w:val="continue"/>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highlight w:val="none"/>
                      <w:lang w:val="en-US"/>
                    </w:rPr>
                  </w:pPr>
                </w:p>
              </w:tc>
              <w:tc>
                <w:tcPr>
                  <w:tcW w:w="261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14:ligatures w14:val="none"/>
                    </w:rPr>
                  </w:pPr>
                  <w:r>
                    <w:rPr>
                      <w:rFonts w:hint="eastAsia" w:cs="Times New Roman"/>
                      <w:bCs/>
                      <w:snapToGrid w:val="0"/>
                      <w:color w:val="auto"/>
                      <w:kern w:val="2"/>
                      <w:sz w:val="21"/>
                      <w:szCs w:val="21"/>
                      <w:highlight w:val="none"/>
                      <w:lang w:val="en-US" w:eastAsia="zh-CN" w:bidi="ar-SA"/>
                      <w14:ligatures w14:val="none"/>
                    </w:rPr>
                    <w:t>除尘灰</w:t>
                  </w:r>
                </w:p>
              </w:tc>
              <w:tc>
                <w:tcPr>
                  <w:tcW w:w="1186" w:type="dxa"/>
                  <w:tcBorders>
                    <w:tl2br w:val="nil"/>
                    <w:tr2bl w:val="nil"/>
                  </w:tcBorders>
                  <w:shd w:val="clear" w:color="auto" w:fill="auto"/>
                  <w:vAlign w:val="center"/>
                </w:tcPr>
                <w:p>
                  <w:pPr>
                    <w:spacing w:line="240" w:lineRule="auto"/>
                    <w:jc w:val="center"/>
                    <w:textAlignment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color w:val="auto"/>
                      <w:sz w:val="21"/>
                      <w:szCs w:val="21"/>
                      <w:highlight w:val="none"/>
                      <w:lang w:val="en-US" w:eastAsia="zh-CN"/>
                    </w:rPr>
                    <w:t>131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2077" w:type="dxa"/>
                  <w:vMerge w:val="continue"/>
                  <w:tcBorders>
                    <w:tl2br w:val="nil"/>
                    <w:tr2bl w:val="nil"/>
                  </w:tcBorders>
                  <w:vAlign w:val="center"/>
                </w:tcPr>
                <w:p>
                  <w:pPr>
                    <w:spacing w:line="240" w:lineRule="auto"/>
                    <w:jc w:val="center"/>
                    <w:textAlignment w:val="center"/>
                    <w:rPr>
                      <w:rFonts w:hint="default" w:ascii="Times New Roman" w:hAnsi="Times New Roman" w:eastAsia="宋体" w:cs="Times New Roman"/>
                      <w:color w:val="auto"/>
                      <w:sz w:val="21"/>
                      <w:szCs w:val="21"/>
                      <w:highlight w:val="none"/>
                    </w:rPr>
                  </w:pPr>
                </w:p>
              </w:tc>
              <w:tc>
                <w:tcPr>
                  <w:tcW w:w="1201" w:type="dxa"/>
                  <w:vMerge w:val="continue"/>
                  <w:tcBorders>
                    <w:tl2br w:val="nil"/>
                    <w:tr2bl w:val="nil"/>
                  </w:tcBorders>
                  <w:vAlign w:val="center"/>
                </w:tcPr>
                <w:p>
                  <w:pPr>
                    <w:pStyle w:val="53"/>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1184" w:type="dxa"/>
                  <w:vMerge w:val="continue"/>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highlight w:val="none"/>
                      <w:lang w:val="en-US"/>
                    </w:rPr>
                  </w:pPr>
                </w:p>
              </w:tc>
              <w:tc>
                <w:tcPr>
                  <w:tcW w:w="261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napToGrid w:val="0"/>
                      <w:color w:val="auto"/>
                      <w:kern w:val="2"/>
                      <w:sz w:val="21"/>
                      <w:szCs w:val="21"/>
                      <w:highlight w:val="none"/>
                      <w:lang w:val="en-US" w:eastAsia="zh-CN" w:bidi="ar-SA"/>
                      <w14:ligatures w14:val="none"/>
                    </w:rPr>
                  </w:pPr>
                  <w:r>
                    <w:rPr>
                      <w:rFonts w:hint="eastAsia" w:cs="Times New Roman"/>
                      <w:bCs/>
                      <w:color w:val="auto"/>
                      <w:sz w:val="21"/>
                      <w:szCs w:val="21"/>
                      <w:highlight w:val="none"/>
                      <w:lang w:val="en-US" w:eastAsia="zh-CN"/>
                    </w:rPr>
                    <w:t>不合格的粗渣</w:t>
                  </w:r>
                </w:p>
              </w:tc>
              <w:tc>
                <w:tcPr>
                  <w:tcW w:w="1186" w:type="dxa"/>
                  <w:tcBorders>
                    <w:tl2br w:val="nil"/>
                    <w:tr2bl w:val="nil"/>
                  </w:tcBorders>
                  <w:shd w:val="clear" w:color="auto" w:fill="auto"/>
                  <w:vAlign w:val="center"/>
                </w:tcPr>
                <w:p>
                  <w:pPr>
                    <w:spacing w:line="240" w:lineRule="auto"/>
                    <w:jc w:val="center"/>
                    <w:textAlignment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color w:val="auto"/>
                      <w:sz w:val="21"/>
                      <w:szCs w:val="21"/>
                      <w:highlight w:val="none"/>
                      <w:lang w:val="en-US" w:eastAsia="zh-CN"/>
                    </w:rPr>
                    <w:t>369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077" w:type="dxa"/>
                  <w:vMerge w:val="continue"/>
                  <w:tcBorders>
                    <w:tl2br w:val="nil"/>
                    <w:tr2bl w:val="nil"/>
                  </w:tcBorders>
                  <w:vAlign w:val="center"/>
                </w:tcPr>
                <w:p>
                  <w:pPr>
                    <w:spacing w:line="240" w:lineRule="auto"/>
                    <w:jc w:val="center"/>
                    <w:textAlignment w:val="center"/>
                    <w:rPr>
                      <w:rFonts w:hint="default" w:ascii="Times New Roman" w:hAnsi="Times New Roman" w:eastAsia="宋体" w:cs="Times New Roman"/>
                      <w:color w:val="auto"/>
                      <w:sz w:val="21"/>
                      <w:szCs w:val="21"/>
                      <w:highlight w:val="none"/>
                    </w:rPr>
                  </w:pPr>
                </w:p>
              </w:tc>
              <w:tc>
                <w:tcPr>
                  <w:tcW w:w="1201" w:type="dxa"/>
                  <w:vMerge w:val="continue"/>
                  <w:tcBorders>
                    <w:tl2br w:val="nil"/>
                    <w:tr2bl w:val="nil"/>
                  </w:tcBorders>
                  <w:vAlign w:val="center"/>
                </w:tcPr>
                <w:p>
                  <w:pPr>
                    <w:pStyle w:val="53"/>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1184" w:type="dxa"/>
                  <w:vMerge w:val="continue"/>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highlight w:val="none"/>
                      <w:lang w:val="en-US"/>
                    </w:rPr>
                  </w:pPr>
                </w:p>
              </w:tc>
              <w:tc>
                <w:tcPr>
                  <w:tcW w:w="261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w:t>
                  </w:r>
                </w:p>
              </w:tc>
              <w:tc>
                <w:tcPr>
                  <w:tcW w:w="1186" w:type="dxa"/>
                  <w:tcBorders>
                    <w:tl2br w:val="nil"/>
                    <w:tr2bl w:val="nil"/>
                  </w:tcBorders>
                  <w:vAlign w:val="center"/>
                </w:tcPr>
                <w:p>
                  <w:pPr>
                    <w:spacing w:line="240" w:lineRule="auto"/>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077" w:type="dxa"/>
                  <w:vMerge w:val="continue"/>
                  <w:tcBorders>
                    <w:tl2br w:val="nil"/>
                    <w:tr2bl w:val="nil"/>
                  </w:tcBorders>
                  <w:vAlign w:val="center"/>
                </w:tcPr>
                <w:p>
                  <w:pPr>
                    <w:spacing w:line="240" w:lineRule="auto"/>
                    <w:jc w:val="center"/>
                    <w:textAlignment w:val="center"/>
                    <w:rPr>
                      <w:rFonts w:hint="default" w:ascii="Times New Roman" w:hAnsi="Times New Roman" w:eastAsia="宋体" w:cs="Times New Roman"/>
                      <w:color w:val="auto"/>
                      <w:sz w:val="21"/>
                      <w:szCs w:val="21"/>
                      <w:highlight w:val="none"/>
                    </w:rPr>
                  </w:pPr>
                </w:p>
              </w:tc>
              <w:tc>
                <w:tcPr>
                  <w:tcW w:w="1201" w:type="dxa"/>
                  <w:vMerge w:val="continue"/>
                  <w:tcBorders>
                    <w:tl2br w:val="nil"/>
                    <w:tr2bl w:val="nil"/>
                  </w:tcBorders>
                  <w:vAlign w:val="center"/>
                </w:tcPr>
                <w:p>
                  <w:pPr>
                    <w:pStyle w:val="53"/>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1184" w:type="dxa"/>
                  <w:vMerge w:val="continue"/>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highlight w:val="none"/>
                      <w:lang w:val="en-US"/>
                    </w:rPr>
                  </w:pPr>
                </w:p>
              </w:tc>
              <w:tc>
                <w:tcPr>
                  <w:tcW w:w="261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w:t>
                  </w:r>
                </w:p>
              </w:tc>
              <w:tc>
                <w:tcPr>
                  <w:tcW w:w="1186" w:type="dxa"/>
                  <w:tcBorders>
                    <w:tl2br w:val="nil"/>
                    <w:tr2bl w:val="nil"/>
                  </w:tcBorders>
                  <w:vAlign w:val="center"/>
                </w:tcPr>
                <w:p>
                  <w:pPr>
                    <w:spacing w:line="240" w:lineRule="auto"/>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077" w:type="dxa"/>
                  <w:vMerge w:val="continue"/>
                  <w:tcBorders>
                    <w:tl2br w:val="nil"/>
                    <w:tr2bl w:val="nil"/>
                  </w:tcBorders>
                  <w:vAlign w:val="center"/>
                </w:tcPr>
                <w:p>
                  <w:pPr>
                    <w:spacing w:line="240" w:lineRule="auto"/>
                    <w:jc w:val="center"/>
                    <w:textAlignment w:val="center"/>
                    <w:rPr>
                      <w:rFonts w:hint="default" w:ascii="Times New Roman" w:hAnsi="Times New Roman" w:eastAsia="宋体" w:cs="Times New Roman"/>
                      <w:color w:val="auto"/>
                      <w:sz w:val="21"/>
                      <w:szCs w:val="21"/>
                      <w:highlight w:val="none"/>
                    </w:rPr>
                  </w:pPr>
                </w:p>
              </w:tc>
              <w:tc>
                <w:tcPr>
                  <w:tcW w:w="1201" w:type="dxa"/>
                  <w:vMerge w:val="continue"/>
                  <w:tcBorders>
                    <w:tl2br w:val="nil"/>
                    <w:tr2bl w:val="nil"/>
                  </w:tcBorders>
                  <w:vAlign w:val="center"/>
                </w:tcPr>
                <w:p>
                  <w:pPr>
                    <w:pStyle w:val="53"/>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1184" w:type="dxa"/>
                  <w:vMerge w:val="continue"/>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highlight w:val="none"/>
                      <w:lang w:val="en-US"/>
                    </w:rPr>
                  </w:pPr>
                </w:p>
              </w:tc>
              <w:tc>
                <w:tcPr>
                  <w:tcW w:w="261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w:t>
                  </w:r>
                </w:p>
              </w:tc>
              <w:tc>
                <w:tcPr>
                  <w:tcW w:w="1186" w:type="dxa"/>
                  <w:tcBorders>
                    <w:tl2br w:val="nil"/>
                    <w:tr2bl w:val="nil"/>
                  </w:tcBorders>
                  <w:vAlign w:val="center"/>
                </w:tcPr>
                <w:p>
                  <w:pPr>
                    <w:spacing w:line="240" w:lineRule="auto"/>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77" w:type="dxa"/>
                  <w:vMerge w:val="continue"/>
                  <w:tcBorders>
                    <w:tl2br w:val="nil"/>
                    <w:tr2bl w:val="nil"/>
                  </w:tcBorders>
                  <w:vAlign w:val="center"/>
                </w:tcPr>
                <w:p>
                  <w:pPr>
                    <w:spacing w:line="240" w:lineRule="auto"/>
                    <w:jc w:val="center"/>
                    <w:textAlignment w:val="center"/>
                    <w:rPr>
                      <w:rFonts w:hint="default" w:ascii="Times New Roman" w:hAnsi="Times New Roman" w:eastAsia="宋体" w:cs="Times New Roman"/>
                      <w:color w:val="auto"/>
                      <w:sz w:val="21"/>
                      <w:szCs w:val="21"/>
                      <w:highlight w:val="none"/>
                    </w:rPr>
                  </w:pPr>
                </w:p>
              </w:tc>
              <w:tc>
                <w:tcPr>
                  <w:tcW w:w="1201" w:type="dxa"/>
                  <w:vMerge w:val="continue"/>
                  <w:tcBorders>
                    <w:tl2br w:val="nil"/>
                    <w:tr2bl w:val="nil"/>
                  </w:tcBorders>
                  <w:vAlign w:val="center"/>
                </w:tcPr>
                <w:p>
                  <w:pPr>
                    <w:pStyle w:val="53"/>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1184" w:type="dxa"/>
                  <w:vMerge w:val="continue"/>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highlight w:val="none"/>
                      <w:lang w:val="en-US"/>
                    </w:rPr>
                  </w:pPr>
                </w:p>
              </w:tc>
              <w:tc>
                <w:tcPr>
                  <w:tcW w:w="261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napToGrid w:val="0"/>
                      <w:color w:val="auto"/>
                      <w:kern w:val="2"/>
                      <w:sz w:val="21"/>
                      <w:szCs w:val="21"/>
                      <w:highlight w:val="none"/>
                      <w:lang w:val="en-US" w:eastAsia="zh-CN" w:bidi="ar-SA"/>
                      <w14:ligatures w14:val="none"/>
                    </w:rPr>
                  </w:pPr>
                  <w:r>
                    <w:rPr>
                      <w:rFonts w:hint="eastAsia" w:cs="Times New Roman"/>
                      <w:bCs/>
                      <w:snapToGrid w:val="0"/>
                      <w:color w:val="auto"/>
                      <w:kern w:val="2"/>
                      <w:sz w:val="21"/>
                      <w:szCs w:val="21"/>
                      <w:highlight w:val="none"/>
                      <w:lang w:val="en-US" w:eastAsia="zh-CN" w:bidi="ar-SA"/>
                      <w14:ligatures w14:val="none"/>
                    </w:rPr>
                    <w:t>/</w:t>
                  </w:r>
                </w:p>
              </w:tc>
              <w:tc>
                <w:tcPr>
                  <w:tcW w:w="1186" w:type="dxa"/>
                  <w:tcBorders>
                    <w:tl2br w:val="nil"/>
                    <w:tr2bl w:val="nil"/>
                  </w:tcBorders>
                  <w:vAlign w:val="center"/>
                </w:tcPr>
                <w:p>
                  <w:pPr>
                    <w:spacing w:line="240" w:lineRule="auto"/>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077" w:type="dxa"/>
                  <w:vMerge w:val="continue"/>
                  <w:tcBorders>
                    <w:tl2br w:val="nil"/>
                    <w:tr2bl w:val="nil"/>
                  </w:tcBorders>
                  <w:vAlign w:val="center"/>
                </w:tcPr>
                <w:p>
                  <w:pPr>
                    <w:spacing w:line="240" w:lineRule="auto"/>
                    <w:jc w:val="center"/>
                    <w:textAlignment w:val="center"/>
                    <w:rPr>
                      <w:rFonts w:hint="default" w:ascii="Times New Roman" w:hAnsi="Times New Roman" w:eastAsia="宋体" w:cs="Times New Roman"/>
                      <w:color w:val="auto"/>
                      <w:sz w:val="21"/>
                      <w:szCs w:val="21"/>
                      <w:highlight w:val="none"/>
                    </w:rPr>
                  </w:pPr>
                </w:p>
              </w:tc>
              <w:tc>
                <w:tcPr>
                  <w:tcW w:w="1201" w:type="dxa"/>
                  <w:tcBorders>
                    <w:tl2br w:val="nil"/>
                    <w:tr2bl w:val="nil"/>
                  </w:tcBorders>
                  <w:vAlign w:val="center"/>
                </w:tcPr>
                <w:p>
                  <w:pPr>
                    <w:spacing w:line="24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合计</w:t>
                  </w:r>
                </w:p>
              </w:tc>
              <w:tc>
                <w:tcPr>
                  <w:tcW w:w="1184" w:type="dxa"/>
                  <w:tcBorders>
                    <w:tl2br w:val="nil"/>
                    <w:tr2bl w:val="nil"/>
                  </w:tcBorders>
                  <w:vAlign w:val="center"/>
                </w:tcPr>
                <w:p>
                  <w:pPr>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i w:val="0"/>
                      <w:iCs w:val="0"/>
                      <w:snapToGrid w:val="0"/>
                      <w:color w:val="auto"/>
                      <w:kern w:val="0"/>
                      <w:sz w:val="21"/>
                      <w:szCs w:val="21"/>
                      <w:highlight w:val="none"/>
                      <w:u w:val="none"/>
                      <w:lang w:val="en-US" w:eastAsia="zh-CN" w:bidi="ar"/>
                      <w14:ligatures w14:val="none"/>
                    </w:rPr>
                    <w:t>28500</w:t>
                  </w:r>
                </w:p>
              </w:tc>
              <w:tc>
                <w:tcPr>
                  <w:tcW w:w="2615" w:type="dxa"/>
                  <w:tcBorders>
                    <w:tl2br w:val="nil"/>
                    <w:tr2bl w:val="nil"/>
                  </w:tcBorders>
                  <w:vAlign w:val="center"/>
                </w:tcPr>
                <w:p>
                  <w:pPr>
                    <w:spacing w:line="24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合计</w:t>
                  </w:r>
                </w:p>
              </w:tc>
              <w:tc>
                <w:tcPr>
                  <w:tcW w:w="1186" w:type="dxa"/>
                  <w:tcBorders>
                    <w:tl2br w:val="nil"/>
                    <w:tr2bl w:val="nil"/>
                  </w:tcBorders>
                  <w:vAlign w:val="center"/>
                </w:tcPr>
                <w:p>
                  <w:pPr>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i w:val="0"/>
                      <w:iCs w:val="0"/>
                      <w:snapToGrid w:val="0"/>
                      <w:color w:val="auto"/>
                      <w:kern w:val="0"/>
                      <w:sz w:val="21"/>
                      <w:szCs w:val="21"/>
                      <w:highlight w:val="none"/>
                      <w:u w:val="none"/>
                      <w:lang w:val="en-US" w:eastAsia="zh-CN" w:bidi="ar"/>
                      <w14:ligatures w14:val="none"/>
                    </w:rPr>
                    <w:t>28500</w:t>
                  </w:r>
                </w:p>
              </w:tc>
            </w:tr>
          </w:tbl>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highlight w:val="none"/>
              </w:rPr>
              <w:t>2.4劳动定员及工作制度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auto"/>
              </w:rPr>
            </w:pPr>
            <w:r>
              <w:rPr>
                <w:rFonts w:hint="default" w:ascii="Times New Roman" w:hAnsi="Times New Roman" w:eastAsia="宋体" w:cs="Times New Roman"/>
                <w:bCs/>
                <w:color w:val="auto"/>
              </w:rPr>
              <w:t>工作制度：本项目年有效工作日为</w:t>
            </w:r>
            <w:r>
              <w:rPr>
                <w:rFonts w:hint="eastAsia" w:cs="Times New Roman"/>
                <w:bCs/>
                <w:color w:val="auto"/>
                <w:lang w:val="en-US" w:eastAsia="zh-CN"/>
              </w:rPr>
              <w:t>120</w:t>
            </w:r>
            <w:r>
              <w:rPr>
                <w:rFonts w:hint="default" w:ascii="Times New Roman" w:hAnsi="Times New Roman" w:eastAsia="宋体" w:cs="Times New Roman"/>
                <w:bCs/>
                <w:color w:val="auto"/>
              </w:rPr>
              <w:t>天，每天生产</w:t>
            </w:r>
            <w:r>
              <w:rPr>
                <w:rFonts w:hint="default" w:ascii="Times New Roman" w:hAnsi="Times New Roman" w:eastAsia="宋体" w:cs="Times New Roman"/>
                <w:bCs/>
                <w:color w:val="auto"/>
                <w:lang w:val="en-US" w:eastAsia="zh-CN"/>
              </w:rPr>
              <w:t>8</w:t>
            </w:r>
            <w:r>
              <w:rPr>
                <w:rFonts w:hint="default" w:ascii="Times New Roman" w:hAnsi="Times New Roman" w:eastAsia="宋体" w:cs="Times New Roman"/>
                <w:bCs/>
                <w:color w:val="auto"/>
              </w:rPr>
              <w:t>小时。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bCs/>
                <w:color w:val="auto"/>
                <w:lang w:val="en-US" w:eastAsia="zh-CN"/>
              </w:rPr>
            </w:pPr>
            <w:r>
              <w:rPr>
                <w:rFonts w:hint="default" w:ascii="Times New Roman" w:hAnsi="Times New Roman" w:eastAsia="宋体" w:cs="Times New Roman"/>
                <w:bCs/>
                <w:color w:val="auto"/>
              </w:rPr>
              <w:t>劳动定员：本项目劳动定</w:t>
            </w:r>
            <w:r>
              <w:rPr>
                <w:rFonts w:hint="default" w:ascii="Times New Roman" w:hAnsi="Times New Roman" w:eastAsia="宋体" w:cs="Times New Roman"/>
                <w:bCs/>
                <w:color w:val="auto"/>
                <w:highlight w:val="none"/>
              </w:rPr>
              <w:t>员</w:t>
            </w:r>
            <w:r>
              <w:rPr>
                <w:rFonts w:hint="eastAsia" w:cs="Times New Roman"/>
                <w:bCs/>
                <w:color w:val="auto"/>
                <w:highlight w:val="none"/>
                <w:lang w:val="en-US" w:eastAsia="zh-CN"/>
              </w:rPr>
              <w:t>5</w:t>
            </w:r>
            <w:r>
              <w:rPr>
                <w:rFonts w:hint="default" w:ascii="Times New Roman" w:hAnsi="Times New Roman" w:eastAsia="宋体" w:cs="Times New Roman"/>
                <w:bCs/>
                <w:color w:val="auto"/>
                <w:highlight w:val="none"/>
              </w:rPr>
              <w:t>人，员工不在厂区内食宿</w:t>
            </w:r>
            <w:r>
              <w:rPr>
                <w:rFonts w:hint="default" w:ascii="Times New Roman" w:hAnsi="Times New Roman" w:eastAsia="宋体" w:cs="Times New Roman"/>
                <w:bCs/>
                <w:color w:val="auto"/>
              </w:rPr>
              <w:t>。</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2.5公用工程</w:t>
            </w:r>
          </w:p>
          <w:p>
            <w:pPr>
              <w:keepNext w:val="0"/>
              <w:keepLines w:val="0"/>
              <w:pageBreakBefore w:val="0"/>
              <w:widowControl w:val="0"/>
              <w:shd w:val="clear"/>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2.5.1供排水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auto"/>
              </w:rPr>
            </w:pPr>
            <w:r>
              <w:rPr>
                <w:rFonts w:hint="default" w:ascii="Times New Roman" w:hAnsi="Times New Roman" w:eastAsia="宋体" w:cs="Times New Roman"/>
                <w:bCs/>
                <w:color w:val="auto"/>
              </w:rPr>
              <w:t>该项目用水主要为生活用水和抑尘用水。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auto"/>
              </w:rPr>
            </w:pPr>
            <w:r>
              <w:rPr>
                <w:rFonts w:hint="default" w:ascii="Times New Roman" w:hAnsi="Times New Roman" w:eastAsia="宋体" w:cs="Times New Roman"/>
                <w:bCs/>
                <w:color w:val="auto"/>
              </w:rPr>
              <w:t>①生活用、排水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auto"/>
              </w:rPr>
            </w:pPr>
            <w:r>
              <w:rPr>
                <w:rFonts w:hint="default" w:ascii="Times New Roman" w:hAnsi="Times New Roman" w:eastAsia="宋体" w:cs="Times New Roman"/>
                <w:bCs/>
                <w:color w:val="auto"/>
                <w:highlight w:val="none"/>
              </w:rPr>
              <w:t>员工不在厂区内食宿</w:t>
            </w:r>
            <w:r>
              <w:rPr>
                <w:rFonts w:hint="eastAsia" w:ascii="Times New Roman" w:hAnsi="Times New Roman" w:eastAsia="宋体" w:cs="Times New Roman"/>
                <w:bCs/>
                <w:color w:val="auto"/>
                <w:highlight w:val="none"/>
                <w:lang w:eastAsia="zh-CN"/>
              </w:rPr>
              <w:t>，</w:t>
            </w:r>
            <w:r>
              <w:rPr>
                <w:rFonts w:hint="eastAsia" w:ascii="Times New Roman" w:hAnsi="Times New Roman" w:eastAsia="宋体" w:cs="Times New Roman"/>
                <w:bCs/>
                <w:color w:val="auto"/>
                <w:highlight w:val="none"/>
                <w:lang w:val="en-US" w:eastAsia="zh-CN"/>
              </w:rPr>
              <w:t>无生活污水</w:t>
            </w:r>
            <w:r>
              <w:rPr>
                <w:rFonts w:hint="default" w:ascii="Times New Roman" w:hAnsi="Times New Roman" w:eastAsia="宋体" w:cs="Times New Roman"/>
                <w:bCs/>
                <w:color w:val="auto"/>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auto"/>
              </w:rPr>
            </w:pPr>
            <w:r>
              <w:rPr>
                <w:rFonts w:hint="default" w:ascii="Times New Roman" w:hAnsi="Times New Roman" w:eastAsia="宋体" w:cs="Times New Roman"/>
                <w:bCs/>
                <w:color w:val="auto"/>
              </w:rPr>
              <w:t>②抑尘水量：本项目设计抑尘用水量为3m</w:t>
            </w:r>
            <w:r>
              <w:rPr>
                <w:rFonts w:hint="default" w:ascii="Times New Roman" w:hAnsi="Times New Roman" w:eastAsia="宋体" w:cs="Times New Roman"/>
                <w:bCs/>
                <w:color w:val="auto"/>
                <w:vertAlign w:val="superscript"/>
              </w:rPr>
              <w:t>3</w:t>
            </w:r>
            <w:r>
              <w:rPr>
                <w:rFonts w:hint="default" w:ascii="Times New Roman" w:hAnsi="Times New Roman" w:eastAsia="宋体" w:cs="Times New Roman"/>
                <w:bCs/>
                <w:color w:val="auto"/>
              </w:rPr>
              <w:t>/d，</w:t>
            </w:r>
            <w:r>
              <w:rPr>
                <w:rFonts w:hint="eastAsia" w:cs="Times New Roman"/>
                <w:bCs/>
                <w:color w:val="auto"/>
                <w:lang w:val="en-US" w:eastAsia="zh-CN"/>
              </w:rPr>
              <w:t>360</w:t>
            </w:r>
            <w:r>
              <w:rPr>
                <w:rFonts w:hint="default" w:ascii="Times New Roman" w:hAnsi="Times New Roman" w:eastAsia="宋体" w:cs="Times New Roman"/>
                <w:bCs/>
                <w:color w:val="auto"/>
              </w:rPr>
              <w:t>m</w:t>
            </w:r>
            <w:r>
              <w:rPr>
                <w:rFonts w:hint="default" w:ascii="Times New Roman" w:hAnsi="Times New Roman" w:eastAsia="宋体" w:cs="Times New Roman"/>
                <w:bCs/>
                <w:color w:val="auto"/>
                <w:vertAlign w:val="superscript"/>
              </w:rPr>
              <w:t>3</w:t>
            </w:r>
            <w:r>
              <w:rPr>
                <w:rFonts w:hint="default" w:ascii="Times New Roman" w:hAnsi="Times New Roman" w:eastAsia="宋体" w:cs="Times New Roman"/>
                <w:bCs/>
                <w:color w:val="auto"/>
              </w:rPr>
              <w:t>/a；</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bCs/>
                <w:color w:val="auto"/>
              </w:rPr>
              <w:t>项目水平衡详见下表：本项目用水和排水量如表2.5-1所示，具体水平衡见图2.5-1。</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表2</w:t>
            </w:r>
            <w:r>
              <w:rPr>
                <w:rFonts w:hint="eastAsia" w:ascii="Times New Roman" w:hAnsi="Times New Roman" w:eastAsia="宋体" w:cs="Times New Roman"/>
                <w:b/>
                <w:bCs/>
                <w:color w:val="auto"/>
                <w:sz w:val="21"/>
                <w:szCs w:val="21"/>
                <w:lang w:val="en-US" w:eastAsia="zh-CN"/>
              </w:rPr>
              <w:t>.5</w:t>
            </w:r>
            <w:r>
              <w:rPr>
                <w:rFonts w:hint="default" w:ascii="Times New Roman" w:hAnsi="Times New Roman" w:eastAsia="宋体" w:cs="Times New Roman"/>
                <w:b/>
                <w:bCs/>
                <w:color w:val="auto"/>
                <w:sz w:val="21"/>
                <w:szCs w:val="21"/>
                <w:lang w:val="en-US" w:eastAsia="zh-CN"/>
              </w:rPr>
              <w:t>-</w:t>
            </w:r>
            <w:r>
              <w:rPr>
                <w:rFonts w:hint="eastAsia" w:ascii="Times New Roman" w:hAnsi="Times New Roman" w:eastAsia="宋体" w:cs="Times New Roman"/>
                <w:b/>
                <w:bCs/>
                <w:color w:val="auto"/>
                <w:sz w:val="21"/>
                <w:szCs w:val="21"/>
                <w:lang w:val="en-US" w:eastAsia="zh-CN"/>
              </w:rPr>
              <w:t>1</w:t>
            </w:r>
            <w:r>
              <w:rPr>
                <w:rFonts w:hint="default" w:ascii="Times New Roman" w:hAnsi="Times New Roman" w:eastAsia="宋体" w:cs="Times New Roman"/>
                <w:b/>
                <w:bCs/>
                <w:color w:val="auto"/>
                <w:sz w:val="21"/>
                <w:szCs w:val="21"/>
                <w:lang w:val="en-US" w:eastAsia="zh-CN"/>
              </w:rPr>
              <w:t xml:space="preserve">  项目用水量统计表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315"/>
              <w:gridCol w:w="1034"/>
              <w:gridCol w:w="980"/>
              <w:gridCol w:w="1118"/>
              <w:gridCol w:w="980"/>
              <w:gridCol w:w="2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1" w:type="pct"/>
                  <w:tcBorders>
                    <w:tl2br w:val="nil"/>
                    <w:tr2bl w:val="nil"/>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序号</w:t>
                  </w:r>
                </w:p>
              </w:tc>
              <w:tc>
                <w:tcPr>
                  <w:tcW w:w="794" w:type="pct"/>
                  <w:tcBorders>
                    <w:tl2br w:val="nil"/>
                    <w:tr2bl w:val="nil"/>
                  </w:tcBorders>
                  <w:noWrap w:val="0"/>
                  <w:vAlign w:val="center"/>
                </w:tcPr>
                <w:p>
                  <w:pPr>
                    <w:widowControl/>
                    <w:adjustRightInd w:val="0"/>
                    <w:snapToGrid w:val="0"/>
                    <w:spacing w:line="240" w:lineRule="auto"/>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类别</w:t>
                  </w:r>
                </w:p>
              </w:tc>
              <w:tc>
                <w:tcPr>
                  <w:tcW w:w="624" w:type="pct"/>
                  <w:tcBorders>
                    <w:tl2br w:val="nil"/>
                    <w:tr2bl w:val="nil"/>
                  </w:tcBorders>
                  <w:noWrap w:val="0"/>
                  <w:vAlign w:val="center"/>
                </w:tcPr>
                <w:p>
                  <w:pPr>
                    <w:widowControl/>
                    <w:adjustRightInd w:val="0"/>
                    <w:snapToGrid w:val="0"/>
                    <w:spacing w:line="240" w:lineRule="auto"/>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供水（m</w:t>
                  </w:r>
                  <w:r>
                    <w:rPr>
                      <w:rFonts w:hint="eastAsia" w:ascii="Times New Roman" w:hAnsi="Times New Roman" w:eastAsia="宋体" w:cs="Times New Roman"/>
                      <w:color w:val="auto"/>
                      <w:kern w:val="0"/>
                      <w:sz w:val="21"/>
                      <w:szCs w:val="21"/>
                      <w:vertAlign w:val="superscript"/>
                      <w:lang w:val="en-US" w:eastAsia="zh-CN" w:bidi="ar-SA"/>
                    </w:rPr>
                    <w:t>3</w:t>
                  </w:r>
                  <w:r>
                    <w:rPr>
                      <w:rFonts w:hint="eastAsia" w:ascii="Times New Roman" w:hAnsi="Times New Roman" w:eastAsia="宋体" w:cs="Times New Roman"/>
                      <w:color w:val="auto"/>
                      <w:kern w:val="0"/>
                      <w:sz w:val="21"/>
                      <w:szCs w:val="21"/>
                      <w:lang w:val="en-US" w:eastAsia="zh-CN" w:bidi="ar-SA"/>
                    </w:rPr>
                    <w:t>/d）</w:t>
                  </w:r>
                </w:p>
              </w:tc>
              <w:tc>
                <w:tcPr>
                  <w:tcW w:w="592" w:type="pct"/>
                  <w:tcBorders>
                    <w:tl2br w:val="nil"/>
                    <w:tr2bl w:val="nil"/>
                  </w:tcBorders>
                  <w:noWrap w:val="0"/>
                  <w:vAlign w:val="center"/>
                </w:tcPr>
                <w:p>
                  <w:pPr>
                    <w:widowControl/>
                    <w:adjustRightInd w:val="0"/>
                    <w:snapToGrid w:val="0"/>
                    <w:spacing w:line="240" w:lineRule="auto"/>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损耗（m</w:t>
                  </w:r>
                  <w:r>
                    <w:rPr>
                      <w:rFonts w:hint="eastAsia" w:ascii="Times New Roman" w:hAnsi="Times New Roman" w:eastAsia="宋体" w:cs="Times New Roman"/>
                      <w:color w:val="auto"/>
                      <w:kern w:val="0"/>
                      <w:sz w:val="21"/>
                      <w:szCs w:val="21"/>
                      <w:vertAlign w:val="superscript"/>
                      <w:lang w:val="en-US" w:eastAsia="zh-CN" w:bidi="ar-SA"/>
                    </w:rPr>
                    <w:t>3</w:t>
                  </w:r>
                  <w:r>
                    <w:rPr>
                      <w:rFonts w:hint="eastAsia" w:ascii="Times New Roman" w:hAnsi="Times New Roman" w:eastAsia="宋体" w:cs="Times New Roman"/>
                      <w:color w:val="auto"/>
                      <w:kern w:val="0"/>
                      <w:sz w:val="21"/>
                      <w:szCs w:val="21"/>
                      <w:lang w:val="en-US" w:eastAsia="zh-CN" w:bidi="ar-SA"/>
                    </w:rPr>
                    <w:t>/d）</w:t>
                  </w:r>
                </w:p>
              </w:tc>
              <w:tc>
                <w:tcPr>
                  <w:tcW w:w="675" w:type="pct"/>
                  <w:tcBorders>
                    <w:tl2br w:val="nil"/>
                    <w:tr2bl w:val="nil"/>
                  </w:tcBorders>
                  <w:noWrap w:val="0"/>
                  <w:vAlign w:val="center"/>
                </w:tcPr>
                <w:p>
                  <w:pPr>
                    <w:widowControl/>
                    <w:adjustRightInd w:val="0"/>
                    <w:snapToGrid w:val="0"/>
                    <w:spacing w:line="240" w:lineRule="auto"/>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排水（m</w:t>
                  </w:r>
                  <w:r>
                    <w:rPr>
                      <w:rFonts w:hint="eastAsia" w:ascii="Times New Roman" w:hAnsi="Times New Roman" w:eastAsia="宋体" w:cs="Times New Roman"/>
                      <w:color w:val="auto"/>
                      <w:kern w:val="0"/>
                      <w:sz w:val="21"/>
                      <w:szCs w:val="21"/>
                      <w:vertAlign w:val="superscript"/>
                      <w:lang w:val="en-US" w:eastAsia="zh-CN" w:bidi="ar-SA"/>
                    </w:rPr>
                    <w:t>3</w:t>
                  </w:r>
                  <w:r>
                    <w:rPr>
                      <w:rFonts w:hint="eastAsia" w:ascii="Times New Roman" w:hAnsi="Times New Roman" w:eastAsia="宋体" w:cs="Times New Roman"/>
                      <w:color w:val="auto"/>
                      <w:kern w:val="0"/>
                      <w:sz w:val="21"/>
                      <w:szCs w:val="21"/>
                      <w:lang w:val="en-US" w:eastAsia="zh-CN" w:bidi="ar-SA"/>
                    </w:rPr>
                    <w:t>/d）</w:t>
                  </w:r>
                </w:p>
              </w:tc>
              <w:tc>
                <w:tcPr>
                  <w:tcW w:w="592" w:type="pct"/>
                  <w:tcBorders>
                    <w:tl2br w:val="nil"/>
                    <w:tr2bl w:val="nil"/>
                  </w:tcBorders>
                  <w:noWrap w:val="0"/>
                  <w:vAlign w:val="center"/>
                </w:tcPr>
                <w:p>
                  <w:pPr>
                    <w:widowControl/>
                    <w:adjustRightInd w:val="0"/>
                    <w:snapToGrid w:val="0"/>
                    <w:spacing w:line="240" w:lineRule="auto"/>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循环（m</w:t>
                  </w:r>
                  <w:r>
                    <w:rPr>
                      <w:rFonts w:hint="eastAsia" w:ascii="Times New Roman" w:hAnsi="Times New Roman" w:eastAsia="宋体" w:cs="Times New Roman"/>
                      <w:color w:val="auto"/>
                      <w:kern w:val="0"/>
                      <w:sz w:val="21"/>
                      <w:szCs w:val="21"/>
                      <w:vertAlign w:val="superscript"/>
                      <w:lang w:val="en-US" w:eastAsia="zh-CN" w:bidi="ar-SA"/>
                    </w:rPr>
                    <w:t>3</w:t>
                  </w:r>
                  <w:r>
                    <w:rPr>
                      <w:rFonts w:hint="eastAsia" w:ascii="Times New Roman" w:hAnsi="Times New Roman" w:eastAsia="宋体" w:cs="Times New Roman"/>
                      <w:color w:val="auto"/>
                      <w:kern w:val="0"/>
                      <w:sz w:val="21"/>
                      <w:szCs w:val="21"/>
                      <w:lang w:val="en-US" w:eastAsia="zh-CN" w:bidi="ar-SA"/>
                    </w:rPr>
                    <w:t>/d）</w:t>
                  </w:r>
                </w:p>
              </w:tc>
              <w:tc>
                <w:tcPr>
                  <w:tcW w:w="1358" w:type="pct"/>
                  <w:tcBorders>
                    <w:tl2br w:val="nil"/>
                    <w:tr2bl w:val="nil"/>
                  </w:tcBorders>
                  <w:noWrap w:val="0"/>
                  <w:vAlign w:val="center"/>
                </w:tcPr>
                <w:p>
                  <w:pPr>
                    <w:widowControl/>
                    <w:adjustRightInd w:val="0"/>
                    <w:snapToGrid w:val="0"/>
                    <w:spacing w:line="240" w:lineRule="auto"/>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排水去向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1" w:type="pct"/>
                  <w:tcBorders>
                    <w:tl2br w:val="nil"/>
                    <w:tr2bl w:val="nil"/>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1</w:t>
                  </w:r>
                </w:p>
              </w:tc>
              <w:tc>
                <w:tcPr>
                  <w:tcW w:w="794" w:type="pct"/>
                  <w:tcBorders>
                    <w:tl2br w:val="nil"/>
                    <w:tr2bl w:val="nil"/>
                  </w:tcBorders>
                  <w:shd w:val="clear" w:color="auto" w:fill="auto"/>
                  <w:noWrap w:val="0"/>
                  <w:vAlign w:val="center"/>
                </w:tcPr>
                <w:p>
                  <w:pPr>
                    <w:widowControl/>
                    <w:adjustRightInd w:val="0"/>
                    <w:snapToGrid w:val="0"/>
                    <w:spacing w:line="240" w:lineRule="auto"/>
                    <w:ind w:firstLine="0" w:firstLineChars="0"/>
                    <w:jc w:val="center"/>
                    <w:rPr>
                      <w:rFonts w:hint="eastAsia" w:ascii="Times New Roman" w:hAnsi="Times New Roman" w:eastAsia="宋体" w:cs="Times New Roman"/>
                      <w:snapToGrid w:val="0"/>
                      <w:color w:val="auto"/>
                      <w:kern w:val="0"/>
                      <w:sz w:val="21"/>
                      <w:szCs w:val="21"/>
                      <w:lang w:val="en-US" w:eastAsia="zh-CN" w:bidi="ar-SA"/>
                      <w14:ligatures w14:val="none"/>
                    </w:rPr>
                  </w:pPr>
                  <w:r>
                    <w:rPr>
                      <w:rFonts w:hint="eastAsia" w:cs="Times New Roman"/>
                      <w:color w:val="auto"/>
                      <w:kern w:val="0"/>
                      <w:sz w:val="21"/>
                      <w:szCs w:val="21"/>
                      <w:lang w:val="en-US" w:eastAsia="zh-CN" w:bidi="ar-SA"/>
                    </w:rPr>
                    <w:t>抑尘水量</w:t>
                  </w:r>
                </w:p>
              </w:tc>
              <w:tc>
                <w:tcPr>
                  <w:tcW w:w="624" w:type="pct"/>
                  <w:tcBorders>
                    <w:tl2br w:val="nil"/>
                    <w:tr2bl w:val="nil"/>
                  </w:tcBorders>
                  <w:shd w:val="clear" w:color="auto" w:fill="auto"/>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eastAsia" w:cs="Times New Roman"/>
                      <w:color w:val="auto"/>
                      <w:kern w:val="0"/>
                      <w:sz w:val="21"/>
                      <w:szCs w:val="21"/>
                      <w:lang w:val="en-US" w:eastAsia="zh-CN" w:bidi="ar-SA"/>
                    </w:rPr>
                    <w:t>3</w:t>
                  </w:r>
                </w:p>
              </w:tc>
              <w:tc>
                <w:tcPr>
                  <w:tcW w:w="592" w:type="pct"/>
                  <w:tcBorders>
                    <w:tl2br w:val="nil"/>
                    <w:tr2bl w:val="nil"/>
                  </w:tcBorders>
                  <w:shd w:val="clear" w:color="auto" w:fill="auto"/>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eastAsia" w:cs="Times New Roman"/>
                      <w:color w:val="auto"/>
                      <w:kern w:val="0"/>
                      <w:sz w:val="21"/>
                      <w:szCs w:val="21"/>
                      <w:lang w:val="en-US" w:eastAsia="zh-CN" w:bidi="ar-SA"/>
                    </w:rPr>
                    <w:t>3</w:t>
                  </w:r>
                </w:p>
              </w:tc>
              <w:tc>
                <w:tcPr>
                  <w:tcW w:w="675" w:type="pct"/>
                  <w:tcBorders>
                    <w:tl2br w:val="nil"/>
                    <w:tr2bl w:val="nil"/>
                  </w:tcBorders>
                  <w:shd w:val="clear" w:color="auto" w:fill="auto"/>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eastAsia" w:ascii="Times New Roman" w:hAnsi="Times New Roman" w:eastAsia="宋体" w:cs="Times New Roman"/>
                      <w:color w:val="auto"/>
                      <w:kern w:val="0"/>
                      <w:sz w:val="21"/>
                      <w:szCs w:val="21"/>
                      <w:lang w:val="en-US" w:eastAsia="zh-CN" w:bidi="ar-SA"/>
                    </w:rPr>
                    <w:t>0</w:t>
                  </w:r>
                </w:p>
              </w:tc>
              <w:tc>
                <w:tcPr>
                  <w:tcW w:w="592" w:type="pct"/>
                  <w:tcBorders>
                    <w:tl2br w:val="nil"/>
                    <w:tr2bl w:val="nil"/>
                  </w:tcBorders>
                  <w:shd w:val="clear" w:color="auto" w:fill="auto"/>
                  <w:noWrap w:val="0"/>
                  <w:vAlign w:val="center"/>
                </w:tcPr>
                <w:p>
                  <w:pPr>
                    <w:widowControl/>
                    <w:adjustRightInd w:val="0"/>
                    <w:snapToGrid w:val="0"/>
                    <w:spacing w:line="240" w:lineRule="auto"/>
                    <w:ind w:firstLine="0" w:firstLineChars="0"/>
                    <w:jc w:val="center"/>
                    <w:rPr>
                      <w:rFonts w:hint="eastAsia" w:ascii="Times New Roman" w:hAnsi="Times New Roman" w:eastAsia="宋体" w:cs="Times New Roman"/>
                      <w:snapToGrid w:val="0"/>
                      <w:color w:val="auto"/>
                      <w:kern w:val="0"/>
                      <w:sz w:val="21"/>
                      <w:szCs w:val="21"/>
                      <w:lang w:val="en-US" w:eastAsia="zh-CN" w:bidi="ar-SA"/>
                      <w14:ligatures w14:val="none"/>
                    </w:rPr>
                  </w:pPr>
                  <w:r>
                    <w:rPr>
                      <w:rFonts w:hint="eastAsia" w:ascii="Times New Roman" w:hAnsi="Times New Roman" w:eastAsia="宋体" w:cs="Times New Roman"/>
                      <w:color w:val="auto"/>
                      <w:kern w:val="0"/>
                      <w:sz w:val="21"/>
                      <w:szCs w:val="21"/>
                      <w:lang w:val="en-US" w:eastAsia="zh-CN" w:bidi="ar-SA"/>
                    </w:rPr>
                    <w:t>0</w:t>
                  </w:r>
                </w:p>
              </w:tc>
              <w:tc>
                <w:tcPr>
                  <w:tcW w:w="1358" w:type="pct"/>
                  <w:tcBorders>
                    <w:tl2br w:val="nil"/>
                    <w:tr2bl w:val="nil"/>
                  </w:tcBorders>
                  <w:shd w:val="clear" w:color="auto" w:fill="auto"/>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eastAsia" w:ascii="Times New Roman" w:hAnsi="Times New Roman" w:eastAsia="宋体" w:cs="Times New Roman"/>
                      <w:color w:val="auto"/>
                      <w:kern w:val="0"/>
                      <w:sz w:val="21"/>
                      <w:szCs w:val="21"/>
                      <w:lang w:val="en-US" w:eastAsia="zh-CN" w:bidi="ar-SA"/>
                    </w:rPr>
                    <w:t>自然蒸发</w:t>
                  </w:r>
                </w:p>
              </w:tc>
            </w:tr>
          </w:tbl>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pict>
                <v:shape id="_x0000_s1034" o:spid="_x0000_s1034" o:spt="75" type="#_x0000_t75" style="position:absolute;left:0pt;margin-left:64.95pt;margin-top:9.7pt;height:71.5pt;width:295.05pt;mso-wrap-distance-bottom:0pt;mso-wrap-distance-left:9pt;mso-wrap-distance-right:9pt;mso-wrap-distance-top:0pt;z-index:251663360;mso-width-relative:page;mso-height-relative:page;" o:ole="t" filled="f" o:preferrelative="t" stroked="f" coordsize="21600,21600">
                  <v:path/>
                  <v:fill on="f" focussize="0,0"/>
                  <v:stroke on="f"/>
                  <v:imagedata r:id="rId13" o:title=""/>
                  <o:lock v:ext="edit" aspectratio="f"/>
                  <w10:wrap type="square"/>
                </v:shape>
                <o:OLEObject Type="Embed" ProgID="Visio.Drawing.15" ShapeID="_x0000_s1034" DrawAspect="Content" ObjectID="_1468075725" r:id="rId12">
                  <o:LockedField>false</o:LockedField>
                </o:OLEObject>
              </w:pic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
                <w:bCs/>
                <w:color w:val="auto"/>
                <w:sz w:val="21"/>
                <w:szCs w:val="21"/>
                <w:lang w:val="en-US" w:eastAsia="zh-CN"/>
              </w:rPr>
              <w:t>图2.5-1  项目水平衡图</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2.6总平面布置合理性分析</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本项目按功能主要划分为</w:t>
            </w:r>
            <w:r>
              <w:rPr>
                <w:rFonts w:hint="eastAsia" w:cs="Times New Roman"/>
                <w:bCs/>
                <w:color w:val="auto"/>
                <w:sz w:val="24"/>
                <w:szCs w:val="24"/>
                <w:highlight w:val="none"/>
                <w:lang w:val="en-US" w:eastAsia="zh-CN"/>
              </w:rPr>
              <w:t>打粉车间、原料库房、冷库</w:t>
            </w:r>
            <w:r>
              <w:rPr>
                <w:rFonts w:hint="default" w:ascii="Times New Roman" w:hAnsi="Times New Roman" w:eastAsia="宋体" w:cs="Times New Roman"/>
                <w:bCs/>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eastAsia="宋体" w:cs="Times New Roman"/>
                <w:bCs/>
                <w:color w:val="auto"/>
                <w:sz w:val="24"/>
                <w:szCs w:val="24"/>
                <w:highlight w:val="none"/>
                <w:lang w:eastAsia="zh-CN"/>
              </w:rPr>
            </w:pPr>
            <w:r>
              <w:rPr>
                <w:rFonts w:hint="eastAsia" w:cs="Times New Roman"/>
                <w:bCs/>
                <w:color w:val="auto"/>
                <w:sz w:val="24"/>
                <w:szCs w:val="24"/>
                <w:highlight w:val="none"/>
                <w:lang w:val="en-US" w:eastAsia="zh-CN"/>
              </w:rPr>
              <w:t>打粉车间位于厂区西北侧</w:t>
            </w:r>
            <w:r>
              <w:rPr>
                <w:rFonts w:hint="default" w:ascii="Times New Roman" w:hAnsi="Times New Roman" w:eastAsia="宋体" w:cs="Times New Roman"/>
                <w:bCs/>
                <w:color w:val="auto"/>
                <w:sz w:val="24"/>
                <w:szCs w:val="24"/>
                <w:highlight w:val="none"/>
              </w:rPr>
              <w:t>，</w:t>
            </w:r>
            <w:r>
              <w:rPr>
                <w:rFonts w:hint="eastAsia" w:cs="Times New Roman"/>
                <w:bCs/>
                <w:color w:val="auto"/>
                <w:sz w:val="24"/>
                <w:szCs w:val="24"/>
                <w:highlight w:val="none"/>
                <w:lang w:val="en-US" w:eastAsia="zh-CN"/>
              </w:rPr>
              <w:t>占地面积2966.35</w:t>
            </w:r>
            <w:r>
              <w:rPr>
                <w:rFonts w:hint="default" w:ascii="Times New Roman" w:hAnsi="Times New Roman" w:eastAsia="宋体" w:cs="Times New Roman"/>
                <w:bCs/>
                <w:color w:val="auto"/>
                <w:sz w:val="24"/>
                <w:szCs w:val="24"/>
                <w:highlight w:val="none"/>
              </w:rPr>
              <w:t>m</w:t>
            </w:r>
            <w:r>
              <w:rPr>
                <w:rFonts w:hint="eastAsia" w:cs="Times New Roman"/>
                <w:bCs/>
                <w:color w:val="auto"/>
                <w:sz w:val="24"/>
                <w:szCs w:val="24"/>
                <w:highlight w:val="none"/>
                <w:vertAlign w:val="superscript"/>
                <w:lang w:val="en-US" w:eastAsia="zh-CN"/>
              </w:rPr>
              <w:t>2</w:t>
            </w:r>
            <w:r>
              <w:rPr>
                <w:rFonts w:hint="default" w:ascii="Times New Roman" w:hAnsi="Times New Roman" w:eastAsia="宋体" w:cs="Times New Roman"/>
                <w:bCs/>
                <w:color w:val="auto"/>
                <w:sz w:val="24"/>
                <w:szCs w:val="24"/>
                <w:highlight w:val="none"/>
              </w:rPr>
              <w:t>，</w:t>
            </w:r>
            <w:r>
              <w:rPr>
                <w:rFonts w:hint="eastAsia" w:cs="Times New Roman"/>
                <w:bCs/>
                <w:color w:val="auto"/>
                <w:sz w:val="24"/>
                <w:szCs w:val="24"/>
                <w:highlight w:val="none"/>
                <w:lang w:val="en-US" w:eastAsia="zh-CN"/>
              </w:rPr>
              <w:t>车间内设置磨粉</w:t>
            </w:r>
            <w:r>
              <w:rPr>
                <w:rFonts w:hint="default" w:ascii="Times New Roman" w:hAnsi="Times New Roman" w:eastAsia="宋体" w:cs="Times New Roman"/>
                <w:bCs/>
                <w:color w:val="auto"/>
                <w:sz w:val="24"/>
                <w:szCs w:val="24"/>
                <w:highlight w:val="none"/>
              </w:rPr>
              <w:t>筛分</w:t>
            </w:r>
            <w:r>
              <w:rPr>
                <w:rFonts w:hint="eastAsia" w:cs="Times New Roman"/>
                <w:bCs/>
                <w:color w:val="auto"/>
                <w:sz w:val="24"/>
                <w:szCs w:val="24"/>
                <w:highlight w:val="none"/>
                <w:lang w:val="en-US" w:eastAsia="zh-CN"/>
              </w:rPr>
              <w:t>造粒设备；原料库房位于厂区西侧，占地面积4537.26</w:t>
            </w:r>
            <w:r>
              <w:rPr>
                <w:rFonts w:hint="default" w:ascii="Times New Roman" w:hAnsi="Times New Roman" w:eastAsia="宋体" w:cs="Times New Roman"/>
                <w:bCs/>
                <w:color w:val="auto"/>
                <w:sz w:val="24"/>
                <w:szCs w:val="24"/>
                <w:highlight w:val="none"/>
              </w:rPr>
              <w:t>m</w:t>
            </w:r>
            <w:r>
              <w:rPr>
                <w:rFonts w:hint="eastAsia" w:cs="Times New Roman"/>
                <w:bCs/>
                <w:color w:val="auto"/>
                <w:sz w:val="24"/>
                <w:szCs w:val="24"/>
                <w:highlight w:val="none"/>
                <w:vertAlign w:val="superscript"/>
                <w:lang w:val="en-US" w:eastAsia="zh-CN"/>
              </w:rPr>
              <w:t>2</w:t>
            </w: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冷库位于厂区东南侧，占地面积3730.56</w:t>
            </w:r>
            <w:r>
              <w:rPr>
                <w:rFonts w:hint="default" w:ascii="Times New Roman" w:hAnsi="Times New Roman" w:eastAsia="宋体" w:cs="Times New Roman"/>
                <w:bCs/>
                <w:color w:val="auto"/>
                <w:sz w:val="24"/>
                <w:szCs w:val="24"/>
                <w:highlight w:val="none"/>
              </w:rPr>
              <w:t>m</w:t>
            </w:r>
            <w:r>
              <w:rPr>
                <w:rFonts w:hint="eastAsia" w:cs="Times New Roman"/>
                <w:bCs/>
                <w:color w:val="auto"/>
                <w:sz w:val="24"/>
                <w:szCs w:val="24"/>
                <w:highlight w:val="none"/>
                <w:vertAlign w:val="superscript"/>
                <w:lang w:val="en-US" w:eastAsia="zh-CN"/>
              </w:rPr>
              <w:t>2</w:t>
            </w:r>
            <w:r>
              <w:rPr>
                <w:rFonts w:hint="default" w:ascii="Times New Roman" w:hAnsi="Times New Roman" w:eastAsia="宋体" w:cs="Times New Roman"/>
                <w:bCs/>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bCs/>
                <w:color w:val="auto"/>
              </w:rPr>
            </w:pPr>
            <w:r>
              <w:rPr>
                <w:rFonts w:hint="default" w:ascii="Times New Roman" w:hAnsi="Times New Roman" w:eastAsia="宋体" w:cs="Times New Roman"/>
                <w:bCs/>
                <w:color w:val="auto"/>
                <w:sz w:val="24"/>
                <w:szCs w:val="24"/>
                <w:highlight w:val="none"/>
              </w:rPr>
              <w:t>综合以上分析，项目平面布置比较合理，功能分区明确，各区域总体布局紧凑，辅助区域配套到位，能够满足生产和生活需求。项目总平面</w:t>
            </w:r>
            <w:r>
              <w:rPr>
                <w:rFonts w:hint="eastAsia" w:cs="Times New Roman"/>
                <w:bCs/>
                <w:color w:val="auto"/>
                <w:sz w:val="24"/>
                <w:szCs w:val="24"/>
                <w:highlight w:val="none"/>
                <w:lang w:val="en-US" w:eastAsia="zh-CN"/>
              </w:rPr>
              <w:t>布置</w:t>
            </w:r>
            <w:r>
              <w:rPr>
                <w:rFonts w:hint="default" w:ascii="Times New Roman" w:hAnsi="Times New Roman" w:eastAsia="宋体" w:cs="Times New Roman"/>
                <w:bCs/>
                <w:color w:val="auto"/>
                <w:sz w:val="24"/>
                <w:szCs w:val="24"/>
                <w:highlight w:val="none"/>
              </w:rPr>
              <w:t>图详见附图</w:t>
            </w:r>
            <w:r>
              <w:rPr>
                <w:rFonts w:hint="eastAsia" w:cs="Times New Roman"/>
                <w:bCs/>
                <w:color w:val="auto"/>
                <w:sz w:val="24"/>
                <w:szCs w:val="24"/>
                <w:highlight w:val="none"/>
                <w:lang w:val="en-US" w:eastAsia="zh-CN"/>
              </w:rPr>
              <w:t>4，周边环境关系图见附图5</w:t>
            </w:r>
            <w:r>
              <w:rPr>
                <w:rFonts w:hint="default" w:ascii="Times New Roman" w:hAnsi="Times New Roman" w:eastAsia="宋体" w:cs="Times New Roman"/>
                <w:bCs/>
                <w:color w:val="auto"/>
                <w:sz w:val="24"/>
                <w:szCs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85"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工艺流程和产排污环节</w:t>
            </w:r>
          </w:p>
        </w:tc>
        <w:tc>
          <w:tcPr>
            <w:tcW w:w="8499" w:type="dxa"/>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color w:val="auto"/>
              </w:rPr>
            </w:pPr>
            <w:r>
              <w:rPr>
                <w:rFonts w:hint="default" w:ascii="Times New Roman" w:hAnsi="Times New Roman" w:eastAsia="宋体" w:cs="Times New Roman"/>
                <w:b/>
                <w:color w:val="auto"/>
              </w:rPr>
              <w:t>2.7施工期</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auto"/>
              </w:rPr>
            </w:pPr>
            <w:r>
              <w:rPr>
                <w:rFonts w:hint="default" w:ascii="Times New Roman" w:hAnsi="Times New Roman" w:eastAsia="宋体" w:cs="Times New Roman"/>
                <w:bCs/>
                <w:color w:val="auto"/>
              </w:rPr>
              <w:t>本项目</w:t>
            </w:r>
            <w:r>
              <w:rPr>
                <w:rFonts w:hint="eastAsia" w:cs="Times New Roman"/>
                <w:bCs/>
                <w:color w:val="auto"/>
                <w:lang w:val="en-US" w:eastAsia="zh-CN"/>
              </w:rPr>
              <w:t>基础工程施工方案及产排污环节见下图</w:t>
            </w:r>
            <w:r>
              <w:rPr>
                <w:rFonts w:hint="default" w:ascii="Times New Roman" w:hAnsi="Times New Roman" w:eastAsia="宋体" w:cs="Times New Roman"/>
                <w:bCs/>
                <w:color w:val="auto"/>
              </w:rPr>
              <w:t>。</w:t>
            </w:r>
          </w:p>
          <w:p>
            <w:pPr>
              <w:jc w:val="center"/>
              <w:rPr>
                <w:rFonts w:hint="default" w:ascii="Times New Roman" w:hAnsi="Times New Roman" w:cs="Times New Roman"/>
                <w:b/>
                <w:bCs/>
                <w:color w:val="auto"/>
              </w:rPr>
            </w:pPr>
            <w:r>
              <w:rPr>
                <w:rFonts w:hint="default" w:ascii="Times New Roman" w:hAnsi="Times New Roman" w:cs="Times New Roman"/>
                <w:color w:val="auto"/>
              </w:rPr>
              <w:drawing>
                <wp:inline distT="0" distB="0" distL="114300" distR="114300">
                  <wp:extent cx="3417570" cy="1431290"/>
                  <wp:effectExtent l="9525" t="9525" r="17145" b="22225"/>
                  <wp:docPr id="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2"/>
                          <pic:cNvPicPr>
                            <a:picLocks noChangeAspect="1"/>
                          </pic:cNvPicPr>
                        </pic:nvPicPr>
                        <pic:blipFill>
                          <a:blip r:embed="rId14"/>
                          <a:stretch>
                            <a:fillRect/>
                          </a:stretch>
                        </pic:blipFill>
                        <pic:spPr>
                          <a:xfrm>
                            <a:off x="0" y="0"/>
                            <a:ext cx="3417570" cy="1431290"/>
                          </a:xfrm>
                          <a:prstGeom prst="rect">
                            <a:avLst/>
                          </a:prstGeom>
                          <a:noFill/>
                          <a:ln>
                            <a:solidFill>
                              <a:schemeClr val="tx1"/>
                            </a:solid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图2.7-1   施工期工艺流程及排污环节图</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auto"/>
              </w:rPr>
            </w:pPr>
            <w:r>
              <w:rPr>
                <w:rFonts w:hint="eastAsia" w:ascii="Times New Roman" w:hAnsi="Times New Roman" w:eastAsia="宋体" w:cs="Times New Roman"/>
                <w:b w:val="0"/>
                <w:bCs/>
                <w:color w:val="auto"/>
                <w:lang w:val="en-US" w:eastAsia="zh-CN"/>
              </w:rPr>
              <w:t>项目施工期产污节点：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auto"/>
              </w:rPr>
            </w:pPr>
            <w:r>
              <w:rPr>
                <w:rFonts w:hint="eastAsia" w:ascii="Times New Roman" w:hAnsi="Times New Roman" w:eastAsia="宋体" w:cs="Times New Roman"/>
                <w:bCs/>
                <w:color w:val="auto"/>
                <w:lang w:val="en-US" w:eastAsia="zh-CN"/>
              </w:rPr>
              <w:t>废气：基础施工、建设建筑物等造成大量扬尘，施工机械运行排放的尾气；</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auto"/>
              </w:rPr>
            </w:pPr>
            <w:r>
              <w:rPr>
                <w:rFonts w:hint="eastAsia" w:ascii="Times New Roman" w:hAnsi="Times New Roman" w:eastAsia="宋体" w:cs="Times New Roman"/>
                <w:bCs/>
                <w:color w:val="auto"/>
                <w:lang w:val="en-US" w:eastAsia="zh-CN"/>
              </w:rPr>
              <w:t>废水：施工人员工地产生的少量生活污水及施工过程中产生施工废水；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auto"/>
              </w:rPr>
            </w:pPr>
            <w:r>
              <w:rPr>
                <w:rFonts w:hint="eastAsia" w:ascii="Times New Roman" w:hAnsi="Times New Roman" w:eastAsia="宋体" w:cs="Times New Roman"/>
                <w:bCs/>
                <w:color w:val="auto"/>
                <w:lang w:val="en-US" w:eastAsia="zh-CN"/>
              </w:rPr>
              <w:t>噪声：施工机械造成</w:t>
            </w:r>
            <w:r>
              <w:rPr>
                <w:rFonts w:hint="eastAsia" w:cs="Times New Roman"/>
                <w:bCs/>
                <w:color w:val="auto"/>
                <w:lang w:val="en-US" w:eastAsia="zh-CN"/>
              </w:rPr>
              <w:t>，施工过程中的主要高噪声设备有：电锯、运输车辆等</w:t>
            </w:r>
            <w:r>
              <w:rPr>
                <w:rFonts w:hint="eastAsia" w:ascii="Times New Roman" w:hAnsi="Times New Roman" w:eastAsia="宋体" w:cs="Times New Roman"/>
                <w:bCs/>
                <w:color w:val="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auto"/>
              </w:rPr>
            </w:pPr>
            <w:r>
              <w:rPr>
                <w:rFonts w:hint="eastAsia" w:ascii="Times New Roman" w:hAnsi="Times New Roman" w:eastAsia="宋体" w:cs="Times New Roman"/>
                <w:bCs/>
                <w:color w:val="auto"/>
                <w:lang w:val="en-US" w:eastAsia="zh-CN"/>
              </w:rPr>
              <w:t>固废：基础开挖将产生一定的土方量，土建工程施工废弃物、生活垃圾；</w:t>
            </w:r>
          </w:p>
          <w:p>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2.8运营期工艺流程与产污环节分析</w:t>
            </w:r>
          </w:p>
          <w:p>
            <w:pPr>
              <w:pStyle w:val="57"/>
              <w:keepNext w:val="0"/>
              <w:keepLines w:val="0"/>
              <w:pageBreakBefore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pacing w:val="6"/>
                <w:szCs w:val="24"/>
                <w:lang w:val="en-US" w:eastAsia="zh-CN"/>
              </w:rPr>
            </w:pPr>
            <w:r>
              <w:rPr>
                <w:rFonts w:hint="default"/>
                <w:color w:val="auto"/>
                <w:lang w:val="en-US" w:eastAsia="zh-CN"/>
              </w:rPr>
              <w:t>本项目运营期</w:t>
            </w:r>
            <w:r>
              <w:rPr>
                <w:rFonts w:hint="eastAsia"/>
                <w:color w:val="auto"/>
                <w:lang w:val="en-US" w:eastAsia="zh-CN"/>
              </w:rPr>
              <w:t>设置1条辣椒颗粒生产线</w:t>
            </w:r>
            <w:r>
              <w:rPr>
                <w:rFonts w:hint="default"/>
                <w:color w:val="auto"/>
                <w:lang w:val="en-US" w:eastAsia="zh-CN"/>
              </w:rPr>
              <w:t>。具体生产工艺及产污环节见下图2</w:t>
            </w:r>
            <w:r>
              <w:rPr>
                <w:rFonts w:hint="eastAsia"/>
                <w:color w:val="auto"/>
                <w:lang w:val="en-US" w:eastAsia="zh-CN"/>
              </w:rPr>
              <w:t>.8-1</w:t>
            </w:r>
            <w:r>
              <w:rPr>
                <w:rFonts w:hint="default"/>
                <w:color w:val="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rPr>
            </w:pPr>
            <w:r>
              <w:object>
                <v:shape id="_x0000_i1025" o:spt="75" type="#_x0000_t75" style="height:137.5pt;width:415.2pt;" o:ole="t" filled="f" o:preferrelative="t" stroked="f" coordsize="21600,21600">
                  <v:path/>
                  <v:fill on="f" focussize="0,0"/>
                  <v:stroke on="f"/>
                  <v:imagedata r:id="rId16" o:title=""/>
                  <o:lock v:ext="edit" aspectratio="f"/>
                  <w10:wrap type="none"/>
                  <w10:anchorlock/>
                </v:shape>
                <o:OLEObject Type="Embed" ProgID="Visio.Drawing.15" ShapeID="_x0000_i1025" DrawAspect="Content" ObjectID="_1468075726" r:id="rId15">
                  <o:LockedField>false</o:LockedField>
                </o:OLEObject>
              </w:object>
            </w:r>
            <w:r>
              <w:rPr>
                <w:rFonts w:hint="default" w:ascii="Times New Roman" w:hAnsi="Times New Roman" w:eastAsia="宋体" w:cs="Times New Roman"/>
                <w:b/>
                <w:bCs/>
                <w:color w:val="auto"/>
                <w:sz w:val="21"/>
                <w:szCs w:val="21"/>
                <w:lang w:val="en-US" w:eastAsia="zh-CN"/>
              </w:rPr>
              <w:t xml:space="preserve">图2.8-1 </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lang w:val="en-US" w:eastAsia="zh-CN"/>
              </w:rPr>
              <w:t xml:space="preserve"> </w:t>
            </w:r>
            <w:r>
              <w:rPr>
                <w:rFonts w:hint="eastAsia" w:ascii="Times New Roman" w:hAnsi="Times New Roman" w:eastAsia="宋体" w:cs="Times New Roman"/>
                <w:b/>
                <w:bCs/>
                <w:color w:val="auto"/>
                <w:sz w:val="21"/>
                <w:szCs w:val="21"/>
                <w:lang w:val="en-US" w:eastAsia="zh-CN"/>
              </w:rPr>
              <w:t>生产</w:t>
            </w:r>
            <w:r>
              <w:rPr>
                <w:rFonts w:hint="default" w:ascii="Times New Roman" w:hAnsi="Times New Roman" w:eastAsia="宋体" w:cs="Times New Roman"/>
                <w:b/>
                <w:bCs/>
                <w:color w:val="auto"/>
                <w:sz w:val="21"/>
                <w:szCs w:val="21"/>
                <w:lang w:val="en-US" w:eastAsia="zh-CN"/>
              </w:rPr>
              <w:t>工艺流程及排污环节图</w:t>
            </w:r>
          </w:p>
          <w:p>
            <w:pPr>
              <w:pStyle w:val="31"/>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Times New Roman" w:hAnsi="Times New Roman" w:eastAsia="宋体" w:cs="Times New Roman"/>
                <w:b w:val="0"/>
                <w:bCs/>
                <w:color w:val="auto"/>
                <w:sz w:val="24"/>
                <w:lang w:eastAsia="zh-CN"/>
              </w:rPr>
            </w:pPr>
            <w:r>
              <w:rPr>
                <w:rFonts w:hint="default" w:ascii="Times New Roman" w:hAnsi="Times New Roman" w:eastAsia="宋体" w:cs="Times New Roman"/>
                <w:b w:val="0"/>
                <w:bCs/>
                <w:color w:val="auto"/>
                <w:sz w:val="24"/>
              </w:rPr>
              <w:t>①从新疆福满鑫食品有限公司处收购分段辣椒皮和辣椒籽开始进行加工</w:t>
            </w:r>
            <w:r>
              <w:rPr>
                <w:rFonts w:hint="eastAsia" w:hAnsi="Times New Roman" w:cs="Times New Roman"/>
                <w:b w:val="0"/>
                <w:bCs/>
                <w:color w:val="auto"/>
                <w:sz w:val="24"/>
                <w:lang w:eastAsia="zh-CN"/>
              </w:rPr>
              <w:t>；</w:t>
            </w:r>
          </w:p>
          <w:p>
            <w:pPr>
              <w:pStyle w:val="31"/>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default" w:ascii="Times New Roman" w:hAnsi="Times New Roman" w:eastAsia="宋体" w:cs="Times New Roman"/>
                <w:b w:val="0"/>
                <w:bCs/>
                <w:color w:val="auto"/>
                <w:sz w:val="24"/>
                <w:lang w:val="en-US" w:eastAsia="zh-CN"/>
              </w:rPr>
            </w:pPr>
            <w:r>
              <w:rPr>
                <w:rFonts w:hint="default" w:ascii="Times New Roman" w:hAnsi="Times New Roman" w:eastAsia="宋体" w:cs="Times New Roman"/>
                <w:b w:val="0"/>
                <w:bCs/>
                <w:color w:val="auto"/>
                <w:sz w:val="24"/>
              </w:rPr>
              <w:t>②</w:t>
            </w:r>
            <w:r>
              <w:rPr>
                <w:rFonts w:hint="eastAsia" w:hAnsi="Times New Roman" w:cs="Times New Roman"/>
                <w:b w:val="0"/>
                <w:bCs/>
                <w:color w:val="auto"/>
                <w:sz w:val="24"/>
                <w:lang w:val="en-US" w:eastAsia="zh-CN"/>
              </w:rPr>
              <w:t>辣椒皮和辣椒籽通过喂料机</w:t>
            </w:r>
            <w:r>
              <w:rPr>
                <w:rFonts w:hint="default" w:ascii="Times New Roman" w:hAnsi="Times New Roman" w:eastAsia="宋体" w:cs="Times New Roman"/>
                <w:b w:val="0"/>
                <w:bCs/>
                <w:color w:val="auto"/>
                <w:sz w:val="24"/>
              </w:rPr>
              <w:t>进入</w:t>
            </w:r>
            <w:r>
              <w:rPr>
                <w:rFonts w:hint="eastAsia" w:hAnsi="Times New Roman" w:cs="Times New Roman"/>
                <w:b w:val="0"/>
                <w:bCs/>
                <w:color w:val="auto"/>
                <w:sz w:val="24"/>
                <w:lang w:val="en-US" w:eastAsia="zh-CN"/>
              </w:rPr>
              <w:t>磨粉工序</w:t>
            </w:r>
            <w:r>
              <w:rPr>
                <w:rFonts w:hint="default" w:ascii="Times New Roman" w:hAnsi="Times New Roman" w:eastAsia="宋体" w:cs="Times New Roman"/>
                <w:b w:val="0"/>
                <w:bCs/>
                <w:color w:val="auto"/>
                <w:sz w:val="24"/>
              </w:rPr>
              <w:t>，</w:t>
            </w:r>
            <w:r>
              <w:rPr>
                <w:rFonts w:hint="eastAsia" w:hAnsi="Times New Roman" w:cs="Times New Roman"/>
                <w:b w:val="0"/>
                <w:bCs/>
                <w:color w:val="auto"/>
                <w:sz w:val="24"/>
                <w:lang w:val="en-US" w:eastAsia="zh-CN"/>
              </w:rPr>
              <w:t>磨出的粉通过振动筛分离出合格的粉与不合格的粗渣，不合格的粗渣重新进行磨粉机，合格的辣椒粉进入搅拌罐混合，混合后通过除磁机去磁，去完磁的辣椒粉进入造粒机，造粒后自然冷却装袋外售。</w:t>
            </w:r>
          </w:p>
          <w:p>
            <w:pPr>
              <w:pStyle w:val="31"/>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default" w:ascii="Times New Roman" w:hAnsi="Times New Roman" w:eastAsia="宋体" w:cs="Times New Roman"/>
                <w:b w:val="0"/>
                <w:bCs/>
                <w:color w:val="auto"/>
                <w:sz w:val="24"/>
              </w:rPr>
            </w:pPr>
            <w:r>
              <w:rPr>
                <w:rFonts w:hint="default" w:ascii="Times New Roman" w:hAnsi="Times New Roman" w:eastAsia="宋体" w:cs="Times New Roman"/>
                <w:b w:val="0"/>
                <w:bCs/>
                <w:color w:val="auto"/>
                <w:sz w:val="24"/>
              </w:rPr>
              <w:t>主要产污环节：</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hAnsi="Times New Roman" w:cs="Times New Roman"/>
                <w:b w:val="0"/>
                <w:bCs/>
                <w:color w:val="auto"/>
                <w:sz w:val="24"/>
                <w:lang w:val="en-US" w:eastAsia="zh-CN"/>
              </w:rPr>
            </w:pPr>
            <w:r>
              <w:rPr>
                <w:rFonts w:hint="eastAsia" w:hAnsi="Times New Roman" w:cs="Times New Roman"/>
                <w:b w:val="0"/>
                <w:bCs/>
                <w:color w:val="auto"/>
                <w:sz w:val="24"/>
                <w:lang w:val="en-US" w:eastAsia="zh-CN"/>
              </w:rPr>
              <w:t>废气：废气产污环节包括</w:t>
            </w:r>
            <w:r>
              <w:rPr>
                <w:rFonts w:hint="eastAsia" w:cs="Times New Roman"/>
                <w:b w:val="0"/>
                <w:bCs/>
                <w:color w:val="auto"/>
                <w:sz w:val="24"/>
                <w:lang w:val="en-US" w:eastAsia="zh-CN"/>
              </w:rPr>
              <w:t>上料、</w:t>
            </w:r>
            <w:r>
              <w:rPr>
                <w:rFonts w:hint="eastAsia" w:hAnsi="Times New Roman" w:cs="Times New Roman"/>
                <w:b w:val="0"/>
                <w:bCs/>
                <w:color w:val="auto"/>
                <w:sz w:val="24"/>
                <w:lang w:val="en-US" w:eastAsia="zh-CN"/>
              </w:rPr>
              <w:t>磨粉工序、筛分工序、混合工序</w:t>
            </w:r>
            <w:r>
              <w:rPr>
                <w:rFonts w:hint="eastAsia" w:cs="Times New Roman"/>
                <w:b w:val="0"/>
                <w:bCs/>
                <w:color w:val="auto"/>
                <w:sz w:val="24"/>
                <w:lang w:val="en-US" w:eastAsia="zh-CN"/>
              </w:rPr>
              <w:t>、造粒</w:t>
            </w:r>
            <w:r>
              <w:rPr>
                <w:rFonts w:hint="eastAsia" w:hAnsi="Times New Roman" w:cs="Times New Roman"/>
                <w:b w:val="0"/>
                <w:bCs/>
                <w:color w:val="auto"/>
                <w:sz w:val="24"/>
                <w:lang w:val="en-US" w:eastAsia="zh-CN"/>
              </w:rPr>
              <w:t>会产生粉尘，主要产生污染物为颗粒物；</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hAnsi="Times New Roman" w:cs="Times New Roman"/>
                <w:b w:val="0"/>
                <w:bCs/>
                <w:color w:val="auto"/>
                <w:sz w:val="24"/>
                <w:lang w:val="en-US" w:eastAsia="zh-CN"/>
              </w:rPr>
            </w:pPr>
            <w:r>
              <w:rPr>
                <w:rFonts w:hint="eastAsia" w:hAnsi="Times New Roman" w:cs="Times New Roman"/>
                <w:b w:val="0"/>
                <w:bCs/>
                <w:color w:val="auto"/>
                <w:sz w:val="24"/>
                <w:lang w:val="en-US" w:eastAsia="zh-CN"/>
              </w:rPr>
              <w:t>噪声：噪声产污环节主要为各生产设施运行噪声；</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eastAsia="宋体"/>
                <w:color w:val="auto"/>
                <w:lang w:eastAsia="zh-CN"/>
              </w:rPr>
            </w:pPr>
            <w:r>
              <w:rPr>
                <w:rFonts w:hint="eastAsia" w:hAnsi="Times New Roman" w:cs="Times New Roman"/>
                <w:b w:val="0"/>
                <w:bCs/>
                <w:color w:val="auto"/>
                <w:sz w:val="24"/>
                <w:lang w:val="en-US" w:eastAsia="zh-CN"/>
              </w:rPr>
              <w:t>固废：本项目产生的主要固体废物有</w:t>
            </w:r>
            <w:r>
              <w:rPr>
                <w:rFonts w:hint="eastAsia" w:cs="Times New Roman"/>
                <w:b w:val="0"/>
                <w:bCs/>
                <w:color w:val="auto"/>
                <w:sz w:val="24"/>
                <w:lang w:val="en-US" w:eastAsia="zh-CN"/>
              </w:rPr>
              <w:t>筛分</w:t>
            </w:r>
            <w:r>
              <w:rPr>
                <w:rFonts w:hint="eastAsia" w:hAnsi="Times New Roman" w:cs="Times New Roman"/>
                <w:b w:val="0"/>
                <w:bCs/>
                <w:color w:val="auto"/>
                <w:sz w:val="24"/>
                <w:lang w:val="en-US" w:eastAsia="zh-CN"/>
              </w:rPr>
              <w:t>工序会产生不合格的粗渣；</w:t>
            </w:r>
            <w:r>
              <w:rPr>
                <w:rFonts w:hint="eastAsia" w:cs="Times New Roman"/>
                <w:b w:val="0"/>
                <w:bCs/>
                <w:color w:val="auto"/>
                <w:sz w:val="24"/>
                <w:lang w:val="en-US" w:eastAsia="zh-CN"/>
              </w:rPr>
              <w:t>除尘灰</w:t>
            </w:r>
            <w:r>
              <w:rPr>
                <w:rFonts w:hint="eastAsia" w:hAnsi="Times New Roman" w:cs="Times New Roman"/>
                <w:b w:val="0"/>
                <w:bCs/>
                <w:color w:val="auto"/>
                <w:sz w:val="24"/>
                <w:lang w:val="en-US" w:eastAsia="zh-CN"/>
              </w:rPr>
              <w:t>、废布袋；生产设备维修产生的废机油、废油桶；生活垃圾。</w:t>
            </w:r>
          </w:p>
          <w:p>
            <w:pPr>
              <w:keepNext w:val="0"/>
              <w:keepLines w:val="0"/>
              <w:pageBreakBefore w:val="0"/>
              <w:widowControl w:val="0"/>
              <w:kinsoku/>
              <w:wordWrap/>
              <w:overflowPunct/>
              <w:topLinePunct w:val="0"/>
              <w:bidi w:val="0"/>
              <w:adjustRightInd w:val="0"/>
              <w:snapToGrid w:val="0"/>
              <w:spacing w:line="500" w:lineRule="exact"/>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2.</w:t>
            </w:r>
            <w:r>
              <w:rPr>
                <w:rFonts w:hint="default" w:ascii="Times New Roman" w:hAnsi="Times New Roman" w:eastAsia="宋体" w:cs="Times New Roman"/>
                <w:b/>
                <w:bCs/>
                <w:color w:val="000000" w:themeColor="text1"/>
                <w:lang w:val="en-US" w:eastAsia="zh-CN"/>
                <w14:textFill>
                  <w14:solidFill>
                    <w14:schemeClr w14:val="tx1"/>
                  </w14:solidFill>
                </w14:textFill>
              </w:rPr>
              <w:t>8.2</w:t>
            </w:r>
            <w:r>
              <w:rPr>
                <w:rFonts w:hint="default" w:ascii="Times New Roman" w:hAnsi="Times New Roman" w:eastAsia="宋体" w:cs="Times New Roman"/>
                <w:b/>
                <w:bCs/>
                <w:color w:val="000000" w:themeColor="text1"/>
                <w14:textFill>
                  <w14:solidFill>
                    <w14:schemeClr w14:val="tx1"/>
                  </w14:solidFill>
                </w14:textFill>
              </w:rPr>
              <w:t>主要污染工序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项目运营期主要污染工序见表</w:t>
            </w:r>
            <w:r>
              <w:rPr>
                <w:rFonts w:hint="eastAsia" w:cs="Times New Roman"/>
                <w:bCs/>
                <w:color w:val="000000" w:themeColor="text1"/>
                <w:lang w:val="en-US" w:eastAsia="zh-CN"/>
                <w14:textFill>
                  <w14:solidFill>
                    <w14:schemeClr w14:val="tx1"/>
                  </w14:solidFill>
                </w14:textFill>
              </w:rPr>
              <w:t>2.8-2</w:t>
            </w:r>
            <w:r>
              <w:rPr>
                <w:rFonts w:hint="default" w:ascii="Times New Roman" w:hAnsi="Times New Roman" w:eastAsia="宋体" w:cs="Times New Roman"/>
                <w:bCs/>
                <w:color w:val="000000" w:themeColor="text1"/>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表2</w:t>
            </w:r>
            <w:r>
              <w:rPr>
                <w:rFonts w:hint="eastAsia" w:ascii="Times New Roman" w:hAnsi="Times New Roman" w:eastAsia="宋体" w:cs="Times New Roman"/>
                <w:b/>
                <w:bCs/>
                <w:color w:val="auto"/>
                <w:sz w:val="21"/>
                <w:szCs w:val="21"/>
                <w:lang w:val="en-US" w:eastAsia="zh-CN"/>
              </w:rPr>
              <w:t>.8-2</w:t>
            </w:r>
            <w:r>
              <w:rPr>
                <w:rFonts w:hint="default" w:ascii="Times New Roman" w:hAnsi="Times New Roman" w:eastAsia="宋体" w:cs="Times New Roman"/>
                <w:b/>
                <w:bCs/>
                <w:color w:val="auto"/>
                <w:sz w:val="21"/>
                <w:szCs w:val="21"/>
                <w:lang w:val="en-US" w:eastAsia="zh-CN"/>
              </w:rPr>
              <w:t xml:space="preserve">  主要污染工序汇总表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528"/>
              <w:gridCol w:w="1966"/>
              <w:gridCol w:w="4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类别</w:t>
                  </w:r>
                </w:p>
              </w:tc>
              <w:tc>
                <w:tcPr>
                  <w:tcW w:w="923"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污染源</w:t>
                  </w:r>
                </w:p>
              </w:tc>
              <w:tc>
                <w:tcPr>
                  <w:tcW w:w="118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污染物名称</w:t>
                  </w:r>
                </w:p>
              </w:tc>
              <w:tc>
                <w:tcPr>
                  <w:tcW w:w="2449"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38" w:type="pct"/>
                  <w:vMerge w:val="restar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废气</w:t>
                  </w:r>
                </w:p>
              </w:tc>
              <w:tc>
                <w:tcPr>
                  <w:tcW w:w="923" w:type="pct"/>
                  <w:tcBorders>
                    <w:tl2br w:val="nil"/>
                    <w:tr2bl w:val="nil"/>
                  </w:tcBorders>
                  <w:shd w:val="clear" w:color="auto" w:fill="auto"/>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snapToGrid/>
                      <w:color w:val="000000" w:themeColor="text1"/>
                      <w:kern w:val="2"/>
                      <w:sz w:val="21"/>
                      <w:szCs w:val="22"/>
                      <w:lang w:val="en-US" w:eastAsia="zh-CN" w:bidi="ar-SA"/>
                      <w14:textFill>
                        <w14:solidFill>
                          <w14:schemeClr w14:val="tx1"/>
                        </w14:solidFill>
                      </w14:textFill>
                      <w14:ligatures w14:val="standardContextual"/>
                    </w:rPr>
                  </w:pPr>
                  <w:r>
                    <w:rPr>
                      <w:rFonts w:hint="eastAsia" w:ascii="Times New Roman" w:hAnsi="Times New Roman" w:eastAsia="宋体" w:cs="Times New Roman"/>
                      <w:color w:val="000000" w:themeColor="text1"/>
                      <w:sz w:val="21"/>
                      <w:lang w:val="en-US" w:eastAsia="zh-CN"/>
                      <w14:textFill>
                        <w14:solidFill>
                          <w14:schemeClr w14:val="tx1"/>
                        </w14:solidFill>
                      </w14:textFill>
                    </w:rPr>
                    <w:t>车辆运输扬尘</w:t>
                  </w:r>
                </w:p>
              </w:tc>
              <w:tc>
                <w:tcPr>
                  <w:tcW w:w="1188" w:type="pct"/>
                  <w:tcBorders>
                    <w:tl2br w:val="nil"/>
                    <w:tr2bl w:val="nil"/>
                  </w:tcBorders>
                  <w:shd w:val="clear" w:color="auto" w:fill="auto"/>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snapToGrid/>
                      <w:color w:val="000000" w:themeColor="text1"/>
                      <w:kern w:val="2"/>
                      <w:sz w:val="21"/>
                      <w:szCs w:val="22"/>
                      <w:lang w:val="en-US" w:eastAsia="zh-CN" w:bidi="ar-SA"/>
                      <w14:textFill>
                        <w14:solidFill>
                          <w14:schemeClr w14:val="tx1"/>
                        </w14:solidFill>
                      </w14:textFill>
                      <w14:ligatures w14:val="standardContextual"/>
                    </w:rPr>
                  </w:pPr>
                  <w:r>
                    <w:rPr>
                      <w:rFonts w:hint="default" w:ascii="Times New Roman" w:hAnsi="Times New Roman" w:eastAsia="宋体" w:cs="Times New Roman"/>
                      <w:color w:val="000000" w:themeColor="text1"/>
                      <w:sz w:val="21"/>
                      <w:lang w:val="en-US" w:eastAsia="zh-CN"/>
                      <w14:textFill>
                        <w14:solidFill>
                          <w14:schemeClr w14:val="tx1"/>
                        </w14:solidFill>
                      </w14:textFill>
                    </w:rPr>
                    <w:t>颗粒物</w:t>
                  </w:r>
                </w:p>
              </w:tc>
              <w:tc>
                <w:tcPr>
                  <w:tcW w:w="2449" w:type="pct"/>
                  <w:tcBorders>
                    <w:tl2br w:val="nil"/>
                    <w:tr2bl w:val="nil"/>
                  </w:tcBorders>
                  <w:shd w:val="clear" w:color="auto" w:fill="auto"/>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snapToGrid/>
                      <w:color w:val="000000" w:themeColor="text1"/>
                      <w:kern w:val="2"/>
                      <w:sz w:val="21"/>
                      <w:szCs w:val="22"/>
                      <w:lang w:val="en-US" w:eastAsia="zh-CN" w:bidi="ar-SA"/>
                      <w14:textFill>
                        <w14:solidFill>
                          <w14:schemeClr w14:val="tx1"/>
                        </w14:solidFill>
                      </w14:textFill>
                      <w14:ligatures w14:val="standardContextual"/>
                    </w:rPr>
                  </w:pPr>
                  <w:r>
                    <w:rPr>
                      <w:rFonts w:hint="eastAsia" w:ascii="Times New Roman" w:hAnsi="Times New Roman" w:eastAsia="宋体" w:cs="Times New Roman"/>
                      <w:color w:val="000000" w:themeColor="text1"/>
                      <w:sz w:val="21"/>
                      <w:lang w:val="en-US" w:eastAsia="zh-CN"/>
                      <w14:textFill>
                        <w14:solidFill>
                          <w14:schemeClr w14:val="tx1"/>
                        </w14:solidFill>
                      </w14:textFill>
                    </w:rPr>
                    <w:t>道路洒水降尘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38" w:type="pct"/>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Times New Roman" w:hAnsi="Times New Roman" w:eastAsia="宋体" w:cs="Times New Roman"/>
                      <w:color w:val="000000" w:themeColor="text1"/>
                      <w:sz w:val="21"/>
                      <w:lang w:val="en-US" w:eastAsia="zh-CN"/>
                      <w14:textFill>
                        <w14:solidFill>
                          <w14:schemeClr w14:val="tx1"/>
                        </w14:solidFill>
                      </w14:textFill>
                    </w:rPr>
                  </w:pPr>
                </w:p>
              </w:tc>
              <w:tc>
                <w:tcPr>
                  <w:tcW w:w="923" w:type="pct"/>
                  <w:tcBorders>
                    <w:tl2br w:val="nil"/>
                    <w:tr2bl w:val="nil"/>
                  </w:tcBorders>
                  <w:shd w:val="clear" w:color="auto" w:fill="auto"/>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上料</w:t>
                  </w:r>
                </w:p>
              </w:tc>
              <w:tc>
                <w:tcPr>
                  <w:tcW w:w="1188" w:type="pct"/>
                  <w:tcBorders>
                    <w:tl2br w:val="nil"/>
                    <w:tr2bl w:val="nil"/>
                  </w:tcBorders>
                  <w:shd w:val="clear" w:color="auto" w:fill="auto"/>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颗粒物</w:t>
                  </w:r>
                </w:p>
              </w:tc>
              <w:tc>
                <w:tcPr>
                  <w:tcW w:w="2449" w:type="pct"/>
                  <w:vMerge w:val="restart"/>
                  <w:tcBorders>
                    <w:tl2br w:val="nil"/>
                    <w:tr2bl w:val="nil"/>
                  </w:tcBorders>
                  <w:shd w:val="clear" w:color="auto" w:fill="auto"/>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布袋除尘器+15m排气筒（DA001）排放。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8" w:type="pct"/>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p>
              </w:tc>
              <w:tc>
                <w:tcPr>
                  <w:tcW w:w="923"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磨粉工序</w:t>
                  </w:r>
                </w:p>
              </w:tc>
              <w:tc>
                <w:tcPr>
                  <w:tcW w:w="118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颗粒物</w:t>
                  </w:r>
                  <w:r>
                    <w:rPr>
                      <w:rFonts w:hint="eastAsia" w:ascii="Times New Roman" w:hAnsi="Times New Roman" w:eastAsia="宋体" w:cs="Times New Roman"/>
                      <w:color w:val="000000" w:themeColor="text1"/>
                      <w:sz w:val="21"/>
                      <w:lang w:val="en-US" w:eastAsia="zh-CN"/>
                      <w14:textFill>
                        <w14:solidFill>
                          <w14:schemeClr w14:val="tx1"/>
                        </w14:solidFill>
                      </w14:textFill>
                    </w:rPr>
                    <w:t>、臭气浓度</w:t>
                  </w:r>
                </w:p>
              </w:tc>
              <w:tc>
                <w:tcPr>
                  <w:tcW w:w="2449" w:type="pct"/>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8" w:type="pct"/>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p>
              </w:tc>
              <w:tc>
                <w:tcPr>
                  <w:tcW w:w="923"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筛分工序</w:t>
                  </w:r>
                </w:p>
              </w:tc>
              <w:tc>
                <w:tcPr>
                  <w:tcW w:w="118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颗粒物</w:t>
                  </w:r>
                  <w:r>
                    <w:rPr>
                      <w:rFonts w:hint="eastAsia" w:ascii="Times New Roman" w:hAnsi="Times New Roman" w:eastAsia="宋体" w:cs="Times New Roman"/>
                      <w:color w:val="000000" w:themeColor="text1"/>
                      <w:sz w:val="21"/>
                      <w:lang w:val="en-US" w:eastAsia="zh-CN"/>
                      <w14:textFill>
                        <w14:solidFill>
                          <w14:schemeClr w14:val="tx1"/>
                        </w14:solidFill>
                      </w14:textFill>
                    </w:rPr>
                    <w:t>、臭气浓度</w:t>
                  </w:r>
                </w:p>
              </w:tc>
              <w:tc>
                <w:tcPr>
                  <w:tcW w:w="2449" w:type="pct"/>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8" w:type="pct"/>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p>
              </w:tc>
              <w:tc>
                <w:tcPr>
                  <w:tcW w:w="923"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混合工序</w:t>
                  </w:r>
                </w:p>
              </w:tc>
              <w:tc>
                <w:tcPr>
                  <w:tcW w:w="118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颗粒物</w:t>
                  </w:r>
                  <w:r>
                    <w:rPr>
                      <w:rFonts w:hint="eastAsia" w:ascii="Times New Roman" w:hAnsi="Times New Roman" w:eastAsia="宋体" w:cs="Times New Roman"/>
                      <w:color w:val="000000" w:themeColor="text1"/>
                      <w:sz w:val="21"/>
                      <w:lang w:val="en-US" w:eastAsia="zh-CN"/>
                      <w14:textFill>
                        <w14:solidFill>
                          <w14:schemeClr w14:val="tx1"/>
                        </w14:solidFill>
                      </w14:textFill>
                    </w:rPr>
                    <w:t>、臭气浓度</w:t>
                  </w:r>
                </w:p>
              </w:tc>
              <w:tc>
                <w:tcPr>
                  <w:tcW w:w="2449" w:type="pct"/>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8" w:type="pct"/>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p>
              </w:tc>
              <w:tc>
                <w:tcPr>
                  <w:tcW w:w="923"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造粒工序</w:t>
                  </w:r>
                </w:p>
              </w:tc>
              <w:tc>
                <w:tcPr>
                  <w:tcW w:w="118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颗粒物</w:t>
                  </w:r>
                  <w:r>
                    <w:rPr>
                      <w:rFonts w:hint="eastAsia" w:ascii="Times New Roman" w:hAnsi="Times New Roman" w:eastAsia="宋体" w:cs="Times New Roman"/>
                      <w:color w:val="000000" w:themeColor="text1"/>
                      <w:sz w:val="21"/>
                      <w:lang w:val="en-US" w:eastAsia="zh-CN"/>
                      <w14:textFill>
                        <w14:solidFill>
                          <w14:schemeClr w14:val="tx1"/>
                        </w14:solidFill>
                      </w14:textFill>
                    </w:rPr>
                    <w:t>、臭气浓度</w:t>
                  </w:r>
                </w:p>
              </w:tc>
              <w:tc>
                <w:tcPr>
                  <w:tcW w:w="2449" w:type="pct"/>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3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噪声</w:t>
                  </w:r>
                </w:p>
              </w:tc>
              <w:tc>
                <w:tcPr>
                  <w:tcW w:w="923"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各生产工序生产设施</w:t>
                  </w:r>
                </w:p>
              </w:tc>
              <w:tc>
                <w:tcPr>
                  <w:tcW w:w="118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噪声</w:t>
                  </w:r>
                </w:p>
              </w:tc>
              <w:tc>
                <w:tcPr>
                  <w:tcW w:w="2449"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隔声、减振、选用低噪声设备，定期养护维修</w:t>
                  </w:r>
                  <w:r>
                    <w:rPr>
                      <w:rFonts w:hint="eastAsia" w:ascii="Times New Roman" w:hAnsi="Times New Roman" w:eastAsia="宋体" w:cs="Times New Roman"/>
                      <w:color w:val="000000" w:themeColor="text1"/>
                      <w:sz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438" w:type="pct"/>
                  <w:vMerge w:val="restar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固废</w:t>
                  </w:r>
                </w:p>
              </w:tc>
              <w:tc>
                <w:tcPr>
                  <w:tcW w:w="923" w:type="pct"/>
                  <w:tcBorders>
                    <w:tl2br w:val="nil"/>
                    <w:tr2bl w:val="nil"/>
                  </w:tcBorders>
                  <w:shd w:val="clear" w:color="auto" w:fill="auto"/>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snapToGrid/>
                      <w:color w:val="000000" w:themeColor="text1"/>
                      <w:kern w:val="2"/>
                      <w:sz w:val="21"/>
                      <w:szCs w:val="22"/>
                      <w:lang w:val="en-US" w:eastAsia="zh-CN" w:bidi="ar-SA"/>
                      <w14:textFill>
                        <w14:solidFill>
                          <w14:schemeClr w14:val="tx1"/>
                        </w14:solidFill>
                      </w14:textFill>
                      <w14:ligatures w14:val="standardContextual"/>
                    </w:rPr>
                  </w:pPr>
                  <w:r>
                    <w:rPr>
                      <w:rFonts w:hint="eastAsia" w:ascii="Times New Roman" w:hAnsi="Times New Roman" w:eastAsia="宋体" w:cs="Times New Roman"/>
                      <w:color w:val="000000" w:themeColor="text1"/>
                      <w:sz w:val="21"/>
                      <w:lang w:val="en-US" w:eastAsia="zh-CN"/>
                      <w14:textFill>
                        <w14:solidFill>
                          <w14:schemeClr w14:val="tx1"/>
                        </w14:solidFill>
                      </w14:textFill>
                    </w:rPr>
                    <w:t>磨粉、筛分、混合工序</w:t>
                  </w:r>
                </w:p>
              </w:tc>
              <w:tc>
                <w:tcPr>
                  <w:tcW w:w="1188" w:type="pct"/>
                  <w:tcBorders>
                    <w:tl2br w:val="nil"/>
                    <w:tr2bl w:val="nil"/>
                  </w:tcBorders>
                  <w:shd w:val="clear" w:color="auto" w:fill="auto"/>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snapToGrid/>
                      <w:color w:val="000000" w:themeColor="text1"/>
                      <w:kern w:val="2"/>
                      <w:sz w:val="21"/>
                      <w:szCs w:val="22"/>
                      <w:lang w:val="en-US" w:eastAsia="zh-CN" w:bidi="ar-SA"/>
                      <w14:textFill>
                        <w14:solidFill>
                          <w14:schemeClr w14:val="tx1"/>
                        </w14:solidFill>
                      </w14:textFill>
                      <w14:ligatures w14:val="standardContextual"/>
                    </w:rPr>
                  </w:pPr>
                  <w:r>
                    <w:rPr>
                      <w:rFonts w:hint="eastAsia" w:ascii="Times New Roman" w:hAnsi="Times New Roman" w:eastAsia="宋体" w:cs="Times New Roman"/>
                      <w:color w:val="000000" w:themeColor="text1"/>
                      <w:sz w:val="21"/>
                      <w:lang w:val="en-US" w:eastAsia="zh-CN"/>
                      <w14:textFill>
                        <w14:solidFill>
                          <w14:schemeClr w14:val="tx1"/>
                        </w14:solidFill>
                      </w14:textFill>
                    </w:rPr>
                    <w:t>除尘灰、废布袋</w:t>
                  </w:r>
                </w:p>
              </w:tc>
              <w:tc>
                <w:tcPr>
                  <w:tcW w:w="2449" w:type="pct"/>
                  <w:tcBorders>
                    <w:tl2br w:val="nil"/>
                    <w:tr2bl w:val="nil"/>
                  </w:tcBorders>
                  <w:shd w:val="clear" w:color="auto" w:fill="auto"/>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snapToGrid/>
                      <w:color w:val="000000" w:themeColor="text1"/>
                      <w:kern w:val="2"/>
                      <w:sz w:val="21"/>
                      <w:szCs w:val="22"/>
                      <w:lang w:val="en-US" w:eastAsia="zh-CN" w:bidi="ar-SA"/>
                      <w14:textFill>
                        <w14:solidFill>
                          <w14:schemeClr w14:val="tx1"/>
                        </w14:solidFill>
                      </w14:textFill>
                      <w14:ligatures w14:val="standardContextua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筛分粗渣回用于生产；除尘灰回用</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lang w:val="en-US" w:eastAsia="zh-CN"/>
                      <w14:textFill>
                        <w14:solidFill>
                          <w14:schemeClr w14:val="tx1"/>
                        </w14:solidFill>
                      </w14:textFill>
                    </w:rPr>
                    <w:t>除尘器产生的废布袋交由厂家回收处理</w:t>
                  </w:r>
                  <w:r>
                    <w:rPr>
                      <w:rFonts w:hint="eastAsia" w:ascii="Times New Roman" w:hAnsi="Times New Roman" w:eastAsia="宋体" w:cs="Times New Roman"/>
                      <w:color w:val="000000" w:themeColor="text1"/>
                      <w:sz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438" w:type="pct"/>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p>
              </w:tc>
              <w:tc>
                <w:tcPr>
                  <w:tcW w:w="923" w:type="pct"/>
                  <w:tcBorders>
                    <w:tl2br w:val="nil"/>
                    <w:tr2bl w:val="nil"/>
                  </w:tcBorders>
                  <w:shd w:val="clear" w:color="auto" w:fill="auto"/>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去磁工序</w:t>
                  </w:r>
                </w:p>
              </w:tc>
              <w:tc>
                <w:tcPr>
                  <w:tcW w:w="1188" w:type="pct"/>
                  <w:tcBorders>
                    <w:tl2br w:val="nil"/>
                    <w:tr2bl w:val="nil"/>
                  </w:tcBorders>
                  <w:shd w:val="clear" w:color="auto" w:fill="auto"/>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废铁</w:t>
                  </w:r>
                </w:p>
              </w:tc>
              <w:tc>
                <w:tcPr>
                  <w:tcW w:w="2449" w:type="pct"/>
                  <w:tcBorders>
                    <w:tl2br w:val="nil"/>
                    <w:tr2bl w:val="nil"/>
                  </w:tcBorders>
                  <w:shd w:val="clear" w:color="auto" w:fill="auto"/>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集中收集，作为废品外售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8" w:type="pct"/>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p>
              </w:tc>
              <w:tc>
                <w:tcPr>
                  <w:tcW w:w="923"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生产设备维修</w:t>
                  </w:r>
                </w:p>
              </w:tc>
              <w:tc>
                <w:tcPr>
                  <w:tcW w:w="118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废机油、废油桶</w:t>
                  </w:r>
                </w:p>
              </w:tc>
              <w:tc>
                <w:tcPr>
                  <w:tcW w:w="2449"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集中收集，暂存于危废贮存点，定期交由资质单位处理。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8" w:type="pct"/>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p>
              </w:tc>
              <w:tc>
                <w:tcPr>
                  <w:tcW w:w="923"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办公楼</w:t>
                  </w:r>
                </w:p>
              </w:tc>
              <w:tc>
                <w:tcPr>
                  <w:tcW w:w="118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生活垃圾</w:t>
                  </w:r>
                </w:p>
              </w:tc>
              <w:tc>
                <w:tcPr>
                  <w:tcW w:w="2449"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auto"/>
                      <w:kern w:val="2"/>
                      <w:sz w:val="21"/>
                      <w:szCs w:val="21"/>
                      <w:highlight w:val="none"/>
                      <w:lang w:val="en-US" w:eastAsia="zh-CN" w:bidi="ar"/>
                    </w:rPr>
                    <w:t>集中收集后由当地环卫部门统一处理</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bl>
          <w:p>
            <w:pPr>
              <w:rPr>
                <w:rFonts w:hint="default" w:ascii="Times New Roman" w:hAnsi="Times New Roman" w:cs="Times New Roman"/>
                <w:bCs/>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929" w:hRule="atLeast"/>
          <w:jc w:val="center"/>
        </w:trPr>
        <w:tc>
          <w:tcPr>
            <w:tcW w:w="485" w:type="dxa"/>
            <w:vAlign w:val="center"/>
          </w:tcPr>
          <w:p>
            <w:pPr>
              <w:jc w:val="center"/>
              <w:rPr>
                <w:rFonts w:hint="default" w:ascii="Times New Roman" w:hAnsi="Times New Roman" w:cs="Times New Roman"/>
                <w:color w:val="auto"/>
              </w:rPr>
            </w:pPr>
            <w:r>
              <w:rPr>
                <w:rFonts w:hint="default" w:ascii="Times New Roman" w:hAnsi="Times New Roman" w:cs="Times New Roman"/>
                <w:bCs/>
                <w:color w:val="auto"/>
                <w:kern w:val="2"/>
              </w:rPr>
              <w:t>与项目有关的原有环境污染问题</w:t>
            </w:r>
          </w:p>
        </w:tc>
        <w:tc>
          <w:tcPr>
            <w:tcW w:w="8499" w:type="dxa"/>
            <w:vAlign w:val="center"/>
          </w:tcPr>
          <w:p>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jc w:val="center"/>
              <w:textAlignment w:val="auto"/>
              <w:rPr>
                <w:rFonts w:hint="default"/>
                <w:lang w:val="en-US"/>
              </w:rPr>
            </w:pPr>
            <w:r>
              <w:rPr>
                <w:rFonts w:hint="eastAsia" w:cs="Times New Roman"/>
                <w:b w:val="0"/>
                <w:bCs/>
                <w:color w:val="auto"/>
                <w:sz w:val="24"/>
                <w:szCs w:val="24"/>
                <w:lang w:val="en-US" w:eastAsia="zh-CN"/>
              </w:rPr>
              <w:t>无</w:t>
            </w:r>
          </w:p>
        </w:tc>
      </w:tr>
    </w:tbl>
    <w:p>
      <w:pPr>
        <w:jc w:val="center"/>
        <w:rPr>
          <w:rFonts w:ascii="黑体" w:hAnsi="黑体" w:eastAsia="黑体"/>
          <w:color w:val="auto"/>
          <w:sz w:val="36"/>
          <w:szCs w:val="36"/>
        </w:rPr>
        <w:sectPr>
          <w:footerReference r:id="rId9" w:type="default"/>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spacing w:line="14" w:lineRule="auto"/>
        <w:jc w:val="center"/>
        <w:outlineLvl w:val="0"/>
        <w:rPr>
          <w:rFonts w:ascii="黑体" w:hAnsi="黑体" w:eastAsia="黑体"/>
          <w:color w:val="auto"/>
          <w:sz w:val="30"/>
          <w:szCs w:val="30"/>
        </w:rPr>
      </w:pPr>
    </w:p>
    <w:p>
      <w:pPr>
        <w:jc w:val="center"/>
        <w:outlineLvl w:val="0"/>
        <w:rPr>
          <w:rFonts w:ascii="黑体" w:hAnsi="黑体" w:eastAsia="黑体"/>
          <w:color w:val="auto"/>
          <w:sz w:val="30"/>
          <w:szCs w:val="30"/>
        </w:rPr>
      </w:pPr>
      <w:r>
        <w:rPr>
          <w:rFonts w:hint="eastAsia" w:ascii="黑体" w:hAnsi="黑体" w:eastAsia="黑体"/>
          <w:color w:val="auto"/>
          <w:sz w:val="30"/>
          <w:szCs w:val="30"/>
        </w:rPr>
        <w:t>三、区域环境质量现状、环境保护目标及评价标准</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97"/>
        <w:gridCol w:w="86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397"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区域</w:t>
            </w:r>
          </w:p>
          <w:p>
            <w:pPr>
              <w:jc w:val="center"/>
              <w:rPr>
                <w:rFonts w:hint="default" w:ascii="Times New Roman" w:hAnsi="Times New Roman" w:cs="Times New Roman"/>
                <w:color w:val="auto"/>
              </w:rPr>
            </w:pPr>
            <w:r>
              <w:rPr>
                <w:rFonts w:hint="default" w:ascii="Times New Roman" w:hAnsi="Times New Roman" w:cs="Times New Roman"/>
                <w:color w:val="auto"/>
              </w:rPr>
              <w:t>环境</w:t>
            </w:r>
          </w:p>
          <w:p>
            <w:pPr>
              <w:jc w:val="center"/>
              <w:rPr>
                <w:rFonts w:hint="default" w:ascii="Times New Roman" w:hAnsi="Times New Roman" w:cs="Times New Roman"/>
                <w:color w:val="auto"/>
              </w:rPr>
            </w:pPr>
            <w:r>
              <w:rPr>
                <w:rFonts w:hint="default" w:ascii="Times New Roman" w:hAnsi="Times New Roman" w:cs="Times New Roman"/>
                <w:color w:val="auto"/>
              </w:rPr>
              <w:t>质量</w:t>
            </w:r>
          </w:p>
          <w:p>
            <w:pPr>
              <w:jc w:val="center"/>
              <w:rPr>
                <w:rFonts w:hint="default" w:ascii="Times New Roman" w:hAnsi="Times New Roman" w:cs="Times New Roman"/>
                <w:color w:val="auto"/>
              </w:rPr>
            </w:pPr>
            <w:r>
              <w:rPr>
                <w:rFonts w:hint="default" w:ascii="Times New Roman" w:hAnsi="Times New Roman" w:cs="Times New Roman"/>
                <w:color w:val="auto"/>
              </w:rPr>
              <w:t>现状</w:t>
            </w:r>
          </w:p>
        </w:tc>
        <w:tc>
          <w:tcPr>
            <w:tcW w:w="8611" w:type="dxa"/>
          </w:tcPr>
          <w:p>
            <w:pPr>
              <w:keepNext w:val="0"/>
              <w:keepLines w:val="0"/>
              <w:pageBreakBefore w:val="0"/>
              <w:widowControl w:val="0"/>
              <w:kinsoku/>
              <w:wordWrap/>
              <w:overflowPunct/>
              <w:topLinePunct w:val="0"/>
              <w:autoSpaceDE/>
              <w:autoSpaceDN/>
              <w:bidi w:val="0"/>
              <w:adjustRightInd/>
              <w:snapToGrid w:val="0"/>
              <w:spacing w:line="500" w:lineRule="exact"/>
              <w:ind w:firstLine="0" w:firstLineChars="0"/>
              <w:textAlignment w:val="auto"/>
              <w:outlineLvl w:val="1"/>
              <w:rPr>
                <w:rFonts w:hint="default"/>
                <w:lang w:val="en-US" w:eastAsia="zh-CN"/>
              </w:rPr>
            </w:pPr>
            <w:r>
              <w:rPr>
                <w:rFonts w:hint="default" w:ascii="Times New Roman" w:hAnsi="Times New Roman" w:eastAsia="宋体" w:cs="Times New Roman"/>
                <w:b/>
                <w:color w:val="auto"/>
              </w:rPr>
              <w:t>3.1</w:t>
            </w:r>
            <w:r>
              <w:rPr>
                <w:rFonts w:hint="eastAsia" w:cs="Times New Roman"/>
                <w:b/>
                <w:bCs/>
                <w:color w:val="auto"/>
                <w:spacing w:val="6"/>
                <w:sz w:val="24"/>
                <w:szCs w:val="24"/>
                <w:lang w:val="en-US" w:eastAsia="zh-CN"/>
              </w:rPr>
              <w:t>环境空气</w:t>
            </w:r>
          </w:p>
          <w:p>
            <w:pPr>
              <w:keepNext w:val="0"/>
              <w:keepLines w:val="0"/>
              <w:pageBreakBefore w:val="0"/>
              <w:kinsoku/>
              <w:wordWrap/>
              <w:overflowPunct/>
              <w:topLinePunct w:val="0"/>
              <w:autoSpaceDE/>
              <w:autoSpaceDN/>
              <w:bidi w:val="0"/>
              <w:adjustRightInd w:val="0"/>
              <w:snapToGrid w:val="0"/>
              <w:spacing w:line="500" w:lineRule="exact"/>
              <w:jc w:val="both"/>
              <w:textAlignment w:val="auto"/>
              <w:rPr>
                <w:rFonts w:hint="default" w:ascii="Times New Roman" w:hAnsi="Times New Roman" w:eastAsia="宋体" w:cs="Times New Roman"/>
                <w:b/>
                <w:color w:val="auto"/>
                <w:lang w:val="en-US" w:eastAsia="zh-CN"/>
              </w:rPr>
            </w:pPr>
            <w:r>
              <w:rPr>
                <w:rFonts w:hint="default" w:ascii="Times New Roman" w:hAnsi="Times New Roman" w:eastAsia="宋体" w:cs="Times New Roman"/>
                <w:b/>
                <w:color w:val="auto"/>
              </w:rPr>
              <w:t>3.</w:t>
            </w:r>
            <w:r>
              <w:rPr>
                <w:rFonts w:hint="eastAsia" w:cs="Times New Roman"/>
                <w:b/>
                <w:color w:val="auto"/>
                <w:lang w:val="en-US" w:eastAsia="zh-CN"/>
              </w:rPr>
              <w:t>1.1达标区判定</w:t>
            </w:r>
          </w:p>
          <w:p>
            <w:pPr>
              <w:pStyle w:val="57"/>
              <w:keepNext w:val="0"/>
              <w:keepLines w:val="0"/>
              <w:pageBreakBefore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根据《建设项目环境影响报告表编制技术指南（污染影响类）（试行）》要求。本次环境空气质量现状采用2023年</w:t>
            </w:r>
            <w:r>
              <w:rPr>
                <w:rFonts w:hint="eastAsia" w:ascii="Times New Roman" w:hAnsi="Times New Roman" w:eastAsia="宋体" w:cs="Times New Roman"/>
                <w:color w:val="auto"/>
                <w:sz w:val="24"/>
                <w:szCs w:val="24"/>
                <w:highlight w:val="none"/>
                <w:lang w:val="en-US" w:eastAsia="zh-CN"/>
              </w:rPr>
              <w:t>和硕</w:t>
            </w:r>
            <w:r>
              <w:rPr>
                <w:rFonts w:hint="default" w:ascii="Times New Roman" w:hAnsi="Times New Roman" w:eastAsia="宋体" w:cs="Times New Roman"/>
                <w:color w:val="auto"/>
                <w:sz w:val="24"/>
                <w:szCs w:val="24"/>
                <w:highlight w:val="none"/>
                <w:lang w:val="en-US" w:eastAsia="zh-CN"/>
              </w:rPr>
              <w:t>县自动监测站SO</w:t>
            </w:r>
            <w:r>
              <w:rPr>
                <w:rFonts w:hint="default" w:ascii="Times New Roman" w:hAnsi="Times New Roman" w:eastAsia="宋体" w:cs="Times New Roman"/>
                <w:color w:val="auto"/>
                <w:sz w:val="24"/>
                <w:szCs w:val="24"/>
                <w:highlight w:val="none"/>
                <w:vertAlign w:val="subscript"/>
                <w:lang w:val="en-US" w:eastAsia="zh-CN"/>
              </w:rPr>
              <w:t>2</w:t>
            </w:r>
            <w:r>
              <w:rPr>
                <w:rFonts w:hint="default" w:ascii="Times New Roman" w:hAnsi="Times New Roman" w:eastAsia="宋体" w:cs="Times New Roman"/>
                <w:color w:val="auto"/>
                <w:sz w:val="24"/>
                <w:szCs w:val="24"/>
                <w:highlight w:val="none"/>
                <w:lang w:val="en-US" w:eastAsia="zh-CN"/>
              </w:rPr>
              <w:t>、NO</w:t>
            </w:r>
            <w:r>
              <w:rPr>
                <w:rFonts w:hint="default" w:ascii="Times New Roman" w:hAnsi="Times New Roman" w:eastAsia="宋体" w:cs="Times New Roman"/>
                <w:color w:val="auto"/>
                <w:sz w:val="24"/>
                <w:szCs w:val="24"/>
                <w:highlight w:val="none"/>
                <w:vertAlign w:val="subscript"/>
                <w:lang w:val="en-US" w:eastAsia="zh-CN"/>
              </w:rPr>
              <w:t>2</w:t>
            </w:r>
            <w:r>
              <w:rPr>
                <w:rFonts w:hint="default" w:ascii="Times New Roman" w:hAnsi="Times New Roman" w:eastAsia="宋体" w:cs="Times New Roman"/>
                <w:color w:val="auto"/>
                <w:sz w:val="24"/>
                <w:szCs w:val="24"/>
                <w:highlight w:val="none"/>
                <w:lang w:val="en-US" w:eastAsia="zh-CN"/>
              </w:rPr>
              <w:t>、CO、O</w:t>
            </w:r>
            <w:r>
              <w:rPr>
                <w:rFonts w:hint="default" w:ascii="Times New Roman" w:hAnsi="Times New Roman" w:eastAsia="宋体" w:cs="Times New Roman"/>
                <w:color w:val="auto"/>
                <w:sz w:val="24"/>
                <w:szCs w:val="24"/>
                <w:highlight w:val="none"/>
                <w:vertAlign w:val="subscript"/>
                <w:lang w:val="en-US" w:eastAsia="zh-CN"/>
              </w:rPr>
              <w:t>3</w:t>
            </w:r>
            <w:r>
              <w:rPr>
                <w:rFonts w:hint="default" w:ascii="Times New Roman" w:hAnsi="Times New Roman" w:eastAsia="宋体" w:cs="Times New Roman"/>
                <w:color w:val="auto"/>
                <w:sz w:val="24"/>
                <w:szCs w:val="24"/>
                <w:highlight w:val="none"/>
                <w:lang w:val="en-US" w:eastAsia="zh-CN"/>
              </w:rPr>
              <w:t>、PM</w:t>
            </w:r>
            <w:r>
              <w:rPr>
                <w:rFonts w:hint="default" w:ascii="Times New Roman" w:hAnsi="Times New Roman" w:eastAsia="宋体" w:cs="Times New Roman"/>
                <w:color w:val="auto"/>
                <w:sz w:val="24"/>
                <w:szCs w:val="24"/>
                <w:highlight w:val="none"/>
                <w:vertAlign w:val="subscript"/>
                <w:lang w:val="en-US" w:eastAsia="zh-CN"/>
              </w:rPr>
              <w:t>10</w:t>
            </w:r>
            <w:r>
              <w:rPr>
                <w:rFonts w:hint="default" w:ascii="Times New Roman" w:hAnsi="Times New Roman" w:eastAsia="宋体" w:cs="Times New Roman"/>
                <w:color w:val="auto"/>
                <w:sz w:val="24"/>
                <w:szCs w:val="24"/>
                <w:highlight w:val="none"/>
                <w:lang w:val="en-US" w:eastAsia="zh-CN"/>
              </w:rPr>
              <w:t>、PM</w:t>
            </w:r>
            <w:r>
              <w:rPr>
                <w:rFonts w:hint="default" w:ascii="Times New Roman" w:hAnsi="Times New Roman" w:eastAsia="宋体" w:cs="Times New Roman"/>
                <w:color w:val="auto"/>
                <w:sz w:val="24"/>
                <w:szCs w:val="24"/>
                <w:highlight w:val="none"/>
                <w:vertAlign w:val="subscript"/>
                <w:lang w:val="en-US" w:eastAsia="zh-CN"/>
              </w:rPr>
              <w:t>2.5</w:t>
            </w:r>
            <w:r>
              <w:rPr>
                <w:rFonts w:hint="default" w:ascii="Times New Roman" w:hAnsi="Times New Roman" w:eastAsia="宋体" w:cs="Times New Roman"/>
                <w:color w:val="auto"/>
                <w:sz w:val="24"/>
                <w:szCs w:val="24"/>
                <w:highlight w:val="none"/>
                <w:lang w:val="en-US" w:eastAsia="zh-CN"/>
              </w:rPr>
              <w:t>等六项基本污染物环境空气质量现状数据，详见下表。</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 xml:space="preserve">表3-1    </w:t>
            </w:r>
            <w:r>
              <w:rPr>
                <w:rFonts w:hint="eastAsia" w:ascii="Times New Roman" w:hAnsi="Times New Roman" w:eastAsia="宋体" w:cs="Times New Roman"/>
                <w:b/>
                <w:bCs/>
                <w:color w:val="auto"/>
                <w:sz w:val="21"/>
                <w:szCs w:val="21"/>
                <w:lang w:val="en-US" w:eastAsia="zh-CN"/>
              </w:rPr>
              <w:t>和硕</w:t>
            </w:r>
            <w:r>
              <w:rPr>
                <w:rFonts w:hint="default" w:ascii="Times New Roman" w:hAnsi="Times New Roman" w:eastAsia="宋体" w:cs="Times New Roman"/>
                <w:b/>
                <w:bCs/>
                <w:color w:val="auto"/>
                <w:sz w:val="21"/>
                <w:szCs w:val="21"/>
                <w:lang w:val="en-US" w:eastAsia="zh-CN"/>
              </w:rPr>
              <w:t>县2023年环境空气质量数据       单位：μg/m</w:t>
            </w:r>
            <w:r>
              <w:rPr>
                <w:rFonts w:hint="default" w:ascii="Times New Roman" w:hAnsi="Times New Roman" w:eastAsia="宋体" w:cs="Times New Roman"/>
                <w:b/>
                <w:bCs/>
                <w:color w:val="auto"/>
                <w:sz w:val="21"/>
                <w:szCs w:val="21"/>
                <w:vertAlign w:val="superscript"/>
                <w:lang w:val="en-US" w:eastAsia="zh-CN"/>
              </w:rPr>
              <w:t>3</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2535"/>
              <w:gridCol w:w="1122"/>
              <w:gridCol w:w="1255"/>
              <w:gridCol w:w="1204"/>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污染物</w:t>
                  </w:r>
                </w:p>
              </w:tc>
              <w:tc>
                <w:tcPr>
                  <w:tcW w:w="1511"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评价项目</w:t>
                  </w:r>
                </w:p>
              </w:tc>
              <w:tc>
                <w:tcPr>
                  <w:tcW w:w="669"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浓度</w:t>
                  </w:r>
                </w:p>
              </w:tc>
              <w:tc>
                <w:tcPr>
                  <w:tcW w:w="74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标准</w:t>
                  </w:r>
                </w:p>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（二级）</w:t>
                  </w:r>
                </w:p>
              </w:tc>
              <w:tc>
                <w:tcPr>
                  <w:tcW w:w="717"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占标率%</w:t>
                  </w:r>
                </w:p>
              </w:tc>
              <w:tc>
                <w:tcPr>
                  <w:tcW w:w="63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pct"/>
                  <w:vMerge w:val="restar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SO</w:t>
                  </w:r>
                  <w:r>
                    <w:rPr>
                      <w:rFonts w:hint="default" w:ascii="Times New Roman" w:hAnsi="Times New Roman" w:eastAsia="宋体" w:cs="Times New Roman"/>
                      <w:color w:val="auto"/>
                      <w:sz w:val="21"/>
                      <w:szCs w:val="21"/>
                      <w:highlight w:val="none"/>
                      <w:vertAlign w:val="subscript"/>
                      <w:lang w:val="en-US" w:eastAsia="zh-CN"/>
                    </w:rPr>
                    <w:t>2</w:t>
                  </w:r>
                </w:p>
              </w:tc>
              <w:tc>
                <w:tcPr>
                  <w:tcW w:w="1511"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年平均</w:t>
                  </w:r>
                </w:p>
              </w:tc>
              <w:tc>
                <w:tcPr>
                  <w:tcW w:w="669"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w:t>
                  </w:r>
                </w:p>
              </w:tc>
              <w:tc>
                <w:tcPr>
                  <w:tcW w:w="74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60</w:t>
                  </w:r>
                </w:p>
              </w:tc>
              <w:tc>
                <w:tcPr>
                  <w:tcW w:w="717"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11.7</w:t>
                  </w:r>
                </w:p>
              </w:tc>
              <w:tc>
                <w:tcPr>
                  <w:tcW w:w="63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pct"/>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p>
              </w:tc>
              <w:tc>
                <w:tcPr>
                  <w:tcW w:w="1511"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24h平均第98百分位数</w:t>
                  </w:r>
                </w:p>
              </w:tc>
              <w:tc>
                <w:tcPr>
                  <w:tcW w:w="669"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16</w:t>
                  </w:r>
                </w:p>
              </w:tc>
              <w:tc>
                <w:tcPr>
                  <w:tcW w:w="74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150</w:t>
                  </w:r>
                </w:p>
              </w:tc>
              <w:tc>
                <w:tcPr>
                  <w:tcW w:w="717"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10.7</w:t>
                  </w:r>
                </w:p>
              </w:tc>
              <w:tc>
                <w:tcPr>
                  <w:tcW w:w="63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pct"/>
                  <w:vMerge w:val="restar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NO</w:t>
                  </w:r>
                  <w:r>
                    <w:rPr>
                      <w:rFonts w:hint="default" w:ascii="Times New Roman" w:hAnsi="Times New Roman" w:eastAsia="宋体" w:cs="Times New Roman"/>
                      <w:color w:val="auto"/>
                      <w:sz w:val="21"/>
                      <w:szCs w:val="21"/>
                      <w:highlight w:val="none"/>
                      <w:vertAlign w:val="subscript"/>
                      <w:lang w:val="en-US" w:eastAsia="zh-CN"/>
                    </w:rPr>
                    <w:t>2</w:t>
                  </w:r>
                </w:p>
              </w:tc>
              <w:tc>
                <w:tcPr>
                  <w:tcW w:w="1511"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年平均</w:t>
                  </w:r>
                </w:p>
              </w:tc>
              <w:tc>
                <w:tcPr>
                  <w:tcW w:w="669"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19</w:t>
                  </w:r>
                </w:p>
              </w:tc>
              <w:tc>
                <w:tcPr>
                  <w:tcW w:w="74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40</w:t>
                  </w:r>
                </w:p>
              </w:tc>
              <w:tc>
                <w:tcPr>
                  <w:tcW w:w="717"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47.5</w:t>
                  </w:r>
                </w:p>
              </w:tc>
              <w:tc>
                <w:tcPr>
                  <w:tcW w:w="63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pct"/>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p>
              </w:tc>
              <w:tc>
                <w:tcPr>
                  <w:tcW w:w="1511"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24h平均第98百分位数</w:t>
                  </w:r>
                </w:p>
              </w:tc>
              <w:tc>
                <w:tcPr>
                  <w:tcW w:w="669"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48</w:t>
                  </w:r>
                </w:p>
              </w:tc>
              <w:tc>
                <w:tcPr>
                  <w:tcW w:w="74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80</w:t>
                  </w:r>
                </w:p>
              </w:tc>
              <w:tc>
                <w:tcPr>
                  <w:tcW w:w="717"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60</w:t>
                  </w:r>
                </w:p>
              </w:tc>
              <w:tc>
                <w:tcPr>
                  <w:tcW w:w="63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CO（mg/m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w:t>
                  </w:r>
                </w:p>
              </w:tc>
              <w:tc>
                <w:tcPr>
                  <w:tcW w:w="1511"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24h平均第95百分位数</w:t>
                  </w:r>
                </w:p>
              </w:tc>
              <w:tc>
                <w:tcPr>
                  <w:tcW w:w="669"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74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4</w:t>
                  </w:r>
                </w:p>
              </w:tc>
              <w:tc>
                <w:tcPr>
                  <w:tcW w:w="717"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25</w:t>
                  </w:r>
                </w:p>
              </w:tc>
              <w:tc>
                <w:tcPr>
                  <w:tcW w:w="63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O</w:t>
                  </w:r>
                  <w:r>
                    <w:rPr>
                      <w:rFonts w:hint="default" w:ascii="Times New Roman" w:hAnsi="Times New Roman" w:eastAsia="宋体" w:cs="Times New Roman"/>
                      <w:color w:val="auto"/>
                      <w:sz w:val="21"/>
                      <w:szCs w:val="21"/>
                      <w:highlight w:val="none"/>
                      <w:vertAlign w:val="subscript"/>
                      <w:lang w:val="en-US" w:eastAsia="zh-CN"/>
                    </w:rPr>
                    <w:t>3</w:t>
                  </w:r>
                </w:p>
              </w:tc>
              <w:tc>
                <w:tcPr>
                  <w:tcW w:w="1511"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最大8小时滑动平均值的第90百分位数</w:t>
                  </w:r>
                </w:p>
              </w:tc>
              <w:tc>
                <w:tcPr>
                  <w:tcW w:w="669"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127</w:t>
                  </w:r>
                </w:p>
              </w:tc>
              <w:tc>
                <w:tcPr>
                  <w:tcW w:w="74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160</w:t>
                  </w:r>
                </w:p>
              </w:tc>
              <w:tc>
                <w:tcPr>
                  <w:tcW w:w="717"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79.4</w:t>
                  </w:r>
                </w:p>
              </w:tc>
              <w:tc>
                <w:tcPr>
                  <w:tcW w:w="63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pct"/>
                  <w:vMerge w:val="restar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PM</w:t>
                  </w:r>
                  <w:r>
                    <w:rPr>
                      <w:rFonts w:hint="default" w:ascii="Times New Roman" w:hAnsi="Times New Roman" w:eastAsia="宋体" w:cs="Times New Roman"/>
                      <w:color w:val="auto"/>
                      <w:sz w:val="21"/>
                      <w:szCs w:val="21"/>
                      <w:highlight w:val="none"/>
                      <w:vertAlign w:val="subscript"/>
                      <w:lang w:val="en-US" w:eastAsia="zh-CN"/>
                    </w:rPr>
                    <w:t>10</w:t>
                  </w:r>
                </w:p>
              </w:tc>
              <w:tc>
                <w:tcPr>
                  <w:tcW w:w="1511"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年平均</w:t>
                  </w:r>
                </w:p>
              </w:tc>
              <w:tc>
                <w:tcPr>
                  <w:tcW w:w="669"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84</w:t>
                  </w:r>
                </w:p>
              </w:tc>
              <w:tc>
                <w:tcPr>
                  <w:tcW w:w="74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70</w:t>
                  </w:r>
                </w:p>
              </w:tc>
              <w:tc>
                <w:tcPr>
                  <w:tcW w:w="717"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120</w:t>
                  </w:r>
                </w:p>
              </w:tc>
              <w:tc>
                <w:tcPr>
                  <w:tcW w:w="63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pct"/>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p>
              </w:tc>
              <w:tc>
                <w:tcPr>
                  <w:tcW w:w="1511"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24h平均第95百分位数</w:t>
                  </w:r>
                </w:p>
              </w:tc>
              <w:tc>
                <w:tcPr>
                  <w:tcW w:w="669"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223</w:t>
                  </w:r>
                </w:p>
              </w:tc>
              <w:tc>
                <w:tcPr>
                  <w:tcW w:w="74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150</w:t>
                  </w:r>
                </w:p>
              </w:tc>
              <w:tc>
                <w:tcPr>
                  <w:tcW w:w="717"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148.7</w:t>
                  </w:r>
                </w:p>
              </w:tc>
              <w:tc>
                <w:tcPr>
                  <w:tcW w:w="63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pct"/>
                  <w:vMerge w:val="restar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PM</w:t>
                  </w:r>
                  <w:r>
                    <w:rPr>
                      <w:rFonts w:hint="default" w:ascii="Times New Roman" w:hAnsi="Times New Roman" w:eastAsia="宋体" w:cs="Times New Roman"/>
                      <w:color w:val="auto"/>
                      <w:sz w:val="21"/>
                      <w:szCs w:val="21"/>
                      <w:highlight w:val="none"/>
                      <w:vertAlign w:val="subscript"/>
                      <w:lang w:val="en-US" w:eastAsia="zh-CN"/>
                    </w:rPr>
                    <w:t>2.5</w:t>
                  </w:r>
                </w:p>
              </w:tc>
              <w:tc>
                <w:tcPr>
                  <w:tcW w:w="1511"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年平均</w:t>
                  </w:r>
                </w:p>
              </w:tc>
              <w:tc>
                <w:tcPr>
                  <w:tcW w:w="669"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31</w:t>
                  </w:r>
                </w:p>
              </w:tc>
              <w:tc>
                <w:tcPr>
                  <w:tcW w:w="74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35</w:t>
                  </w:r>
                </w:p>
              </w:tc>
              <w:tc>
                <w:tcPr>
                  <w:tcW w:w="717"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88.6</w:t>
                  </w:r>
                </w:p>
              </w:tc>
              <w:tc>
                <w:tcPr>
                  <w:tcW w:w="63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pct"/>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p>
              </w:tc>
              <w:tc>
                <w:tcPr>
                  <w:tcW w:w="1511"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24h平均第95百分位数</w:t>
                  </w:r>
                </w:p>
              </w:tc>
              <w:tc>
                <w:tcPr>
                  <w:tcW w:w="669"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70</w:t>
                  </w:r>
                </w:p>
              </w:tc>
              <w:tc>
                <w:tcPr>
                  <w:tcW w:w="74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75</w:t>
                  </w:r>
                </w:p>
              </w:tc>
              <w:tc>
                <w:tcPr>
                  <w:tcW w:w="717"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93.3</w:t>
                  </w:r>
                </w:p>
              </w:tc>
              <w:tc>
                <w:tcPr>
                  <w:tcW w:w="63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达标</w:t>
                  </w:r>
                </w:p>
              </w:tc>
            </w:tr>
          </w:tbl>
          <w:p>
            <w:pPr>
              <w:pStyle w:val="57"/>
              <w:keepNext w:val="0"/>
              <w:keepLines w:val="0"/>
              <w:pageBreakBefore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2023年，和硕县空气质量监测总天数为365天，受沙尘天气影响，PM</w:t>
            </w:r>
            <w:r>
              <w:rPr>
                <w:rFonts w:hint="default" w:ascii="Times New Roman" w:hAnsi="Times New Roman" w:eastAsia="宋体" w:cs="Times New Roman"/>
                <w:b w:val="0"/>
                <w:bCs w:val="0"/>
                <w:color w:val="auto"/>
                <w:sz w:val="24"/>
                <w:szCs w:val="24"/>
                <w:highlight w:val="none"/>
                <w:vertAlign w:val="subscript"/>
                <w:lang w:val="en-US" w:eastAsia="zh-CN"/>
              </w:rPr>
              <w:t>10</w:t>
            </w:r>
            <w:r>
              <w:rPr>
                <w:rFonts w:hint="default" w:ascii="Times New Roman" w:hAnsi="Times New Roman" w:eastAsia="宋体" w:cs="Times New Roman"/>
                <w:b w:val="0"/>
                <w:bCs w:val="0"/>
                <w:color w:val="auto"/>
                <w:sz w:val="24"/>
                <w:szCs w:val="24"/>
                <w:highlight w:val="none"/>
                <w:lang w:val="en-US" w:eastAsia="zh-CN"/>
              </w:rPr>
              <w:t>、年均值与24h平均第95百分位数均浓度超过《环境空气质量标准》（GB3095-2012）及其修改单二级标准，SO</w:t>
            </w:r>
            <w:r>
              <w:rPr>
                <w:rFonts w:hint="default" w:ascii="Times New Roman" w:hAnsi="Times New Roman" w:eastAsia="宋体" w:cs="Times New Roman"/>
                <w:b w:val="0"/>
                <w:bCs w:val="0"/>
                <w:color w:val="auto"/>
                <w:sz w:val="24"/>
                <w:szCs w:val="24"/>
                <w:highlight w:val="none"/>
                <w:vertAlign w:val="subscript"/>
                <w:lang w:val="en-US" w:eastAsia="zh-CN"/>
              </w:rPr>
              <w:t>2</w:t>
            </w:r>
            <w:r>
              <w:rPr>
                <w:rFonts w:hint="default" w:ascii="Times New Roman" w:hAnsi="Times New Roman" w:eastAsia="宋体" w:cs="Times New Roman"/>
                <w:b w:val="0"/>
                <w:bCs w:val="0"/>
                <w:color w:val="auto"/>
                <w:sz w:val="24"/>
                <w:szCs w:val="24"/>
                <w:highlight w:val="none"/>
                <w:lang w:val="en-US" w:eastAsia="zh-CN"/>
              </w:rPr>
              <w:t>、NO</w:t>
            </w:r>
            <w:r>
              <w:rPr>
                <w:rFonts w:hint="default" w:ascii="Times New Roman" w:hAnsi="Times New Roman" w:eastAsia="宋体" w:cs="Times New Roman"/>
                <w:b w:val="0"/>
                <w:bCs w:val="0"/>
                <w:color w:val="auto"/>
                <w:sz w:val="24"/>
                <w:szCs w:val="24"/>
                <w:highlight w:val="none"/>
                <w:vertAlign w:val="subscript"/>
                <w:lang w:val="en-US" w:eastAsia="zh-CN"/>
              </w:rPr>
              <w:t>2</w:t>
            </w:r>
            <w:r>
              <w:rPr>
                <w:rFonts w:hint="default" w:ascii="Times New Roman" w:hAnsi="Times New Roman" w:eastAsia="宋体" w:cs="Times New Roman"/>
                <w:b w:val="0"/>
                <w:bCs w:val="0"/>
                <w:color w:val="auto"/>
                <w:sz w:val="24"/>
                <w:szCs w:val="24"/>
                <w:highlight w:val="none"/>
                <w:lang w:val="en-US" w:eastAsia="zh-CN"/>
              </w:rPr>
              <w:t>、CO、O</w:t>
            </w:r>
            <w:r>
              <w:rPr>
                <w:rFonts w:hint="default" w:ascii="Times New Roman" w:hAnsi="Times New Roman" w:eastAsia="宋体" w:cs="Times New Roman"/>
                <w:b w:val="0"/>
                <w:bCs w:val="0"/>
                <w:color w:val="auto"/>
                <w:sz w:val="24"/>
                <w:szCs w:val="24"/>
                <w:highlight w:val="none"/>
                <w:vertAlign w:val="subscript"/>
                <w:lang w:val="en-US" w:eastAsia="zh-CN"/>
              </w:rPr>
              <w:t>3</w:t>
            </w:r>
            <w:r>
              <w:rPr>
                <w:rFonts w:hint="default" w:ascii="Times New Roman" w:hAnsi="Times New Roman" w:eastAsia="宋体" w:cs="Times New Roman"/>
                <w:b w:val="0"/>
                <w:bCs w:val="0"/>
                <w:color w:val="auto"/>
                <w:sz w:val="24"/>
                <w:szCs w:val="24"/>
                <w:highlight w:val="none"/>
                <w:lang w:val="en-US" w:eastAsia="zh-CN"/>
              </w:rPr>
              <w:t>等其他监测指标均满足二级标准，因此，判断本项目所在区域为</w:t>
            </w:r>
            <w:r>
              <w:rPr>
                <w:rFonts w:hint="eastAsia" w:cs="Times New Roman"/>
                <w:b w:val="0"/>
                <w:bCs w:val="0"/>
                <w:color w:val="auto"/>
                <w:sz w:val="24"/>
                <w:szCs w:val="24"/>
                <w:highlight w:val="none"/>
                <w:lang w:val="en-US" w:eastAsia="zh-CN"/>
              </w:rPr>
              <w:t>不</w:t>
            </w:r>
            <w:r>
              <w:rPr>
                <w:rFonts w:hint="default" w:ascii="Times New Roman" w:hAnsi="Times New Roman" w:eastAsia="宋体" w:cs="Times New Roman"/>
                <w:b w:val="0"/>
                <w:bCs w:val="0"/>
                <w:color w:val="auto"/>
                <w:sz w:val="24"/>
                <w:szCs w:val="24"/>
                <w:highlight w:val="none"/>
                <w:lang w:val="en-US" w:eastAsia="zh-CN"/>
              </w:rPr>
              <w:t>达标区域。</w:t>
            </w:r>
          </w:p>
          <w:p>
            <w:pPr>
              <w:keepNext w:val="0"/>
              <w:keepLines w:val="0"/>
              <w:pageBreakBefore w:val="0"/>
              <w:widowControl w:val="0"/>
              <w:kinsoku/>
              <w:wordWrap/>
              <w:overflowPunct/>
              <w:topLinePunct w:val="0"/>
              <w:autoSpaceDE/>
              <w:autoSpaceDN/>
              <w:bidi w:val="0"/>
              <w:adjustRightInd/>
              <w:snapToGrid w:val="0"/>
              <w:spacing w:line="500" w:lineRule="exact"/>
              <w:ind w:firstLine="0" w:firstLineChars="0"/>
              <w:textAlignment w:val="auto"/>
              <w:rPr>
                <w:rFonts w:hint="default" w:ascii="Times New Roman" w:hAnsi="Times New Roman" w:eastAsia="宋体" w:cs="Times New Roman"/>
                <w:b/>
                <w:bCs/>
                <w:color w:val="auto"/>
                <w:spacing w:val="6"/>
                <w:sz w:val="24"/>
                <w:szCs w:val="24"/>
                <w:lang w:val="en-US" w:eastAsia="zh-CN"/>
              </w:rPr>
            </w:pPr>
            <w:r>
              <w:rPr>
                <w:rFonts w:hint="default" w:ascii="Times New Roman" w:hAnsi="Times New Roman" w:eastAsia="宋体" w:cs="Times New Roman"/>
                <w:b/>
                <w:color w:val="auto"/>
              </w:rPr>
              <w:t>3.</w:t>
            </w:r>
            <w:r>
              <w:rPr>
                <w:rFonts w:hint="eastAsia" w:cs="Times New Roman"/>
                <w:b/>
                <w:color w:val="auto"/>
                <w:lang w:val="en-US" w:eastAsia="zh-CN"/>
              </w:rPr>
              <w:t>1.2</w:t>
            </w:r>
            <w:r>
              <w:rPr>
                <w:rFonts w:hint="default" w:ascii="Times New Roman" w:hAnsi="Times New Roman" w:eastAsia="宋体" w:cs="Times New Roman"/>
                <w:b/>
                <w:bCs/>
                <w:color w:val="auto"/>
                <w:sz w:val="24"/>
                <w:szCs w:val="24"/>
                <w:highlight w:val="none"/>
              </w:rPr>
              <w:t>其他污染物质量现状</w:t>
            </w:r>
          </w:p>
          <w:p>
            <w:pPr>
              <w:pStyle w:val="57"/>
              <w:bidi w:val="0"/>
              <w:rPr>
                <w:rFonts w:hint="eastAsia"/>
                <w:lang w:val="en-US" w:eastAsia="zh-CN"/>
              </w:rPr>
            </w:pPr>
            <w:r>
              <w:rPr>
                <w:rFonts w:hint="eastAsia"/>
                <w:lang w:val="en-US" w:eastAsia="zh-CN"/>
              </w:rPr>
              <w:t>本项目排放的其他污染物为TSP，根据《建设项目环境影响报告表编制技术指南（污染影响类）（试行）》要求，本项目引用新疆中测测试有限责任公司对《</w:t>
            </w:r>
            <w:r>
              <w:rPr>
                <w:rFonts w:hint="default" w:ascii="Times New Roman" w:hAnsi="Times New Roman" w:cs="Times New Roman"/>
                <w:color w:val="auto"/>
                <w:lang w:val="en-US" w:eastAsia="zh-CN"/>
              </w:rPr>
              <w:t>新疆福满鑫食品有限公司辣椒产业建设项目</w:t>
            </w:r>
            <w:r>
              <w:rPr>
                <w:rFonts w:hint="eastAsia"/>
                <w:lang w:val="en-US" w:eastAsia="zh-CN"/>
              </w:rPr>
              <w:t>现状监测》特征污染物TSP的监测数据。</w:t>
            </w:r>
          </w:p>
          <w:p>
            <w:pPr>
              <w:pStyle w:val="57"/>
              <w:bidi w:val="0"/>
              <w:rPr>
                <w:rFonts w:hint="eastAsia"/>
                <w:lang w:val="en-US" w:eastAsia="zh-CN"/>
              </w:rPr>
            </w:pPr>
            <w:r>
              <w:rPr>
                <w:rFonts w:hint="eastAsia"/>
                <w:lang w:val="en-US" w:eastAsia="zh-CN"/>
              </w:rPr>
              <w:t>（1）监测地点、监测因子</w:t>
            </w:r>
          </w:p>
          <w:p>
            <w:pPr>
              <w:pStyle w:val="57"/>
              <w:bidi w:val="0"/>
              <w:rPr>
                <w:rFonts w:hint="eastAsia"/>
                <w:lang w:val="en-US" w:eastAsia="zh-CN"/>
              </w:rPr>
            </w:pPr>
            <w:r>
              <w:rPr>
                <w:rFonts w:hint="eastAsia"/>
                <w:lang w:val="en-US" w:eastAsia="zh-CN"/>
              </w:rPr>
              <w:t>监测点位坐标东经86.780707，北纬42.321902。监测点位详见附图6。</w:t>
            </w:r>
          </w:p>
          <w:p>
            <w:pPr>
              <w:pStyle w:val="57"/>
              <w:bidi w:val="0"/>
              <w:rPr>
                <w:rFonts w:hint="eastAsia"/>
                <w:lang w:val="en-US" w:eastAsia="zh-CN"/>
              </w:rPr>
            </w:pPr>
            <w:r>
              <w:rPr>
                <w:rFonts w:hint="eastAsia"/>
                <w:lang w:val="en-US" w:eastAsia="zh-CN"/>
              </w:rPr>
              <w:t>其他污染因子：颗粒物（TSP）</w:t>
            </w:r>
          </w:p>
          <w:p>
            <w:pPr>
              <w:pStyle w:val="57"/>
              <w:bidi w:val="0"/>
              <w:rPr>
                <w:rFonts w:hint="eastAsia"/>
                <w:lang w:val="en-US" w:eastAsia="zh-CN"/>
              </w:rPr>
            </w:pPr>
            <w:r>
              <w:rPr>
                <w:rFonts w:hint="eastAsia"/>
                <w:lang w:val="en-US" w:eastAsia="zh-CN"/>
              </w:rPr>
              <w:t>（2）监测时间及频率</w:t>
            </w:r>
          </w:p>
          <w:p>
            <w:pPr>
              <w:pStyle w:val="57"/>
              <w:bidi w:val="0"/>
              <w:rPr>
                <w:rFonts w:hint="eastAsia"/>
                <w:lang w:val="en-US" w:eastAsia="zh-CN"/>
              </w:rPr>
            </w:pPr>
            <w:r>
              <w:rPr>
                <w:rFonts w:hint="eastAsia"/>
                <w:lang w:val="en-US" w:eastAsia="zh-CN"/>
              </w:rPr>
              <w:t>监测频率：TSP连续监测3天。</w:t>
            </w:r>
          </w:p>
          <w:p>
            <w:pPr>
              <w:pStyle w:val="57"/>
              <w:bidi w:val="0"/>
              <w:rPr>
                <w:rFonts w:hint="eastAsia"/>
                <w:lang w:val="en-US" w:eastAsia="zh-CN"/>
              </w:rPr>
            </w:pPr>
            <w:r>
              <w:rPr>
                <w:rFonts w:hint="eastAsia"/>
                <w:lang w:val="en-US" w:eastAsia="zh-CN"/>
              </w:rPr>
              <w:t>监测时间：2023年12月14日～12月17日。</w:t>
            </w:r>
          </w:p>
          <w:p>
            <w:pPr>
              <w:pStyle w:val="57"/>
              <w:bidi w:val="0"/>
              <w:rPr>
                <w:rFonts w:hint="eastAsia"/>
                <w:lang w:val="en-US" w:eastAsia="zh-CN"/>
              </w:rPr>
            </w:pPr>
            <w:r>
              <w:rPr>
                <w:rFonts w:hint="eastAsia"/>
                <w:lang w:val="en-US" w:eastAsia="zh-CN"/>
              </w:rPr>
              <w:t>（3）评价标准</w:t>
            </w:r>
          </w:p>
          <w:p>
            <w:pPr>
              <w:pStyle w:val="57"/>
              <w:bidi w:val="0"/>
              <w:rPr>
                <w:rFonts w:hint="eastAsia"/>
                <w:lang w:val="en-US" w:eastAsia="zh-CN"/>
              </w:rPr>
            </w:pPr>
            <w:r>
              <w:rPr>
                <w:rFonts w:hint="eastAsia"/>
                <w:lang w:val="en-US" w:eastAsia="zh-CN"/>
              </w:rPr>
              <w:t>TSP执行《环境空气质量标准》（GB3095-2012）二级标准限值。</w:t>
            </w:r>
          </w:p>
          <w:p>
            <w:pPr>
              <w:pStyle w:val="57"/>
              <w:bidi w:val="0"/>
              <w:rPr>
                <w:rFonts w:hint="eastAsia"/>
                <w:lang w:val="en-US" w:eastAsia="zh-CN"/>
              </w:rPr>
            </w:pPr>
            <w:r>
              <w:rPr>
                <w:rFonts w:hint="eastAsia"/>
                <w:lang w:val="en-US" w:eastAsia="zh-CN"/>
              </w:rPr>
              <w:t>（4）评价方法</w:t>
            </w:r>
          </w:p>
          <w:p>
            <w:pPr>
              <w:pStyle w:val="57"/>
              <w:bidi w:val="0"/>
              <w:rPr>
                <w:rFonts w:hint="eastAsia"/>
                <w:lang w:val="en-US" w:eastAsia="zh-CN"/>
              </w:rPr>
            </w:pPr>
            <w:r>
              <w:rPr>
                <w:rFonts w:hint="default" w:ascii="Times New Roman" w:hAnsi="Times New Roman" w:eastAsia="宋体" w:cs="Times New Roman"/>
                <w:color w:val="auto"/>
                <w:position w:val="-30"/>
                <w:sz w:val="24"/>
                <w:szCs w:val="24"/>
                <w:highlight w:val="none"/>
              </w:rPr>
              <w:pict>
                <v:shape id="_x0000_s1029" o:spid="_x0000_s1029" o:spt="75" type="#_x0000_t75" style="position:absolute;left:0pt;margin-left:158pt;margin-top:7pt;height:34pt;width:78pt;z-index:251659264;mso-width-relative:page;mso-height-relative:page;" o:ole="t" filled="f" o:preferrelative="t" stroked="f" coordsize="21600,21600">
                  <v:path/>
                  <v:fill on="f" focussize="0,0"/>
                  <v:stroke on="f"/>
                  <v:imagedata r:id="rId18" o:title=""/>
                  <o:lock v:ext="edit" aspectratio="t"/>
                </v:shape>
                <o:OLEObject Type="Embed" ProgID="Equation.KSEE3" ShapeID="_x0000_s1029" DrawAspect="Content" ObjectID="_1468075727" r:id="rId17">
                  <o:LockedField>false</o:LockedField>
                </o:OLEObject>
              </w:pict>
            </w:r>
          </w:p>
          <w:p>
            <w:pPr>
              <w:pStyle w:val="57"/>
              <w:bidi w:val="0"/>
              <w:rPr>
                <w:rFonts w:hint="eastAsia"/>
                <w:lang w:val="en-US" w:eastAsia="zh-CN"/>
              </w:rPr>
            </w:pPr>
          </w:p>
          <w:p>
            <w:pPr>
              <w:pStyle w:val="57"/>
              <w:bidi w:val="0"/>
              <w:rPr>
                <w:rFonts w:hint="eastAsia"/>
                <w:lang w:val="en-US" w:eastAsia="zh-CN"/>
              </w:rPr>
            </w:pPr>
            <w:r>
              <w:rPr>
                <w:rFonts w:hint="eastAsia"/>
                <w:lang w:val="en-US" w:eastAsia="zh-CN"/>
              </w:rPr>
              <w:t>式中：P</w:t>
            </w:r>
            <w:r>
              <w:rPr>
                <w:rFonts w:hint="eastAsia"/>
                <w:vertAlign w:val="subscript"/>
                <w:lang w:val="en-US" w:eastAsia="zh-CN"/>
              </w:rPr>
              <w:t>i</w:t>
            </w:r>
            <w:r>
              <w:rPr>
                <w:rFonts w:hint="eastAsia"/>
                <w:lang w:val="en-US" w:eastAsia="zh-CN"/>
              </w:rPr>
              <w:t>—第i个污染物的最大地面空气质量浓度占标率，%；</w:t>
            </w:r>
          </w:p>
          <w:p>
            <w:pPr>
              <w:pStyle w:val="57"/>
              <w:bidi w:val="0"/>
              <w:rPr>
                <w:rFonts w:hint="eastAsia"/>
                <w:lang w:val="en-US" w:eastAsia="zh-CN"/>
              </w:rPr>
            </w:pPr>
            <w:r>
              <w:rPr>
                <w:rFonts w:hint="eastAsia"/>
                <w:lang w:val="en-US" w:eastAsia="zh-CN"/>
              </w:rPr>
              <w:t>P</w:t>
            </w:r>
            <w:r>
              <w:rPr>
                <w:rFonts w:hint="eastAsia"/>
                <w:vertAlign w:val="subscript"/>
                <w:lang w:val="en-US" w:eastAsia="zh-CN"/>
              </w:rPr>
              <w:t>i</w:t>
            </w:r>
            <w:r>
              <w:rPr>
                <w:rFonts w:hint="eastAsia"/>
                <w:lang w:val="en-US" w:eastAsia="zh-CN"/>
              </w:rPr>
              <w:t>—采用估算模型计算出的第i个污染物的最大1h地面空气质量浓度，ug/m</w:t>
            </w:r>
            <w:r>
              <w:rPr>
                <w:rFonts w:hint="eastAsia"/>
                <w:vertAlign w:val="superscript"/>
                <w:lang w:val="en-US" w:eastAsia="zh-CN"/>
              </w:rPr>
              <w:t>3</w:t>
            </w:r>
            <w:r>
              <w:rPr>
                <w:rFonts w:hint="eastAsia"/>
                <w:lang w:val="en-US" w:eastAsia="zh-CN"/>
              </w:rPr>
              <w:t>；</w:t>
            </w:r>
          </w:p>
          <w:p>
            <w:pPr>
              <w:pStyle w:val="57"/>
              <w:bidi w:val="0"/>
              <w:rPr>
                <w:rFonts w:hint="eastAsia"/>
                <w:lang w:val="en-US" w:eastAsia="zh-CN"/>
              </w:rPr>
            </w:pPr>
            <w:r>
              <w:rPr>
                <w:rFonts w:hint="eastAsia"/>
                <w:lang w:val="en-US" w:eastAsia="zh-CN"/>
              </w:rPr>
              <w:t>P</w:t>
            </w:r>
            <w:r>
              <w:rPr>
                <w:rFonts w:hint="eastAsia"/>
                <w:vertAlign w:val="subscript"/>
                <w:lang w:val="en-US" w:eastAsia="zh-CN"/>
              </w:rPr>
              <w:t>0i</w:t>
            </w:r>
            <w:r>
              <w:rPr>
                <w:rFonts w:hint="eastAsia"/>
                <w:lang w:val="en-US" w:eastAsia="zh-CN"/>
              </w:rPr>
              <w:t>—第i个污染物的环境空气质量浓度标准，ug/m</w:t>
            </w:r>
            <w:r>
              <w:rPr>
                <w:rFonts w:hint="eastAsia"/>
                <w:vertAlign w:val="superscript"/>
                <w:lang w:val="en-US" w:eastAsia="zh-CN"/>
              </w:rPr>
              <w:t>3</w:t>
            </w:r>
            <w:r>
              <w:rPr>
                <w:rFonts w:hint="eastAsia"/>
                <w:lang w:val="en-US" w:eastAsia="zh-CN"/>
              </w:rPr>
              <w:t>。</w:t>
            </w:r>
          </w:p>
          <w:p>
            <w:pPr>
              <w:pStyle w:val="57"/>
              <w:keepNext w:val="0"/>
              <w:keepLines w:val="0"/>
              <w:pageBreakBefore w:val="0"/>
              <w:kinsoku/>
              <w:wordWrap/>
              <w:overflowPunct/>
              <w:topLinePunct w:val="0"/>
              <w:autoSpaceDE/>
              <w:autoSpaceDN/>
              <w:bidi w:val="0"/>
              <w:adjustRightInd w:val="0"/>
              <w:snapToGrid w:val="0"/>
              <w:spacing w:line="500" w:lineRule="exact"/>
              <w:textAlignment w:val="auto"/>
              <w:rPr>
                <w:rFonts w:hint="default"/>
                <w:lang w:val="en-US" w:eastAsia="zh-CN"/>
              </w:rPr>
            </w:pPr>
            <w:r>
              <w:rPr>
                <w:rFonts w:hint="eastAsia"/>
                <w:lang w:val="en-US" w:eastAsia="zh-CN"/>
              </w:rPr>
              <w:t>（5）评价结果及结论</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表3-2    项目区环境空气质量评价结果统计表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432"/>
              <w:gridCol w:w="1435"/>
              <w:gridCol w:w="636"/>
              <w:gridCol w:w="399"/>
              <w:gridCol w:w="1195"/>
              <w:gridCol w:w="932"/>
              <w:gridCol w:w="942"/>
              <w:gridCol w:w="450"/>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0"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pPr>
                  <w:r>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t>监测点位</w:t>
                  </w:r>
                </w:p>
              </w:tc>
              <w:tc>
                <w:tcPr>
                  <w:tcW w:w="1709" w:type="pct"/>
                  <w:gridSpan w:val="2"/>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pPr>
                  <w:r>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t>监测点坐标</w:t>
                  </w:r>
                </w:p>
              </w:tc>
              <w:tc>
                <w:tcPr>
                  <w:tcW w:w="379"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pPr>
                  <w:r>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t>污染物</w:t>
                  </w:r>
                </w:p>
              </w:tc>
              <w:tc>
                <w:tcPr>
                  <w:tcW w:w="237"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pPr>
                  <w:r>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t>平均时间</w:t>
                  </w:r>
                </w:p>
              </w:tc>
              <w:tc>
                <w:tcPr>
                  <w:tcW w:w="712"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pPr>
                  <w:r>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t>评价标准/（mg/m</w:t>
                  </w:r>
                  <w:r>
                    <w:rPr>
                      <w:rFonts w:hint="default" w:ascii="Times New Roman" w:hAnsi="Times New Roman" w:eastAsia="宋体" w:cs="Times New Roman"/>
                      <w:b w:val="0"/>
                      <w:bCs w:val="0"/>
                      <w:snapToGrid w:val="0"/>
                      <w:color w:val="auto"/>
                      <w:spacing w:val="0"/>
                      <w:kern w:val="0"/>
                      <w:position w:val="0"/>
                      <w:sz w:val="21"/>
                      <w:szCs w:val="21"/>
                      <w:highlight w:val="none"/>
                      <w:vertAlign w:val="superscript"/>
                      <w:lang w:val="en-US" w:eastAsia="zh-CN"/>
                    </w:rPr>
                    <w:t>3</w:t>
                  </w:r>
                  <w:r>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t>）</w:t>
                  </w:r>
                </w:p>
              </w:tc>
              <w:tc>
                <w:tcPr>
                  <w:tcW w:w="555"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pPr>
                  <w:r>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t>监测浓度范围/（mg/m</w:t>
                  </w:r>
                  <w:r>
                    <w:rPr>
                      <w:rFonts w:hint="default" w:ascii="Times New Roman" w:hAnsi="Times New Roman" w:eastAsia="宋体" w:cs="Times New Roman"/>
                      <w:b w:val="0"/>
                      <w:bCs w:val="0"/>
                      <w:snapToGrid w:val="0"/>
                      <w:color w:val="auto"/>
                      <w:spacing w:val="0"/>
                      <w:kern w:val="0"/>
                      <w:position w:val="0"/>
                      <w:sz w:val="21"/>
                      <w:szCs w:val="21"/>
                      <w:highlight w:val="none"/>
                      <w:vertAlign w:val="superscript"/>
                      <w:lang w:val="en-US" w:eastAsia="zh-CN"/>
                    </w:rPr>
                    <w:t>3</w:t>
                  </w:r>
                  <w:r>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t>）</w:t>
                  </w:r>
                </w:p>
              </w:tc>
              <w:tc>
                <w:tcPr>
                  <w:tcW w:w="561"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pPr>
                  <w:r>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t>最大浓度占标率%</w:t>
                  </w:r>
                </w:p>
              </w:tc>
              <w:tc>
                <w:tcPr>
                  <w:tcW w:w="268"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pPr>
                  <w:r>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t>超标率%</w:t>
                  </w:r>
                </w:p>
              </w:tc>
              <w:tc>
                <w:tcPr>
                  <w:tcW w:w="254"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pPr>
                  <w:r>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320"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pPr>
                </w:p>
              </w:tc>
              <w:tc>
                <w:tcPr>
                  <w:tcW w:w="85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pPr>
                  <w:r>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t>经度</w:t>
                  </w:r>
                </w:p>
              </w:tc>
              <w:tc>
                <w:tcPr>
                  <w:tcW w:w="855"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pPr>
                  <w:r>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t>纬度</w:t>
                  </w:r>
                </w:p>
              </w:tc>
              <w:tc>
                <w:tcPr>
                  <w:tcW w:w="379"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pPr>
                </w:p>
              </w:tc>
              <w:tc>
                <w:tcPr>
                  <w:tcW w:w="237"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pPr>
                </w:p>
              </w:tc>
              <w:tc>
                <w:tcPr>
                  <w:tcW w:w="712"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pPr>
                </w:p>
              </w:tc>
              <w:tc>
                <w:tcPr>
                  <w:tcW w:w="555"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pPr>
                </w:p>
              </w:tc>
              <w:tc>
                <w:tcPr>
                  <w:tcW w:w="561"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pPr>
                </w:p>
              </w:tc>
              <w:tc>
                <w:tcPr>
                  <w:tcW w:w="268"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pPr>
                </w:p>
              </w:tc>
              <w:tc>
                <w:tcPr>
                  <w:tcW w:w="254"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0" w:firstLineChars="0"/>
                    <w:jc w:val="center"/>
                    <w:textAlignment w:val="baseline"/>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pPr>
                  <w:r>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t>1#</w:t>
                  </w:r>
                </w:p>
              </w:tc>
              <w:tc>
                <w:tcPr>
                  <w:tcW w:w="14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0" w:firstLineChars="0"/>
                    <w:jc w:val="center"/>
                    <w:textAlignment w:val="baseline"/>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pPr>
                  <w:r>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t>86.780707</w:t>
                  </w:r>
                </w:p>
              </w:tc>
              <w:tc>
                <w:tcPr>
                  <w:tcW w:w="143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0" w:firstLineChars="0"/>
                    <w:jc w:val="center"/>
                    <w:textAlignment w:val="baseline"/>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pPr>
                  <w:r>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t>42.321902</w:t>
                  </w:r>
                </w:p>
              </w:tc>
              <w:tc>
                <w:tcPr>
                  <w:tcW w:w="63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0" w:firstLineChars="0"/>
                    <w:jc w:val="center"/>
                    <w:textAlignment w:val="baseline"/>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pPr>
                  <w:r>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t>TSP</w:t>
                  </w:r>
                </w:p>
              </w:tc>
              <w:tc>
                <w:tcPr>
                  <w:tcW w:w="39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0" w:firstLineChars="0"/>
                    <w:jc w:val="center"/>
                    <w:textAlignment w:val="baseline"/>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pPr>
                  <w:r>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t>日均值</w:t>
                  </w:r>
                </w:p>
              </w:tc>
              <w:tc>
                <w:tcPr>
                  <w:tcW w:w="119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0" w:firstLineChars="0"/>
                    <w:jc w:val="center"/>
                    <w:textAlignment w:val="baseline"/>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pPr>
                  <w:r>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t>0.3</w:t>
                  </w:r>
                </w:p>
              </w:tc>
              <w:tc>
                <w:tcPr>
                  <w:tcW w:w="9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0" w:firstLineChars="0"/>
                    <w:jc w:val="center"/>
                    <w:textAlignment w:val="baseline"/>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pPr>
                  <w:r>
                    <w:rPr>
                      <w:rFonts w:hint="eastAsia" w:ascii="宋体" w:hAnsi="宋体"/>
                      <w:color w:val="000000"/>
                      <w:sz w:val="21"/>
                      <w:szCs w:val="21"/>
                      <w:lang w:val="en-US" w:eastAsia="zh-CN"/>
                    </w:rPr>
                    <w:t>0.208</w:t>
                  </w:r>
                  <w:r>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t>~</w:t>
                  </w:r>
                  <w:r>
                    <w:rPr>
                      <w:rFonts w:hint="eastAsia" w:ascii="宋体" w:hAnsi="宋体"/>
                      <w:color w:val="000000"/>
                      <w:sz w:val="21"/>
                      <w:szCs w:val="21"/>
                      <w:lang w:val="en-US" w:eastAsia="zh-CN"/>
                    </w:rPr>
                    <w:t>0.229</w:t>
                  </w:r>
                </w:p>
              </w:tc>
              <w:tc>
                <w:tcPr>
                  <w:tcW w:w="94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0" w:firstLineChars="0"/>
                    <w:jc w:val="center"/>
                    <w:textAlignment w:val="baseline"/>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pPr>
                  <w:r>
                    <w:rPr>
                      <w:rFonts w:hint="eastAsia" w:cs="Times New Roman"/>
                      <w:b w:val="0"/>
                      <w:bCs w:val="0"/>
                      <w:snapToGrid w:val="0"/>
                      <w:color w:val="auto"/>
                      <w:spacing w:val="0"/>
                      <w:kern w:val="0"/>
                      <w:position w:val="0"/>
                      <w:sz w:val="21"/>
                      <w:szCs w:val="21"/>
                      <w:highlight w:val="none"/>
                      <w:vertAlign w:val="baseline"/>
                      <w:lang w:val="en-US" w:eastAsia="zh-CN"/>
                    </w:rPr>
                    <w:t>76</w:t>
                  </w:r>
                </w:p>
              </w:tc>
              <w:tc>
                <w:tcPr>
                  <w:tcW w:w="450"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0" w:firstLineChars="0"/>
                    <w:jc w:val="center"/>
                    <w:textAlignment w:val="baseline"/>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pPr>
                  <w:r>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t>0</w:t>
                  </w:r>
                </w:p>
              </w:tc>
              <w:tc>
                <w:tcPr>
                  <w:tcW w:w="42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0" w:firstLineChars="0"/>
                    <w:jc w:val="center"/>
                    <w:textAlignment w:val="baseline"/>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pPr>
                  <w:r>
                    <w:rPr>
                      <w:rFonts w:hint="default" w:ascii="Times New Roman" w:hAnsi="Times New Roman" w:eastAsia="宋体" w:cs="Times New Roman"/>
                      <w:b w:val="0"/>
                      <w:bCs w:val="0"/>
                      <w:snapToGrid w:val="0"/>
                      <w:color w:val="auto"/>
                      <w:spacing w:val="0"/>
                      <w:kern w:val="0"/>
                      <w:position w:val="0"/>
                      <w:sz w:val="21"/>
                      <w:szCs w:val="21"/>
                      <w:highlight w:val="none"/>
                      <w:vertAlign w:val="baseline"/>
                      <w:lang w:val="en-US" w:eastAsia="zh-CN"/>
                    </w:rPr>
                    <w:t>达标</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lang w:val="en-US" w:eastAsia="zh-CN"/>
              </w:rPr>
            </w:pPr>
            <w:r>
              <w:rPr>
                <w:color w:val="auto"/>
                <w:sz w:val="24"/>
                <w:szCs w:val="24"/>
                <w:highlight w:val="none"/>
              </w:rPr>
              <w:t>从</w:t>
            </w:r>
            <w:r>
              <w:rPr>
                <w:rFonts w:hint="eastAsia"/>
                <w:color w:val="auto"/>
                <w:sz w:val="24"/>
                <w:szCs w:val="24"/>
                <w:highlight w:val="none"/>
              </w:rPr>
              <w:t>上</w:t>
            </w:r>
            <w:r>
              <w:rPr>
                <w:color w:val="auto"/>
                <w:sz w:val="24"/>
                <w:szCs w:val="24"/>
                <w:highlight w:val="none"/>
              </w:rPr>
              <w:t>表分析结果可知，本项目所在区域</w:t>
            </w:r>
            <w:r>
              <w:rPr>
                <w:rFonts w:hint="eastAsia"/>
                <w:color w:val="auto"/>
                <w:sz w:val="24"/>
                <w:szCs w:val="24"/>
                <w:highlight w:val="none"/>
              </w:rPr>
              <w:t>颗粒物可满足《环境空气质量标准》（GB3095-2012）</w:t>
            </w:r>
            <w:r>
              <w:rPr>
                <w:rFonts w:hint="eastAsia"/>
                <w:lang w:val="en-US" w:eastAsia="zh-CN"/>
              </w:rPr>
              <w:t>及修改单</w:t>
            </w:r>
            <w:r>
              <w:rPr>
                <w:rFonts w:hint="eastAsia"/>
                <w:color w:val="auto"/>
                <w:sz w:val="24"/>
                <w:szCs w:val="24"/>
                <w:highlight w:val="none"/>
              </w:rPr>
              <w:t>二级标准限值</w:t>
            </w:r>
            <w:r>
              <w:rPr>
                <w:bCs/>
                <w:color w:val="auto"/>
                <w:sz w:val="24"/>
                <w:szCs w:val="24"/>
                <w:highlight w:val="none"/>
              </w:rPr>
              <w:t>。</w:t>
            </w:r>
          </w:p>
          <w:p>
            <w:pPr>
              <w:pStyle w:val="57"/>
              <w:keepNext w:val="0"/>
              <w:keepLines w:val="0"/>
              <w:pageBreakBefore w:val="0"/>
              <w:kinsoku/>
              <w:wordWrap/>
              <w:overflowPunct/>
              <w:topLinePunct w:val="0"/>
              <w:autoSpaceDE/>
              <w:autoSpaceDN/>
              <w:bidi w:val="0"/>
              <w:adjustRightInd w:val="0"/>
              <w:snapToGrid w:val="0"/>
              <w:ind w:left="0" w:leftChars="0" w:firstLine="0" w:firstLineChars="0"/>
              <w:textAlignment w:val="auto"/>
              <w:rPr>
                <w:rFonts w:hint="default"/>
                <w:b/>
                <w:bCs/>
                <w:lang w:val="en-US" w:eastAsia="zh-CN"/>
              </w:rPr>
            </w:pPr>
            <w:r>
              <w:rPr>
                <w:rFonts w:hint="default"/>
                <w:b/>
                <w:bCs/>
                <w:lang w:val="en-US" w:eastAsia="zh-CN"/>
              </w:rPr>
              <w:t>3.2水土流失现状调查</w:t>
            </w:r>
          </w:p>
          <w:p>
            <w:pPr>
              <w:pStyle w:val="57"/>
              <w:keepNext w:val="0"/>
              <w:keepLines w:val="0"/>
              <w:pageBreakBefore w:val="0"/>
              <w:kinsoku/>
              <w:wordWrap/>
              <w:overflowPunct/>
              <w:topLinePunct w:val="0"/>
              <w:autoSpaceDE/>
              <w:autoSpaceDN/>
              <w:bidi w:val="0"/>
              <w:adjustRightInd w:val="0"/>
              <w:snapToGrid w:val="0"/>
              <w:textAlignment w:val="auto"/>
              <w:rPr>
                <w:rFonts w:hint="default"/>
                <w:lang w:val="en-US" w:eastAsia="zh-CN"/>
              </w:rPr>
            </w:pPr>
            <w:r>
              <w:rPr>
                <w:rFonts w:hint="default"/>
                <w:lang w:val="en-US" w:eastAsia="zh-CN"/>
              </w:rPr>
              <w:t>①水土流失重点防治分区</w:t>
            </w:r>
          </w:p>
          <w:p>
            <w:pPr>
              <w:pStyle w:val="57"/>
              <w:keepNext w:val="0"/>
              <w:keepLines w:val="0"/>
              <w:pageBreakBefore w:val="0"/>
              <w:kinsoku/>
              <w:wordWrap/>
              <w:overflowPunct/>
              <w:topLinePunct w:val="0"/>
              <w:autoSpaceDE/>
              <w:autoSpaceDN/>
              <w:bidi w:val="0"/>
              <w:adjustRightInd w:val="0"/>
              <w:snapToGrid w:val="0"/>
              <w:textAlignment w:val="auto"/>
              <w:rPr>
                <w:rFonts w:hint="default"/>
                <w:lang w:val="en-US" w:eastAsia="zh-CN"/>
              </w:rPr>
            </w:pPr>
            <w:r>
              <w:rPr>
                <w:rFonts w:hint="default"/>
                <w:lang w:val="en-US" w:eastAsia="zh-CN"/>
              </w:rPr>
              <w:t>根据</w:t>
            </w:r>
            <w:r>
              <w:rPr>
                <w:rFonts w:hint="eastAsia"/>
                <w:lang w:val="en-US" w:eastAsia="zh-CN"/>
              </w:rPr>
              <w:t>《</w:t>
            </w:r>
            <w:r>
              <w:rPr>
                <w:rFonts w:hint="default"/>
                <w:lang w:val="en-US" w:eastAsia="zh-CN"/>
              </w:rPr>
              <w:t>全国水土保持规划国家级水土流失重点预防区和重点治理区复核划分成果</w:t>
            </w:r>
            <w:r>
              <w:rPr>
                <w:rFonts w:hint="eastAsia"/>
                <w:lang w:val="en-US" w:eastAsia="zh-CN"/>
              </w:rPr>
              <w:t>》</w:t>
            </w:r>
            <w:r>
              <w:rPr>
                <w:rFonts w:hint="default"/>
                <w:lang w:val="en-US" w:eastAsia="zh-CN"/>
              </w:rPr>
              <w:t>（办水保</w:t>
            </w:r>
            <w:r>
              <w:rPr>
                <w:rFonts w:hint="eastAsia"/>
                <w:lang w:val="en-US" w:eastAsia="zh-CN"/>
              </w:rPr>
              <w:t>〔2013〕188号</w:t>
            </w:r>
            <w:r>
              <w:rPr>
                <w:rFonts w:hint="default"/>
                <w:lang w:val="en-US" w:eastAsia="zh-CN"/>
              </w:rPr>
              <w:t>）及</w:t>
            </w:r>
            <w:r>
              <w:rPr>
                <w:rFonts w:hint="eastAsia"/>
                <w:lang w:val="en-US" w:eastAsia="zh-CN"/>
              </w:rPr>
              <w:t>《</w:t>
            </w:r>
            <w:r>
              <w:rPr>
                <w:rFonts w:hint="default"/>
                <w:lang w:val="en-US" w:eastAsia="zh-CN"/>
              </w:rPr>
              <w:t>关于印发新疆维吾尔自治区级水土流失重点预防区和重点治理区复核划分成果的通知</w:t>
            </w:r>
            <w:r>
              <w:rPr>
                <w:rFonts w:hint="eastAsia"/>
                <w:lang w:val="en-US" w:eastAsia="zh-CN"/>
              </w:rPr>
              <w:t>》</w:t>
            </w:r>
            <w:r>
              <w:rPr>
                <w:rFonts w:hint="default"/>
                <w:lang w:val="en-US" w:eastAsia="zh-CN"/>
              </w:rPr>
              <w:t>（新水办水保</w:t>
            </w:r>
            <w:r>
              <w:rPr>
                <w:rFonts w:hint="eastAsia"/>
                <w:lang w:val="en-US" w:eastAsia="zh-CN"/>
              </w:rPr>
              <w:t>〔2019〕4号</w:t>
            </w:r>
            <w:r>
              <w:rPr>
                <w:rFonts w:hint="default"/>
                <w:lang w:val="en-US" w:eastAsia="zh-CN"/>
              </w:rPr>
              <w:t>），项目建设所在区和硕县不属于国家级、自治区级水土流失重点预防区、水土流失重点治理区</w:t>
            </w:r>
            <w:r>
              <w:rPr>
                <w:rFonts w:hint="eastAsia"/>
                <w:lang w:val="en-US" w:eastAsia="zh-CN"/>
              </w:rPr>
              <w:t>。</w:t>
            </w:r>
          </w:p>
          <w:p>
            <w:pPr>
              <w:pStyle w:val="57"/>
              <w:keepNext w:val="0"/>
              <w:keepLines w:val="0"/>
              <w:pageBreakBefore w:val="0"/>
              <w:kinsoku/>
              <w:wordWrap/>
              <w:overflowPunct/>
              <w:topLinePunct w:val="0"/>
              <w:autoSpaceDE/>
              <w:autoSpaceDN/>
              <w:bidi w:val="0"/>
              <w:adjustRightInd w:val="0"/>
              <w:snapToGrid w:val="0"/>
              <w:textAlignment w:val="auto"/>
              <w:rPr>
                <w:rFonts w:hint="default"/>
                <w:lang w:val="en-US" w:eastAsia="zh-CN"/>
              </w:rPr>
            </w:pPr>
            <w:r>
              <w:rPr>
                <w:rFonts w:hint="default"/>
                <w:lang w:val="en-US" w:eastAsia="zh-CN"/>
              </w:rPr>
              <w:t>根据</w:t>
            </w:r>
            <w:r>
              <w:rPr>
                <w:rFonts w:hint="eastAsia"/>
                <w:lang w:val="en-US" w:eastAsia="zh-CN"/>
              </w:rPr>
              <w:t>巴音郭楞蒙古自治州水土流失重点预防区、重点治理区分布图，本项目位于天山山区重点预防区，详见附图7</w:t>
            </w:r>
            <w:r>
              <w:rPr>
                <w:rFonts w:hint="default"/>
                <w:lang w:val="en-US" w:eastAsia="zh-CN"/>
              </w:rPr>
              <w:t>。</w:t>
            </w:r>
          </w:p>
          <w:p>
            <w:pPr>
              <w:pStyle w:val="57"/>
              <w:keepNext w:val="0"/>
              <w:keepLines w:val="0"/>
              <w:pageBreakBefore w:val="0"/>
              <w:kinsoku/>
              <w:wordWrap/>
              <w:overflowPunct/>
              <w:topLinePunct w:val="0"/>
              <w:autoSpaceDE/>
              <w:autoSpaceDN/>
              <w:bidi w:val="0"/>
              <w:adjustRightInd w:val="0"/>
              <w:snapToGrid w:val="0"/>
              <w:textAlignment w:val="auto"/>
              <w:rPr>
                <w:rFonts w:hint="default"/>
                <w:lang w:val="en-US" w:eastAsia="zh-CN"/>
              </w:rPr>
            </w:pPr>
            <w:r>
              <w:rPr>
                <w:rFonts w:hint="default"/>
                <w:lang w:val="en-US" w:eastAsia="zh-CN"/>
              </w:rPr>
              <w:t>②水土流失现状</w:t>
            </w:r>
          </w:p>
          <w:p>
            <w:pPr>
              <w:pStyle w:val="57"/>
              <w:keepNext w:val="0"/>
              <w:keepLines w:val="0"/>
              <w:pageBreakBefore w:val="0"/>
              <w:kinsoku/>
              <w:wordWrap/>
              <w:overflowPunct/>
              <w:topLinePunct w:val="0"/>
              <w:autoSpaceDE/>
              <w:autoSpaceDN/>
              <w:bidi w:val="0"/>
              <w:adjustRightInd w:val="0"/>
              <w:snapToGrid w:val="0"/>
              <w:textAlignment w:val="auto"/>
              <w:rPr>
                <w:rFonts w:hint="default"/>
                <w:lang w:val="en-US" w:eastAsia="zh-CN"/>
              </w:rPr>
            </w:pPr>
            <w:r>
              <w:rPr>
                <w:rFonts w:hint="default"/>
                <w:lang w:val="en-US" w:eastAsia="zh-CN"/>
              </w:rPr>
              <w:t>2023年和硕县轻度以上风力侵蚀和水力侵蚀总面积3392.99km</w:t>
            </w:r>
            <w:r>
              <w:rPr>
                <w:rFonts w:hint="default"/>
                <w:vertAlign w:val="superscript"/>
                <w:lang w:val="en-US" w:eastAsia="zh-CN"/>
              </w:rPr>
              <w:t>2</w:t>
            </w:r>
            <w:r>
              <w:rPr>
                <w:rFonts w:hint="default"/>
                <w:lang w:val="en-US" w:eastAsia="zh-CN"/>
              </w:rPr>
              <w:t>，占全县土地总面积的26.60%。其中水力侵蚀面积为587.16km</w:t>
            </w:r>
            <w:r>
              <w:rPr>
                <w:rFonts w:hint="default"/>
                <w:vertAlign w:val="superscript"/>
                <w:lang w:val="en-US" w:eastAsia="zh-CN"/>
              </w:rPr>
              <w:t>2</w:t>
            </w:r>
            <w:r>
              <w:rPr>
                <w:rFonts w:hint="default"/>
                <w:lang w:val="en-US" w:eastAsia="zh-CN"/>
              </w:rPr>
              <w:t>，占土壤侵蚀总面积的17.31%；风力侵蚀面积为2805.83km</w:t>
            </w:r>
            <w:r>
              <w:rPr>
                <w:rFonts w:hint="default"/>
                <w:vertAlign w:val="superscript"/>
                <w:lang w:val="en-US" w:eastAsia="zh-CN"/>
              </w:rPr>
              <w:t>2</w:t>
            </w:r>
            <w:r>
              <w:rPr>
                <w:rFonts w:hint="default"/>
                <w:lang w:val="en-US" w:eastAsia="zh-CN"/>
              </w:rPr>
              <w:t>，占土壤侵蚀总面积的82.69%。动态变化数据显示，和硕县2023年水土流失面积比2022年减少了6.20km</w:t>
            </w:r>
            <w:r>
              <w:rPr>
                <w:rFonts w:hint="default"/>
                <w:vertAlign w:val="superscript"/>
                <w:lang w:val="en-US" w:eastAsia="zh-CN"/>
              </w:rPr>
              <w:t>2</w:t>
            </w:r>
            <w:r>
              <w:rPr>
                <w:rFonts w:hint="default"/>
                <w:lang w:val="en-US" w:eastAsia="zh-CN"/>
              </w:rPr>
              <w:t>。</w:t>
            </w:r>
          </w:p>
          <w:p>
            <w:pPr>
              <w:pStyle w:val="57"/>
              <w:keepNext w:val="0"/>
              <w:keepLines w:val="0"/>
              <w:pageBreakBefore w:val="0"/>
              <w:kinsoku/>
              <w:wordWrap/>
              <w:overflowPunct/>
              <w:topLinePunct w:val="0"/>
              <w:autoSpaceDE/>
              <w:autoSpaceDN/>
              <w:bidi w:val="0"/>
              <w:adjustRightInd w:val="0"/>
              <w:snapToGrid w:val="0"/>
              <w:textAlignment w:val="auto"/>
              <w:rPr>
                <w:rFonts w:hint="eastAsia"/>
                <w:lang w:val="en-US" w:eastAsia="zh-CN"/>
              </w:rPr>
            </w:pPr>
            <w:r>
              <w:rPr>
                <w:rFonts w:hint="default"/>
                <w:lang w:val="en-US" w:eastAsia="zh-CN"/>
              </w:rPr>
              <w:t>根据现场踏勘，综合项目区地表植被、土壤状况、气象等资料，并依据《新疆维吾尔自治区2023年度水土流失动态监测年报》</w:t>
            </w:r>
            <w:r>
              <w:rPr>
                <w:rFonts w:hint="eastAsia"/>
                <w:lang w:val="en-US" w:eastAsia="zh-CN"/>
              </w:rPr>
              <w:t>数据</w:t>
            </w:r>
            <w:r>
              <w:rPr>
                <w:rFonts w:hint="default"/>
                <w:lang w:val="en-US" w:eastAsia="zh-CN"/>
              </w:rPr>
              <w:t>及类比工程资料情况，综合分析项目区水土流失状况，同时结合《土壤侵蚀分类分级标准》（SL190-2007）判断项目区主要为轻度风力侵蚀。原生土壤侵蚀模数为1500t/km</w:t>
            </w:r>
            <w:r>
              <w:rPr>
                <w:rFonts w:hint="default"/>
                <w:vertAlign w:val="superscript"/>
                <w:lang w:val="en-US" w:eastAsia="zh-CN"/>
              </w:rPr>
              <w:t>2</w:t>
            </w:r>
            <w:r>
              <w:rPr>
                <w:rFonts w:hint="default"/>
                <w:lang w:val="en-US" w:eastAsia="zh-CN"/>
              </w:rPr>
              <w:t>·a。容许土壤流失量为1500t/km</w:t>
            </w:r>
            <w:r>
              <w:rPr>
                <w:rFonts w:hint="default"/>
                <w:vertAlign w:val="superscript"/>
                <w:lang w:val="en-US" w:eastAsia="zh-CN"/>
              </w:rPr>
              <w:t>2</w:t>
            </w:r>
            <w:r>
              <w:rPr>
                <w:rFonts w:hint="default"/>
                <w:lang w:val="en-US" w:eastAsia="zh-CN"/>
              </w:rPr>
              <w:t>·a。</w:t>
            </w:r>
          </w:p>
          <w:p>
            <w:pPr>
              <w:keepNext w:val="0"/>
              <w:keepLines w:val="0"/>
              <w:pageBreakBefore w:val="0"/>
              <w:kinsoku/>
              <w:wordWrap/>
              <w:overflowPunct/>
              <w:topLinePunct w:val="0"/>
              <w:autoSpaceDE/>
              <w:autoSpaceDN/>
              <w:bidi w:val="0"/>
              <w:adjustRightInd w:val="0"/>
              <w:snapToGrid w:val="0"/>
              <w:spacing w:line="500" w:lineRule="exact"/>
              <w:ind w:left="0" w:leftChars="0" w:firstLine="0" w:firstLineChars="0"/>
              <w:textAlignment w:val="auto"/>
              <w:rPr>
                <w:rFonts w:hint="eastAsia" w:ascii="Times New Roman" w:hAnsi="Times New Roman" w:eastAsia="宋体" w:cs="Times New Roman"/>
                <w:b/>
                <w:bCs/>
                <w:color w:val="000000"/>
                <w:kern w:val="0"/>
                <w:sz w:val="24"/>
                <w:szCs w:val="32"/>
                <w:lang w:val="en-US" w:eastAsia="zh-CN" w:bidi="ar-SA"/>
              </w:rPr>
            </w:pPr>
            <w:r>
              <w:rPr>
                <w:rFonts w:hint="eastAsia" w:ascii="Times New Roman" w:hAnsi="Times New Roman" w:eastAsia="宋体" w:cs="Times New Roman"/>
                <w:b/>
                <w:bCs/>
                <w:color w:val="000000"/>
                <w:kern w:val="0"/>
                <w:sz w:val="24"/>
                <w:szCs w:val="32"/>
                <w:lang w:val="en-US" w:eastAsia="zh-CN" w:bidi="ar-SA"/>
              </w:rPr>
              <w:t>3.</w:t>
            </w:r>
            <w:r>
              <w:rPr>
                <w:rFonts w:hint="eastAsia" w:cs="Times New Roman"/>
                <w:b/>
                <w:bCs/>
                <w:color w:val="000000"/>
                <w:kern w:val="0"/>
                <w:sz w:val="24"/>
                <w:szCs w:val="32"/>
                <w:lang w:val="en-US" w:eastAsia="zh-CN" w:bidi="ar-SA"/>
              </w:rPr>
              <w:t>3</w:t>
            </w:r>
            <w:r>
              <w:rPr>
                <w:rFonts w:hint="eastAsia" w:ascii="Times New Roman" w:hAnsi="Times New Roman" w:eastAsia="宋体" w:cs="Times New Roman"/>
                <w:b/>
                <w:bCs/>
                <w:color w:val="000000"/>
                <w:kern w:val="0"/>
                <w:sz w:val="24"/>
                <w:szCs w:val="32"/>
                <w:lang w:val="en-US" w:eastAsia="zh-CN" w:bidi="ar-SA"/>
              </w:rPr>
              <w:t>土地沙化现状调查</w:t>
            </w:r>
          </w:p>
          <w:p>
            <w:pPr>
              <w:pStyle w:val="57"/>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lang w:val="en-US" w:eastAsia="zh-CN"/>
              </w:rPr>
            </w:pPr>
            <w:r>
              <w:rPr>
                <w:rFonts w:hint="eastAsia"/>
                <w:lang w:eastAsia="zh-CN"/>
              </w:rPr>
              <w:t>根据《新疆防沙治沙规划（2021—2030年）》，和硕县属于“塔克拉玛干沙漠生态保护修复区”中“</w:t>
            </w:r>
            <w:r>
              <w:rPr>
                <w:rFonts w:hint="eastAsia"/>
                <w:lang w:val="en-US" w:eastAsia="zh-CN"/>
              </w:rPr>
              <w:t>塔克拉玛干沙漠北缘绿洲</w:t>
            </w:r>
            <w:r>
              <w:rPr>
                <w:rFonts w:hint="eastAsia"/>
                <w:lang w:eastAsia="zh-CN"/>
              </w:rPr>
              <w:t>生态保护修复小区”。和硕县沙化土地总面积为</w:t>
            </w:r>
            <w:r>
              <w:rPr>
                <w:rFonts w:hint="eastAsia"/>
                <w:lang w:val="en-US" w:eastAsia="zh-CN"/>
              </w:rPr>
              <w:t>217000</w:t>
            </w:r>
            <w:r>
              <w:rPr>
                <w:rFonts w:hint="eastAsia"/>
                <w:lang w:eastAsia="zh-CN"/>
              </w:rPr>
              <w:t>亩，本项目所在区域降水量少，干旱和半干旱是生态的主要特征，干旱多风的气候条件，造成地表出现以风沙活动为主要标志的土地退化和土壤盐渍化，项目区荒漠化的形成主要是风蚀所致。</w:t>
            </w:r>
          </w:p>
          <w:p>
            <w:pPr>
              <w:pStyle w:val="57"/>
              <w:keepNext w:val="0"/>
              <w:keepLines w:val="0"/>
              <w:pageBreakBefore w:val="0"/>
              <w:kinsoku/>
              <w:wordWrap/>
              <w:overflowPunct/>
              <w:topLinePunct w:val="0"/>
              <w:bidi w:val="0"/>
              <w:adjustRightInd w:val="0"/>
              <w:snapToGrid w:val="0"/>
              <w:ind w:left="0" w:leftChars="0" w:firstLine="0" w:firstLineChars="0"/>
              <w:textAlignment w:val="auto"/>
              <w:rPr>
                <w:rFonts w:hint="default"/>
                <w:b/>
                <w:bCs/>
                <w:lang w:val="en-US" w:eastAsia="zh-CN"/>
              </w:rPr>
            </w:pPr>
            <w:r>
              <w:rPr>
                <w:rFonts w:hint="default"/>
                <w:b/>
                <w:bCs/>
                <w:lang w:val="en-US" w:eastAsia="zh-CN"/>
              </w:rPr>
              <w:t>3.4声环境质量现状</w:t>
            </w:r>
          </w:p>
          <w:p>
            <w:pPr>
              <w:pStyle w:val="57"/>
              <w:keepNext w:val="0"/>
              <w:keepLines w:val="0"/>
              <w:pageBreakBefore w:val="0"/>
              <w:kinsoku/>
              <w:wordWrap/>
              <w:overflowPunct/>
              <w:topLinePunct w:val="0"/>
              <w:bidi w:val="0"/>
              <w:adjustRightInd w:val="0"/>
              <w:snapToGrid w:val="0"/>
              <w:textAlignment w:val="auto"/>
              <w:rPr>
                <w:rFonts w:hint="default"/>
                <w:lang w:val="en-US" w:eastAsia="zh-CN"/>
              </w:rPr>
            </w:pPr>
            <w:r>
              <w:rPr>
                <w:rFonts w:hint="default"/>
                <w:lang w:val="en-US" w:eastAsia="zh-CN"/>
              </w:rPr>
              <w:t>根据《建设项目环境影响报告表编制技术指南（污染影响类）（试行）》相关规定开展补充监测，声环境监测：厂界周边50m范围内存在声环境保护目标的建设项目，应监测保护目标声环境质量现状并评价达标情况。</w:t>
            </w:r>
          </w:p>
          <w:p>
            <w:pPr>
              <w:pStyle w:val="57"/>
              <w:keepNext w:val="0"/>
              <w:keepLines w:val="0"/>
              <w:pageBreakBefore w:val="0"/>
              <w:kinsoku/>
              <w:wordWrap/>
              <w:overflowPunct/>
              <w:topLinePunct w:val="0"/>
              <w:bidi w:val="0"/>
              <w:adjustRightInd w:val="0"/>
              <w:snapToGrid w:val="0"/>
              <w:textAlignment w:val="auto"/>
              <w:rPr>
                <w:rFonts w:hint="default"/>
                <w:lang w:val="en-US" w:eastAsia="zh-CN"/>
              </w:rPr>
            </w:pPr>
            <w:r>
              <w:rPr>
                <w:rFonts w:hint="default"/>
                <w:lang w:val="en-US" w:eastAsia="zh-CN"/>
              </w:rPr>
              <w:t>本项目厂界外周边50</w:t>
            </w:r>
            <w:r>
              <w:rPr>
                <w:rFonts w:hint="eastAsia"/>
                <w:lang w:val="en-US" w:eastAsia="zh-CN"/>
              </w:rPr>
              <w:t>m</w:t>
            </w:r>
            <w:r>
              <w:rPr>
                <w:rFonts w:hint="default"/>
                <w:lang w:val="en-US" w:eastAsia="zh-CN"/>
              </w:rPr>
              <w:t>范围内不存在声环境保护目标，因此本项目可不进行声环境现状监测。</w:t>
            </w:r>
          </w:p>
          <w:p>
            <w:pPr>
              <w:pStyle w:val="57"/>
              <w:keepNext w:val="0"/>
              <w:keepLines w:val="0"/>
              <w:pageBreakBefore w:val="0"/>
              <w:kinsoku/>
              <w:wordWrap/>
              <w:overflowPunct/>
              <w:topLinePunct w:val="0"/>
              <w:bidi w:val="0"/>
              <w:adjustRightInd w:val="0"/>
              <w:snapToGrid w:val="0"/>
              <w:spacing w:line="500" w:lineRule="exact"/>
              <w:ind w:left="0" w:leftChars="0" w:firstLine="0" w:firstLineChars="0"/>
              <w:textAlignment w:val="auto"/>
              <w:rPr>
                <w:rFonts w:hint="default"/>
                <w:b/>
                <w:bCs/>
                <w:lang w:val="en-US" w:eastAsia="zh-CN"/>
              </w:rPr>
            </w:pPr>
            <w:r>
              <w:rPr>
                <w:rFonts w:hint="default"/>
                <w:b/>
                <w:bCs/>
                <w:lang w:val="en-US" w:eastAsia="zh-CN"/>
              </w:rPr>
              <w:t>3.5地表水环境质量现状</w:t>
            </w:r>
          </w:p>
          <w:p>
            <w:pPr>
              <w:pStyle w:val="57"/>
              <w:keepNext w:val="0"/>
              <w:keepLines w:val="0"/>
              <w:pageBreakBefore w:val="0"/>
              <w:kinsoku/>
              <w:wordWrap/>
              <w:overflowPunct/>
              <w:topLinePunct w:val="0"/>
              <w:bidi w:val="0"/>
              <w:adjustRightInd w:val="0"/>
              <w:snapToGrid w:val="0"/>
              <w:spacing w:line="500" w:lineRule="exact"/>
              <w:textAlignment w:val="auto"/>
              <w:rPr>
                <w:rFonts w:hint="default"/>
                <w:lang w:val="en-US" w:eastAsia="zh-CN"/>
              </w:rPr>
            </w:pPr>
            <w:r>
              <w:rPr>
                <w:rFonts w:hint="default"/>
                <w:lang w:val="en-US" w:eastAsia="zh-CN"/>
              </w:rPr>
              <w:t>根据《环境影响评价技术导则 地表水环境》（HJ2.3-2018），本项目地表水评价工作等级为三级B，三级B项目可不进行地表水环境质量现状调查，因此本次不进行地表水环境质量调查与分析。</w:t>
            </w:r>
          </w:p>
          <w:p>
            <w:pPr>
              <w:pStyle w:val="57"/>
              <w:keepNext w:val="0"/>
              <w:keepLines w:val="0"/>
              <w:pageBreakBefore w:val="0"/>
              <w:kinsoku/>
              <w:wordWrap/>
              <w:overflowPunct/>
              <w:topLinePunct w:val="0"/>
              <w:bidi w:val="0"/>
              <w:adjustRightInd w:val="0"/>
              <w:snapToGrid w:val="0"/>
              <w:spacing w:line="500" w:lineRule="exact"/>
              <w:ind w:left="0" w:leftChars="0" w:firstLine="0" w:firstLineChars="0"/>
              <w:textAlignment w:val="auto"/>
              <w:rPr>
                <w:rFonts w:hint="default"/>
                <w:b/>
                <w:bCs/>
                <w:lang w:val="en-US" w:eastAsia="zh-CN"/>
              </w:rPr>
            </w:pPr>
            <w:r>
              <w:rPr>
                <w:rFonts w:hint="default"/>
                <w:b/>
                <w:bCs/>
                <w:lang w:val="en-US" w:eastAsia="zh-CN"/>
              </w:rPr>
              <w:t>3.6地下水</w:t>
            </w:r>
            <w:r>
              <w:rPr>
                <w:rFonts w:hint="eastAsia"/>
                <w:b/>
                <w:bCs/>
                <w:lang w:val="en-US" w:eastAsia="zh-CN"/>
              </w:rPr>
              <w:t>、土壤</w:t>
            </w:r>
            <w:r>
              <w:rPr>
                <w:rFonts w:hint="default"/>
                <w:b/>
                <w:bCs/>
                <w:lang w:val="en-US" w:eastAsia="zh-CN"/>
              </w:rPr>
              <w:t>环境现状调查</w:t>
            </w:r>
          </w:p>
          <w:p>
            <w:pPr>
              <w:pStyle w:val="31"/>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default" w:ascii="Times New Roman" w:hAnsi="Times New Roman" w:eastAsia="宋体" w:cs="Times New Roman"/>
                <w:b w:val="0"/>
                <w:bCs/>
                <w:snapToGrid w:val="0"/>
                <w:color w:val="auto"/>
                <w:kern w:val="2"/>
                <w:sz w:val="24"/>
                <w:szCs w:val="24"/>
                <w:lang w:val="en-US" w:eastAsia="zh-CN" w:bidi="ar-SA"/>
                <w14:ligatures w14:val="none"/>
              </w:rPr>
            </w:pPr>
            <w:r>
              <w:rPr>
                <w:rFonts w:hint="default" w:ascii="Times New Roman" w:hAnsi="Times New Roman" w:eastAsia="宋体" w:cs="Times New Roman"/>
                <w:b w:val="0"/>
                <w:bCs/>
                <w:snapToGrid w:val="0"/>
                <w:color w:val="auto"/>
                <w:kern w:val="2"/>
                <w:sz w:val="24"/>
                <w:szCs w:val="24"/>
                <w:lang w:val="en-US" w:eastAsia="zh-CN" w:bidi="ar-SA"/>
                <w14:ligatures w14:val="none"/>
              </w:rPr>
              <w:t>本项目按照各功能区进行分区防渗，不存在土壤、地下水污染途径，且评价范围内无地下水、土壤环境保护目标。根据《建设项目环境影响报告表编制技术指南（污染影响类）</w:t>
            </w:r>
            <w:r>
              <w:rPr>
                <w:rFonts w:hint="eastAsia" w:hAnsi="Times New Roman" w:cs="Times New Roman"/>
                <w:b w:val="0"/>
                <w:bCs/>
                <w:snapToGrid w:val="0"/>
                <w:color w:val="auto"/>
                <w:kern w:val="2"/>
                <w:sz w:val="24"/>
                <w:szCs w:val="24"/>
                <w:lang w:val="en-US" w:eastAsia="zh-CN" w:bidi="ar-SA"/>
                <w14:ligatures w14:val="none"/>
              </w:rPr>
              <w:t>（试行）》</w:t>
            </w:r>
            <w:r>
              <w:rPr>
                <w:rFonts w:hint="default" w:ascii="Times New Roman" w:hAnsi="Times New Roman" w:eastAsia="宋体" w:cs="Times New Roman"/>
                <w:b w:val="0"/>
                <w:bCs/>
                <w:snapToGrid w:val="0"/>
                <w:color w:val="auto"/>
                <w:kern w:val="2"/>
                <w:sz w:val="24"/>
                <w:szCs w:val="24"/>
                <w:lang w:val="en-US" w:eastAsia="zh-CN" w:bidi="ar-SA"/>
                <w14:ligatures w14:val="none"/>
              </w:rPr>
              <w:t>，本项目不需要进行地下水、土壤环境现状调查。</w:t>
            </w:r>
          </w:p>
          <w:p>
            <w:pPr>
              <w:pStyle w:val="57"/>
              <w:keepNext w:val="0"/>
              <w:keepLines w:val="0"/>
              <w:pageBreakBefore w:val="0"/>
              <w:kinsoku/>
              <w:wordWrap/>
              <w:overflowPunct/>
              <w:topLinePunct w:val="0"/>
              <w:autoSpaceDE/>
              <w:autoSpaceDN/>
              <w:bidi w:val="0"/>
              <w:adjustRightInd w:val="0"/>
              <w:snapToGrid w:val="0"/>
              <w:spacing w:line="500" w:lineRule="exact"/>
              <w:ind w:left="0" w:leftChars="0" w:firstLine="0" w:firstLineChars="0"/>
              <w:textAlignment w:val="auto"/>
              <w:rPr>
                <w:rFonts w:hint="default"/>
                <w:b/>
                <w:bCs/>
                <w:lang w:val="en-US" w:eastAsia="zh-CN"/>
              </w:rPr>
            </w:pPr>
            <w:r>
              <w:rPr>
                <w:rFonts w:hint="default"/>
                <w:b/>
                <w:bCs/>
                <w:lang w:val="en-US" w:eastAsia="zh-CN"/>
              </w:rPr>
              <w:t>3.</w:t>
            </w:r>
            <w:r>
              <w:rPr>
                <w:rFonts w:hint="eastAsia"/>
                <w:b/>
                <w:bCs/>
                <w:lang w:val="en-US" w:eastAsia="zh-CN"/>
              </w:rPr>
              <w:t>7生态</w:t>
            </w:r>
            <w:r>
              <w:rPr>
                <w:rFonts w:hint="default"/>
                <w:b/>
                <w:bCs/>
                <w:lang w:val="en-US" w:eastAsia="zh-CN"/>
              </w:rPr>
              <w:t>环境现状调查</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lang w:eastAsia="zh-CN"/>
              </w:rPr>
            </w:pPr>
            <w:r>
              <w:rPr>
                <w:rFonts w:hint="default"/>
                <w:lang w:eastAsia="zh-CN"/>
              </w:rPr>
              <w:t>根据《建设项目环境影响报告表编制技术指南（污染影响类）（试行）》要求，本项目位于产业园区内，用地范围内无生态环境保护目标，故不进行生态现状调查。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52" w:hRule="atLeast"/>
          <w:jc w:val="center"/>
        </w:trPr>
        <w:tc>
          <w:tcPr>
            <w:tcW w:w="397"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环境</w:t>
            </w:r>
          </w:p>
          <w:p>
            <w:pPr>
              <w:jc w:val="center"/>
              <w:rPr>
                <w:rFonts w:hint="default" w:ascii="Times New Roman" w:hAnsi="Times New Roman" w:cs="Times New Roman"/>
                <w:color w:val="auto"/>
              </w:rPr>
            </w:pPr>
            <w:r>
              <w:rPr>
                <w:rFonts w:hint="default" w:ascii="Times New Roman" w:hAnsi="Times New Roman" w:cs="Times New Roman"/>
                <w:color w:val="auto"/>
              </w:rPr>
              <w:t>保护</w:t>
            </w:r>
          </w:p>
          <w:p>
            <w:pPr>
              <w:jc w:val="center"/>
              <w:rPr>
                <w:rFonts w:hint="default" w:ascii="Times New Roman" w:hAnsi="Times New Roman" w:cs="Times New Roman"/>
                <w:color w:val="auto"/>
              </w:rPr>
            </w:pPr>
            <w:r>
              <w:rPr>
                <w:rFonts w:hint="default" w:ascii="Times New Roman" w:hAnsi="Times New Roman" w:cs="Times New Roman"/>
                <w:color w:val="auto"/>
              </w:rPr>
              <w:t>目标</w:t>
            </w:r>
          </w:p>
        </w:tc>
        <w:tc>
          <w:tcPr>
            <w:tcW w:w="8611"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3.</w:t>
            </w:r>
            <w:r>
              <w:rPr>
                <w:rFonts w:hint="eastAsia" w:cs="Times New Roman"/>
                <w:b/>
                <w:bCs/>
                <w:color w:val="auto"/>
                <w:lang w:val="en-US" w:eastAsia="zh-CN"/>
              </w:rPr>
              <w:t>8</w:t>
            </w:r>
            <w:r>
              <w:rPr>
                <w:rFonts w:hint="default" w:ascii="Times New Roman" w:hAnsi="Times New Roman" w:eastAsia="宋体" w:cs="Times New Roman"/>
                <w:b/>
                <w:bCs/>
                <w:color w:val="auto"/>
              </w:rPr>
              <w:t>大气环境</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
                <w:bCs/>
                <w:color w:val="auto"/>
              </w:rPr>
            </w:pPr>
            <w:r>
              <w:rPr>
                <w:rFonts w:hint="default" w:ascii="Times New Roman" w:hAnsi="Times New Roman" w:eastAsia="宋体" w:cs="Times New Roman"/>
                <w:bCs/>
                <w:color w:val="auto"/>
                <w:szCs w:val="21"/>
              </w:rPr>
              <w:t>本项目厂界外500</w:t>
            </w:r>
            <w:r>
              <w:rPr>
                <w:rFonts w:hint="default" w:ascii="Times New Roman" w:hAnsi="Times New Roman" w:eastAsia="宋体" w:cs="Times New Roman"/>
                <w:bCs/>
                <w:color w:val="auto"/>
                <w:szCs w:val="21"/>
                <w:lang w:val="en-US" w:eastAsia="zh-CN"/>
              </w:rPr>
              <w:t>m</w:t>
            </w:r>
            <w:r>
              <w:rPr>
                <w:rFonts w:hint="default" w:ascii="Times New Roman" w:hAnsi="Times New Roman" w:eastAsia="宋体" w:cs="Times New Roman"/>
                <w:bCs/>
                <w:color w:val="auto"/>
                <w:szCs w:val="21"/>
              </w:rPr>
              <w:t>范围内无大气环境保护目标</w:t>
            </w:r>
            <w:r>
              <w:rPr>
                <w:rFonts w:hint="default" w:ascii="Times New Roman" w:hAnsi="Times New Roman" w:eastAsia="宋体" w:cs="Times New Roman"/>
                <w:color w:val="auto"/>
              </w:rPr>
              <w:t>。</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3.</w:t>
            </w:r>
            <w:r>
              <w:rPr>
                <w:rFonts w:hint="eastAsia" w:cs="Times New Roman"/>
                <w:b/>
                <w:bCs/>
                <w:color w:val="auto"/>
                <w:lang w:val="en-US" w:eastAsia="zh-CN"/>
              </w:rPr>
              <w:t>9</w:t>
            </w:r>
            <w:r>
              <w:rPr>
                <w:rFonts w:hint="default" w:ascii="Times New Roman" w:hAnsi="Times New Roman" w:eastAsia="宋体" w:cs="Times New Roman"/>
                <w:b/>
                <w:bCs/>
                <w:color w:val="auto"/>
              </w:rPr>
              <w:t>声环境</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bCs/>
                <w:color w:val="auto"/>
                <w:szCs w:val="21"/>
              </w:rPr>
              <w:t>本项目厂界外50</w:t>
            </w:r>
            <w:r>
              <w:rPr>
                <w:rFonts w:hint="default" w:ascii="Times New Roman" w:hAnsi="Times New Roman" w:eastAsia="宋体" w:cs="Times New Roman"/>
                <w:bCs/>
                <w:color w:val="auto"/>
                <w:szCs w:val="21"/>
                <w:lang w:val="en-US" w:eastAsia="zh-CN"/>
              </w:rPr>
              <w:t>m</w:t>
            </w:r>
            <w:r>
              <w:rPr>
                <w:rFonts w:hint="default" w:ascii="Times New Roman" w:hAnsi="Times New Roman" w:eastAsia="宋体" w:cs="Times New Roman"/>
                <w:bCs/>
                <w:color w:val="auto"/>
                <w:szCs w:val="21"/>
              </w:rPr>
              <w:t>范围内无声环境保护目标。</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3.</w:t>
            </w:r>
            <w:r>
              <w:rPr>
                <w:rFonts w:hint="eastAsia" w:cs="Times New Roman"/>
                <w:b/>
                <w:bCs/>
                <w:color w:val="auto"/>
                <w:lang w:val="en-US" w:eastAsia="zh-CN"/>
              </w:rPr>
              <w:t>10</w:t>
            </w:r>
            <w:r>
              <w:rPr>
                <w:rFonts w:hint="default" w:ascii="Times New Roman" w:hAnsi="Times New Roman" w:eastAsia="宋体" w:cs="Times New Roman"/>
                <w:b/>
                <w:bCs/>
                <w:color w:val="auto"/>
              </w:rPr>
              <w:t>地下水环境</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本项目厂界外500</w:t>
            </w:r>
            <w:r>
              <w:rPr>
                <w:rFonts w:hint="default" w:ascii="Times New Roman" w:hAnsi="Times New Roman" w:eastAsia="宋体" w:cs="Times New Roman"/>
                <w:bCs/>
                <w:color w:val="auto"/>
                <w:szCs w:val="21"/>
                <w:lang w:val="en-US" w:eastAsia="zh-CN"/>
              </w:rPr>
              <w:t>m</w:t>
            </w:r>
            <w:r>
              <w:rPr>
                <w:rFonts w:hint="default" w:ascii="Times New Roman" w:hAnsi="Times New Roman" w:eastAsia="宋体" w:cs="Times New Roman"/>
                <w:bCs/>
                <w:color w:val="auto"/>
                <w:szCs w:val="21"/>
              </w:rPr>
              <w:t>范围内无地下水集中式饮用水水源和热水、矿泉水、温泉等特殊地下水资源。</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rPr>
              <w:t>3.</w:t>
            </w:r>
            <w:r>
              <w:rPr>
                <w:rFonts w:hint="eastAsia" w:cs="Times New Roman"/>
                <w:b/>
                <w:bCs/>
                <w:color w:val="auto"/>
                <w:lang w:val="en-US" w:eastAsia="zh-CN"/>
              </w:rPr>
              <w:t>11</w:t>
            </w:r>
            <w:r>
              <w:rPr>
                <w:rFonts w:hint="eastAsia" w:ascii="Times New Roman" w:hAnsi="Times New Roman" w:eastAsia="宋体" w:cs="Times New Roman"/>
                <w:b/>
                <w:bCs/>
                <w:color w:val="auto"/>
                <w:lang w:val="en-US" w:eastAsia="zh-CN"/>
              </w:rPr>
              <w:t>地表水环境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500" w:lineRule="exact"/>
              <w:ind w:left="0" w:right="0" w:firstLine="480" w:firstLineChars="200"/>
              <w:jc w:val="both"/>
              <w:textAlignment w:val="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项目用地范围及附近不涉及饮用水水源保护区、饮用水取水口、自然保护区、风景名胜区，重要湿地、重点保护与珍稀水生生物的栖息地、重要水生生物的自然产卵场及索饵场、越冬场和</w:t>
            </w:r>
            <w:r>
              <w:rPr>
                <w:rFonts w:hint="eastAsia" w:cs="Times New Roman"/>
                <w:bCs/>
                <w:color w:val="auto"/>
                <w:sz w:val="24"/>
                <w:szCs w:val="24"/>
                <w:highlight w:val="none"/>
                <w:lang w:eastAsia="zh-CN"/>
              </w:rPr>
              <w:t>洄游</w:t>
            </w:r>
            <w:r>
              <w:rPr>
                <w:rFonts w:hint="default" w:ascii="Times New Roman" w:hAnsi="Times New Roman" w:cs="Times New Roman"/>
                <w:bCs/>
                <w:color w:val="auto"/>
                <w:sz w:val="24"/>
                <w:szCs w:val="24"/>
                <w:highlight w:val="none"/>
              </w:rPr>
              <w:t>通道，天然渔场等渔业水体，以及水产种质资源保护区等敏感目标。</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3.</w:t>
            </w:r>
            <w:r>
              <w:rPr>
                <w:rFonts w:hint="eastAsia" w:cs="Times New Roman"/>
                <w:b/>
                <w:bCs/>
                <w:color w:val="auto"/>
                <w:lang w:val="en-US" w:eastAsia="zh-CN"/>
              </w:rPr>
              <w:t>12</w:t>
            </w:r>
            <w:r>
              <w:rPr>
                <w:rFonts w:hint="default" w:ascii="Times New Roman" w:hAnsi="Times New Roman" w:eastAsia="宋体" w:cs="Times New Roman"/>
                <w:b/>
                <w:bCs/>
                <w:color w:val="auto"/>
              </w:rPr>
              <w:t>生态环境</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lang w:val="en-US"/>
              </w:rPr>
            </w:pPr>
            <w:r>
              <w:rPr>
                <w:rFonts w:hint="default" w:ascii="Times New Roman" w:hAnsi="Times New Roman" w:eastAsia="宋体" w:cs="Times New Roman"/>
                <w:color w:val="auto"/>
              </w:rPr>
              <w:t>本项目位于园区工业用地范围内，无生态环境保护目标。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7" w:type="dxa"/>
            <w:tcMar>
              <w:left w:w="28" w:type="dxa"/>
              <w:right w:w="28" w:type="dxa"/>
            </w:tcMar>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污染</w:t>
            </w:r>
          </w:p>
          <w:p>
            <w:pPr>
              <w:jc w:val="center"/>
              <w:rPr>
                <w:rFonts w:hint="default" w:ascii="Times New Roman" w:hAnsi="Times New Roman" w:cs="Times New Roman"/>
                <w:color w:val="auto"/>
              </w:rPr>
            </w:pPr>
            <w:r>
              <w:rPr>
                <w:rFonts w:hint="default" w:ascii="Times New Roman" w:hAnsi="Times New Roman" w:cs="Times New Roman"/>
                <w:color w:val="auto"/>
              </w:rPr>
              <w:t>物排</w:t>
            </w:r>
          </w:p>
          <w:p>
            <w:pPr>
              <w:jc w:val="center"/>
              <w:rPr>
                <w:rFonts w:hint="default" w:ascii="Times New Roman" w:hAnsi="Times New Roman" w:cs="Times New Roman"/>
                <w:color w:val="auto"/>
              </w:rPr>
            </w:pPr>
            <w:r>
              <w:rPr>
                <w:rFonts w:hint="default" w:ascii="Times New Roman" w:hAnsi="Times New Roman" w:cs="Times New Roman"/>
                <w:color w:val="auto"/>
              </w:rPr>
              <w:t>放控</w:t>
            </w:r>
          </w:p>
          <w:p>
            <w:pPr>
              <w:jc w:val="center"/>
              <w:rPr>
                <w:rFonts w:hint="default" w:ascii="Times New Roman" w:hAnsi="Times New Roman" w:cs="Times New Roman"/>
                <w:color w:val="auto"/>
              </w:rPr>
            </w:pPr>
            <w:r>
              <w:rPr>
                <w:rFonts w:hint="default" w:ascii="Times New Roman" w:hAnsi="Times New Roman" w:cs="Times New Roman"/>
                <w:color w:val="auto"/>
              </w:rPr>
              <w:t>制标</w:t>
            </w:r>
          </w:p>
          <w:p>
            <w:pPr>
              <w:jc w:val="center"/>
              <w:rPr>
                <w:rFonts w:hint="default" w:ascii="Times New Roman" w:hAnsi="Times New Roman" w:cs="Times New Roman"/>
                <w:color w:val="auto"/>
              </w:rPr>
            </w:pPr>
            <w:r>
              <w:rPr>
                <w:rFonts w:hint="default" w:ascii="Times New Roman" w:hAnsi="Times New Roman" w:cs="Times New Roman"/>
                <w:color w:val="auto"/>
              </w:rPr>
              <w:t>准</w:t>
            </w:r>
          </w:p>
        </w:tc>
        <w:tc>
          <w:tcPr>
            <w:tcW w:w="8611" w:type="dxa"/>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color w:val="auto"/>
              </w:rPr>
            </w:pPr>
            <w:r>
              <w:rPr>
                <w:rFonts w:hint="default" w:ascii="Times New Roman" w:hAnsi="Times New Roman" w:eastAsia="宋体" w:cs="Times New Roman"/>
                <w:b/>
                <w:color w:val="auto"/>
              </w:rPr>
              <w:t>3.1</w:t>
            </w:r>
            <w:r>
              <w:rPr>
                <w:rFonts w:hint="eastAsia" w:cs="Times New Roman"/>
                <w:b/>
                <w:color w:val="auto"/>
                <w:lang w:val="en-US" w:eastAsia="zh-CN"/>
              </w:rPr>
              <w:t>3</w:t>
            </w:r>
            <w:r>
              <w:rPr>
                <w:rFonts w:hint="default" w:ascii="Times New Roman" w:hAnsi="Times New Roman" w:eastAsia="宋体" w:cs="Times New Roman"/>
                <w:b/>
                <w:color w:val="auto"/>
              </w:rPr>
              <w:t>大气污染物排放标准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施工期扬尘执行《大气污染物综合排放标准》（GB16297-1996）</w:t>
            </w:r>
            <w:r>
              <w:rPr>
                <w:rFonts w:hint="default" w:ascii="Times New Roman" w:hAnsi="Times New Roman" w:eastAsia="宋体" w:cs="Times New Roman"/>
                <w:color w:val="auto"/>
                <w:lang w:val="en-US" w:eastAsia="zh-CN"/>
              </w:rPr>
              <w:t>中相关</w:t>
            </w:r>
            <w:r>
              <w:rPr>
                <w:rFonts w:hint="default" w:ascii="Times New Roman" w:hAnsi="Times New Roman" w:eastAsia="宋体" w:cs="Times New Roman"/>
                <w:color w:val="auto"/>
              </w:rPr>
              <w:t>限值；</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项目运营产</w:t>
            </w:r>
            <w:r>
              <w:rPr>
                <w:rFonts w:hint="default" w:ascii="Times New Roman" w:hAnsi="Times New Roman" w:eastAsia="宋体" w:cs="Times New Roman"/>
                <w:color w:val="auto"/>
                <w:lang w:eastAsia="zh-CN"/>
              </w:rPr>
              <w:t>生的</w:t>
            </w:r>
            <w:r>
              <w:rPr>
                <w:rFonts w:hint="eastAsia" w:cs="Times New Roman"/>
                <w:color w:val="auto"/>
                <w:lang w:val="en-US" w:eastAsia="zh-CN"/>
              </w:rPr>
              <w:t>有组织</w:t>
            </w:r>
            <w:r>
              <w:rPr>
                <w:rFonts w:hint="default" w:ascii="Times New Roman" w:hAnsi="Times New Roman" w:eastAsia="宋体" w:cs="Times New Roman"/>
                <w:color w:val="auto"/>
              </w:rPr>
              <w:t>颗粒物排放执行《</w:t>
            </w:r>
            <w:r>
              <w:rPr>
                <w:rFonts w:hint="eastAsia" w:cs="Times New Roman"/>
                <w:color w:val="auto"/>
                <w:lang w:val="en-US" w:eastAsia="zh-CN"/>
              </w:rPr>
              <w:t>大气污染物综合排放标准</w:t>
            </w:r>
            <w:r>
              <w:rPr>
                <w:rFonts w:hint="default" w:ascii="Times New Roman" w:hAnsi="Times New Roman" w:eastAsia="宋体" w:cs="Times New Roman"/>
                <w:color w:val="auto"/>
              </w:rPr>
              <w:t>》（GB</w:t>
            </w:r>
            <w:r>
              <w:rPr>
                <w:rFonts w:hint="eastAsia" w:cs="Times New Roman"/>
                <w:color w:val="auto"/>
                <w:lang w:val="en-US" w:eastAsia="zh-CN"/>
              </w:rPr>
              <w:t>16297-1996</w:t>
            </w:r>
            <w:r>
              <w:rPr>
                <w:rFonts w:hint="default" w:ascii="Times New Roman" w:hAnsi="Times New Roman" w:eastAsia="宋体" w:cs="Times New Roman"/>
                <w:color w:val="auto"/>
              </w:rPr>
              <w:t>）表</w:t>
            </w:r>
            <w:r>
              <w:rPr>
                <w:rFonts w:hint="eastAsia" w:cs="Times New Roman"/>
                <w:color w:val="auto"/>
                <w:lang w:val="en-US" w:eastAsia="zh-CN"/>
              </w:rPr>
              <w:t>2中二级标准，无组织颗粒物排放执行</w:t>
            </w:r>
            <w:r>
              <w:rPr>
                <w:rFonts w:hint="default" w:ascii="Times New Roman" w:hAnsi="Times New Roman" w:eastAsia="宋体" w:cs="Times New Roman"/>
                <w:color w:val="auto"/>
              </w:rPr>
              <w:t>《</w:t>
            </w:r>
            <w:r>
              <w:rPr>
                <w:rFonts w:hint="eastAsia" w:cs="Times New Roman"/>
                <w:color w:val="auto"/>
                <w:lang w:val="en-US" w:eastAsia="zh-CN"/>
              </w:rPr>
              <w:t>大气污染物综合排放标准</w:t>
            </w:r>
            <w:r>
              <w:rPr>
                <w:rFonts w:hint="default" w:ascii="Times New Roman" w:hAnsi="Times New Roman" w:eastAsia="宋体" w:cs="Times New Roman"/>
                <w:color w:val="auto"/>
              </w:rPr>
              <w:t>》（GB</w:t>
            </w:r>
            <w:r>
              <w:rPr>
                <w:rFonts w:hint="eastAsia" w:cs="Times New Roman"/>
                <w:color w:val="auto"/>
                <w:lang w:val="en-US" w:eastAsia="zh-CN"/>
              </w:rPr>
              <w:t>16297-1996</w:t>
            </w:r>
            <w:r>
              <w:rPr>
                <w:rFonts w:hint="default" w:ascii="Times New Roman" w:hAnsi="Times New Roman" w:eastAsia="宋体" w:cs="Times New Roman"/>
                <w:color w:val="auto"/>
              </w:rPr>
              <w:t>）表</w:t>
            </w:r>
            <w:r>
              <w:rPr>
                <w:rFonts w:hint="eastAsia" w:cs="Times New Roman"/>
                <w:color w:val="auto"/>
                <w:lang w:val="en-US" w:eastAsia="zh-CN"/>
              </w:rPr>
              <w:t>2中无组织排放浓度限值</w:t>
            </w:r>
            <w:r>
              <w:rPr>
                <w:rFonts w:hint="default" w:ascii="Times New Roman" w:hAnsi="Times New Roman" w:eastAsia="宋体" w:cs="Times New Roman"/>
                <w:color w:val="auto"/>
                <w:lang w:val="en-US" w:eastAsia="zh-CN"/>
              </w:rPr>
              <w:t>；臭气浓度执行《恶臭污染物排放标准》（GB14554-93）</w:t>
            </w:r>
            <w:r>
              <w:rPr>
                <w:rFonts w:hint="eastAsia" w:cs="Times New Roman"/>
                <w:color w:val="auto"/>
                <w:lang w:val="en-US" w:eastAsia="zh-CN"/>
              </w:rPr>
              <w:t>。</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表3</w:t>
            </w:r>
            <w:r>
              <w:rPr>
                <w:rFonts w:hint="eastAsia" w:ascii="Times New Roman" w:hAnsi="Times New Roman" w:eastAsia="宋体" w:cs="Times New Roman"/>
                <w:b/>
                <w:bCs/>
                <w:color w:val="auto"/>
                <w:sz w:val="21"/>
                <w:szCs w:val="21"/>
                <w:lang w:val="en-US" w:eastAsia="zh-CN"/>
              </w:rPr>
              <w:t>.13-1</w:t>
            </w:r>
            <w:r>
              <w:rPr>
                <w:rFonts w:hint="default" w:ascii="Times New Roman" w:hAnsi="Times New Roman" w:eastAsia="宋体" w:cs="Times New Roman"/>
                <w:b/>
                <w:bCs/>
                <w:color w:val="auto"/>
                <w:sz w:val="21"/>
                <w:szCs w:val="21"/>
                <w:lang w:val="en-US" w:eastAsia="zh-CN"/>
              </w:rPr>
              <w:t xml:space="preserve">  大气污染物排放标准限值一览表</w:t>
            </w:r>
          </w:p>
          <w:tbl>
            <w:tblPr>
              <w:tblStyle w:val="26"/>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1066"/>
              <w:gridCol w:w="1360"/>
              <w:gridCol w:w="1600"/>
              <w:gridCol w:w="26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项目</w:t>
                  </w:r>
                </w:p>
              </w:tc>
              <w:tc>
                <w:tcPr>
                  <w:tcW w:w="50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排放形式</w:t>
                  </w:r>
                </w:p>
              </w:tc>
              <w:tc>
                <w:tcPr>
                  <w:tcW w:w="636"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w:t>
                  </w:r>
                </w:p>
              </w:tc>
              <w:tc>
                <w:tcPr>
                  <w:tcW w:w="81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浓度限值（mg/m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955"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最高允许排放速率</w:t>
                  </w:r>
                  <w:r>
                    <w:rPr>
                      <w:rFonts w:hint="eastAsia" w:cs="Times New Roman"/>
                      <w:color w:val="auto"/>
                      <w:sz w:val="21"/>
                      <w:szCs w:val="21"/>
                      <w:lang w:eastAsia="zh-CN"/>
                    </w:rPr>
                    <w:t>（</w:t>
                  </w:r>
                  <w:r>
                    <w:rPr>
                      <w:rFonts w:hint="default" w:ascii="Times New Roman" w:hAnsi="Times New Roman" w:eastAsia="宋体" w:cs="Times New Roman"/>
                      <w:color w:val="auto"/>
                      <w:sz w:val="21"/>
                      <w:szCs w:val="21"/>
                    </w:rPr>
                    <w:t>15m高排气筒</w:t>
                  </w:r>
                  <w:r>
                    <w:rPr>
                      <w:rFonts w:hint="eastAsia" w:cs="Times New Roman"/>
                      <w:color w:val="auto"/>
                      <w:sz w:val="21"/>
                      <w:szCs w:val="21"/>
                      <w:lang w:eastAsia="zh-CN"/>
                    </w:rPr>
                    <w:t>）</w:t>
                  </w:r>
                  <w:r>
                    <w:rPr>
                      <w:rFonts w:hint="default" w:ascii="Times New Roman" w:hAnsi="Times New Roman" w:eastAsia="宋体" w:cs="Times New Roman"/>
                      <w:color w:val="auto"/>
                      <w:sz w:val="21"/>
                      <w:szCs w:val="21"/>
                    </w:rPr>
                    <w:t>（kg/h）</w:t>
                  </w:r>
                </w:p>
              </w:tc>
              <w:tc>
                <w:tcPr>
                  <w:tcW w:w="1579"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施工期</w:t>
                  </w:r>
                </w:p>
              </w:tc>
              <w:tc>
                <w:tcPr>
                  <w:tcW w:w="50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无组织</w:t>
                  </w:r>
                </w:p>
              </w:tc>
              <w:tc>
                <w:tcPr>
                  <w:tcW w:w="636"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w:t>
                  </w:r>
                </w:p>
              </w:tc>
              <w:tc>
                <w:tcPr>
                  <w:tcW w:w="81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955"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579" w:type="pct"/>
                  <w:vMerge w:val="restart"/>
                  <w:tcBorders>
                    <w:tl2br w:val="nil"/>
                    <w:tr2bl w:val="nil"/>
                  </w:tcBorders>
                  <w:vAlign w:val="center"/>
                </w:tcPr>
                <w:p>
                  <w:pPr>
                    <w:spacing w:line="240" w:lineRule="auto"/>
                    <w:jc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default" w:ascii="Times New Roman" w:hAnsi="Times New Roman" w:eastAsia="宋体" w:cs="Times New Roman"/>
                      <w:color w:val="auto"/>
                      <w:sz w:val="21"/>
                      <w:szCs w:val="21"/>
                    </w:rPr>
                    <w:t>《大气污染物综合排放标准》（GB16297-1996）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8" w:type="pct"/>
                  <w:vMerge w:val="restart"/>
                  <w:tcBorders>
                    <w:tl2br w:val="nil"/>
                    <w:tr2bl w:val="nil"/>
                  </w:tcBorders>
                  <w:vAlign w:val="center"/>
                </w:tcPr>
                <w:p>
                  <w:pPr>
                    <w:spacing w:line="240" w:lineRule="auto"/>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运营期</w:t>
                  </w:r>
                </w:p>
              </w:tc>
              <w:tc>
                <w:tcPr>
                  <w:tcW w:w="50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无组织</w:t>
                  </w:r>
                </w:p>
              </w:tc>
              <w:tc>
                <w:tcPr>
                  <w:tcW w:w="636"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颗粒物</w:t>
                  </w:r>
                </w:p>
              </w:tc>
              <w:tc>
                <w:tcPr>
                  <w:tcW w:w="81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w:t>
                  </w:r>
                </w:p>
              </w:tc>
              <w:tc>
                <w:tcPr>
                  <w:tcW w:w="955"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1579" w:type="pct"/>
                  <w:vMerge w:val="continue"/>
                  <w:tcBorders>
                    <w:tl2br w:val="nil"/>
                    <w:tr2bl w:val="nil"/>
                  </w:tcBorders>
                  <w:vAlign w:val="center"/>
                </w:tcPr>
                <w:p>
                  <w:pPr>
                    <w:spacing w:line="240" w:lineRule="auto"/>
                    <w:jc w:val="both"/>
                    <w:rPr>
                      <w:rFonts w:hint="default" w:ascii="Times New Roman" w:hAnsi="Times New Roman" w:eastAsia="宋体"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508"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50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有组织</w:t>
                  </w:r>
                </w:p>
              </w:tc>
              <w:tc>
                <w:tcPr>
                  <w:tcW w:w="636" w:type="pct"/>
                  <w:tcBorders>
                    <w:tl2br w:val="nil"/>
                    <w:tr2bl w:val="nil"/>
                  </w:tcBorders>
                  <w:shd w:val="clear" w:color="auto" w:fill="auto"/>
                  <w:vAlign w:val="center"/>
                </w:tcPr>
                <w:p>
                  <w:pPr>
                    <w:spacing w:line="240" w:lineRule="auto"/>
                    <w:jc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default" w:ascii="Times New Roman" w:hAnsi="Times New Roman" w:eastAsia="宋体" w:cs="Times New Roman"/>
                      <w:color w:val="auto"/>
                      <w:sz w:val="21"/>
                      <w:szCs w:val="21"/>
                    </w:rPr>
                    <w:t>颗粒物</w:t>
                  </w:r>
                </w:p>
              </w:tc>
              <w:tc>
                <w:tcPr>
                  <w:tcW w:w="812" w:type="pct"/>
                  <w:tcBorders>
                    <w:tl2br w:val="nil"/>
                    <w:tr2bl w:val="nil"/>
                  </w:tcBorders>
                  <w:shd w:val="clear" w:color="auto" w:fill="auto"/>
                  <w:vAlign w:val="center"/>
                </w:tcPr>
                <w:p>
                  <w:pPr>
                    <w:spacing w:line="240" w:lineRule="auto"/>
                    <w:jc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eastAsia"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20</w:t>
                  </w:r>
                </w:p>
              </w:tc>
              <w:tc>
                <w:tcPr>
                  <w:tcW w:w="955" w:type="pct"/>
                  <w:tcBorders>
                    <w:tl2br w:val="nil"/>
                    <w:tr2bl w:val="nil"/>
                  </w:tcBorders>
                  <w:shd w:val="clear" w:color="auto" w:fill="auto"/>
                  <w:vAlign w:val="center"/>
                </w:tcPr>
                <w:p>
                  <w:pPr>
                    <w:spacing w:line="240" w:lineRule="auto"/>
                    <w:jc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eastAsia" w:cs="Times New Roman"/>
                      <w:color w:val="auto"/>
                      <w:sz w:val="21"/>
                      <w:szCs w:val="21"/>
                      <w:lang w:val="en-US" w:eastAsia="zh-CN"/>
                    </w:rPr>
                    <w:t>15m</w:t>
                  </w:r>
                </w:p>
              </w:tc>
              <w:tc>
                <w:tcPr>
                  <w:tcW w:w="1579" w:type="pct"/>
                  <w:vMerge w:val="continue"/>
                  <w:tcBorders>
                    <w:tl2br w:val="nil"/>
                    <w:tr2bl w:val="nil"/>
                  </w:tcBorders>
                  <w:shd w:val="clear" w:color="auto" w:fill="auto"/>
                  <w:vAlign w:val="center"/>
                </w:tcPr>
                <w:p>
                  <w:pPr>
                    <w:spacing w:line="240" w:lineRule="auto"/>
                    <w:jc w:val="both"/>
                    <w:rPr>
                      <w:rFonts w:hint="default" w:ascii="Times New Roman" w:hAnsi="Times New Roman" w:eastAsia="宋体" w:cs="Times New Roman"/>
                      <w:snapToGrid w:val="0"/>
                      <w:color w:val="auto"/>
                      <w:kern w:val="0"/>
                      <w:sz w:val="21"/>
                      <w:szCs w:val="21"/>
                      <w:lang w:val="en-US" w:eastAsia="zh-CN" w:bidi="ar-SA"/>
                      <w14:ligatures w14: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508"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50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有组织</w:t>
                  </w:r>
                </w:p>
              </w:tc>
              <w:tc>
                <w:tcPr>
                  <w:tcW w:w="636" w:type="pct"/>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臭气浓度</w:t>
                  </w:r>
                </w:p>
              </w:tc>
              <w:tc>
                <w:tcPr>
                  <w:tcW w:w="812" w:type="pct"/>
                  <w:tcBorders>
                    <w:tl2br w:val="nil"/>
                    <w:tr2bl w:val="nil"/>
                  </w:tcBorders>
                  <w:shd w:val="clear" w:color="auto" w:fill="auto"/>
                  <w:vAlign w:val="center"/>
                </w:tcPr>
                <w:p>
                  <w:pPr>
                    <w:spacing w:line="240" w:lineRule="auto"/>
                    <w:jc w:val="center"/>
                    <w:rPr>
                      <w:rFonts w:hint="eastAsia" w:cs="Times New Roman"/>
                      <w:color w:val="auto"/>
                      <w:sz w:val="21"/>
                      <w:szCs w:val="21"/>
                      <w:lang w:val="en-US" w:eastAsia="zh-CN"/>
                    </w:rPr>
                  </w:pPr>
                  <w:r>
                    <w:rPr>
                      <w:rFonts w:hint="eastAsia" w:cs="Times New Roman"/>
                      <w:color w:val="auto"/>
                      <w:sz w:val="21"/>
                      <w:szCs w:val="21"/>
                      <w:lang w:val="en-US" w:eastAsia="zh-CN"/>
                    </w:rPr>
                    <w:t>2000（无量纲）</w:t>
                  </w:r>
                </w:p>
              </w:tc>
              <w:tc>
                <w:tcPr>
                  <w:tcW w:w="955" w:type="pct"/>
                  <w:tcBorders>
                    <w:tl2br w:val="nil"/>
                    <w:tr2bl w:val="nil"/>
                  </w:tcBorders>
                  <w:shd w:val="clear" w:color="auto" w:fill="auto"/>
                  <w:vAlign w:val="center"/>
                </w:tcPr>
                <w:p>
                  <w:pPr>
                    <w:spacing w:line="240" w:lineRule="auto"/>
                    <w:jc w:val="center"/>
                    <w:rPr>
                      <w:rFonts w:hint="default" w:cs="Times New Roman"/>
                      <w:color w:val="auto"/>
                      <w:sz w:val="21"/>
                      <w:szCs w:val="21"/>
                      <w:lang w:val="en-US" w:eastAsia="zh-CN"/>
                    </w:rPr>
                  </w:pPr>
                  <w:r>
                    <w:rPr>
                      <w:rFonts w:hint="eastAsia" w:cs="Times New Roman"/>
                      <w:color w:val="auto"/>
                      <w:sz w:val="21"/>
                      <w:szCs w:val="21"/>
                      <w:lang w:val="en-US" w:eastAsia="zh-CN"/>
                    </w:rPr>
                    <w:t>15m</w:t>
                  </w:r>
                </w:p>
              </w:tc>
              <w:tc>
                <w:tcPr>
                  <w:tcW w:w="1579" w:type="pct"/>
                  <w:vMerge w:val="restart"/>
                  <w:tcBorders>
                    <w:tl2br w:val="nil"/>
                    <w:tr2bl w:val="nil"/>
                  </w:tcBorders>
                  <w:shd w:val="clear" w:color="auto" w:fill="auto"/>
                  <w:vAlign w:val="center"/>
                </w:tcPr>
                <w:p>
                  <w:pPr>
                    <w:spacing w:line="240" w:lineRule="auto"/>
                    <w:jc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default" w:ascii="Times New Roman" w:hAnsi="Times New Roman" w:eastAsia="宋体" w:cs="Times New Roman"/>
                      <w:snapToGrid w:val="0"/>
                      <w:color w:val="auto"/>
                      <w:kern w:val="0"/>
                      <w:sz w:val="21"/>
                      <w:szCs w:val="21"/>
                      <w:lang w:val="en-US" w:eastAsia="zh-CN" w:bidi="ar-SA"/>
                      <w14:ligatures w14:val="none"/>
                    </w:rPr>
                    <w:t>《恶臭污染物排放标准》（GB14554-93）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508"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50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无组织</w:t>
                  </w:r>
                </w:p>
              </w:tc>
              <w:tc>
                <w:tcPr>
                  <w:tcW w:w="636" w:type="pct"/>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臭气浓度</w:t>
                  </w:r>
                </w:p>
              </w:tc>
              <w:tc>
                <w:tcPr>
                  <w:tcW w:w="812" w:type="pct"/>
                  <w:tcBorders>
                    <w:tl2br w:val="nil"/>
                    <w:tr2bl w:val="nil"/>
                  </w:tcBorders>
                  <w:shd w:val="clear" w:color="auto" w:fill="auto"/>
                  <w:vAlign w:val="center"/>
                </w:tcPr>
                <w:p>
                  <w:pPr>
                    <w:spacing w:line="240" w:lineRule="auto"/>
                    <w:jc w:val="center"/>
                    <w:rPr>
                      <w:rFonts w:hint="eastAsia" w:cs="Times New Roman"/>
                      <w:color w:val="auto"/>
                      <w:sz w:val="21"/>
                      <w:szCs w:val="21"/>
                      <w:lang w:val="en-US" w:eastAsia="zh-CN"/>
                    </w:rPr>
                  </w:pPr>
                  <w:r>
                    <w:rPr>
                      <w:rFonts w:hint="eastAsia" w:cs="Times New Roman"/>
                      <w:color w:val="auto"/>
                      <w:sz w:val="21"/>
                      <w:szCs w:val="21"/>
                      <w:lang w:val="en-US" w:eastAsia="zh-CN"/>
                    </w:rPr>
                    <w:t>20（无量纲）</w:t>
                  </w:r>
                </w:p>
              </w:tc>
              <w:tc>
                <w:tcPr>
                  <w:tcW w:w="955" w:type="pct"/>
                  <w:tcBorders>
                    <w:tl2br w:val="nil"/>
                    <w:tr2bl w:val="nil"/>
                  </w:tcBorders>
                  <w:shd w:val="clear" w:color="auto" w:fill="auto"/>
                  <w:vAlign w:val="center"/>
                </w:tcPr>
                <w:p>
                  <w:pPr>
                    <w:spacing w:line="240" w:lineRule="auto"/>
                    <w:jc w:val="center"/>
                    <w:rPr>
                      <w:rFonts w:hint="eastAsia" w:cs="Times New Roman"/>
                      <w:color w:val="auto"/>
                      <w:sz w:val="21"/>
                      <w:szCs w:val="21"/>
                      <w:lang w:val="en-US" w:eastAsia="zh-CN"/>
                    </w:rPr>
                  </w:pPr>
                  <w:r>
                    <w:rPr>
                      <w:rFonts w:hint="eastAsia" w:cs="Times New Roman"/>
                      <w:color w:val="auto"/>
                      <w:sz w:val="21"/>
                      <w:szCs w:val="21"/>
                      <w:lang w:val="en-US" w:eastAsia="zh-CN"/>
                    </w:rPr>
                    <w:t>/</w:t>
                  </w:r>
                </w:p>
              </w:tc>
              <w:tc>
                <w:tcPr>
                  <w:tcW w:w="1579" w:type="pct"/>
                  <w:vMerge w:val="continue"/>
                  <w:tcBorders>
                    <w:tl2br w:val="nil"/>
                    <w:tr2bl w:val="nil"/>
                  </w:tcBorders>
                  <w:shd w:val="clear" w:color="auto" w:fill="auto"/>
                  <w:vAlign w:val="center"/>
                </w:tcPr>
                <w:p>
                  <w:pPr>
                    <w:spacing w:line="240" w:lineRule="auto"/>
                    <w:jc w:val="center"/>
                    <w:rPr>
                      <w:rFonts w:hint="default" w:ascii="Times New Roman" w:hAnsi="Times New Roman" w:eastAsia="宋体" w:cs="Times New Roman"/>
                      <w:snapToGrid w:val="0"/>
                      <w:color w:val="auto"/>
                      <w:kern w:val="0"/>
                      <w:sz w:val="21"/>
                      <w:szCs w:val="21"/>
                      <w:lang w:val="en-US" w:eastAsia="zh-CN" w:bidi="ar-SA"/>
                      <w14:ligatures w14:val="none"/>
                    </w:rPr>
                  </w:pPr>
                </w:p>
              </w:tc>
            </w:tr>
          </w:tbl>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color w:val="auto"/>
              </w:rPr>
            </w:pPr>
            <w:r>
              <w:rPr>
                <w:rFonts w:hint="default" w:ascii="Times New Roman" w:hAnsi="Times New Roman" w:eastAsia="宋体" w:cs="Times New Roman"/>
                <w:b/>
                <w:color w:val="auto"/>
              </w:rPr>
              <w:t>3.1</w:t>
            </w:r>
            <w:r>
              <w:rPr>
                <w:rFonts w:hint="eastAsia" w:cs="Times New Roman"/>
                <w:b/>
                <w:color w:val="auto"/>
                <w:lang w:val="en-US" w:eastAsia="zh-CN"/>
              </w:rPr>
              <w:t>4</w:t>
            </w:r>
            <w:r>
              <w:rPr>
                <w:rFonts w:hint="default" w:ascii="Times New Roman" w:hAnsi="Times New Roman" w:eastAsia="宋体" w:cs="Times New Roman"/>
                <w:b/>
                <w:color w:val="auto"/>
              </w:rPr>
              <w:t>噪声排放标准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rPr>
              <w:t>施工噪声排放执行《建筑施工噪声排放标准》（GB12523-</w:t>
            </w:r>
            <w:r>
              <w:rPr>
                <w:rFonts w:hint="eastAsia" w:cs="Times New Roman"/>
                <w:color w:val="auto"/>
                <w:lang w:val="en-US" w:eastAsia="zh-CN"/>
              </w:rPr>
              <w:t>2025</w:t>
            </w:r>
            <w:r>
              <w:rPr>
                <w:rFonts w:hint="default" w:ascii="Times New Roman" w:hAnsi="Times New Roman" w:eastAsia="宋体" w:cs="Times New Roman"/>
                <w:color w:val="auto"/>
              </w:rPr>
              <w:t>）相关规定</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即昼间≤</w:t>
            </w:r>
            <w:r>
              <w:rPr>
                <w:rFonts w:hint="default" w:ascii="Times New Roman" w:hAnsi="Times New Roman" w:eastAsia="宋体" w:cs="Times New Roman"/>
                <w:color w:val="auto"/>
                <w:lang w:val="en-US" w:eastAsia="zh-CN"/>
              </w:rPr>
              <w:t>70</w:t>
            </w:r>
            <w:r>
              <w:rPr>
                <w:rFonts w:hint="default" w:ascii="Times New Roman" w:hAnsi="Times New Roman" w:eastAsia="宋体" w:cs="Times New Roman"/>
                <w:color w:val="auto"/>
              </w:rPr>
              <w:t>dB(A)，夜间≤5</w:t>
            </w:r>
            <w:r>
              <w:rPr>
                <w:rFonts w:hint="default" w:ascii="Times New Roman" w:hAnsi="Times New Roman" w:eastAsia="宋体" w:cs="Times New Roman"/>
                <w:color w:val="auto"/>
                <w:lang w:val="en-US" w:eastAsia="zh-CN"/>
              </w:rPr>
              <w:t>5</w:t>
            </w:r>
            <w:r>
              <w:rPr>
                <w:rFonts w:hint="default" w:ascii="Times New Roman" w:hAnsi="Times New Roman" w:eastAsia="宋体" w:cs="Times New Roman"/>
                <w:color w:val="auto"/>
              </w:rPr>
              <w:t>dB(A)</w:t>
            </w:r>
            <w:r>
              <w:rPr>
                <w:rFonts w:hint="default" w:ascii="Times New Roman" w:hAnsi="Times New Roman" w:eastAsia="宋体" w:cs="Times New Roman"/>
                <w:color w:val="auto"/>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运营期噪声执行《工业企业厂界环境噪声排放标准》（GB12348-2008）中</w:t>
            </w:r>
            <w:r>
              <w:rPr>
                <w:rFonts w:hint="eastAsia" w:cs="Times New Roman"/>
                <w:color w:val="auto"/>
                <w:lang w:val="en-US" w:eastAsia="zh-CN"/>
              </w:rPr>
              <w:t>3</w:t>
            </w:r>
            <w:r>
              <w:rPr>
                <w:rFonts w:hint="default" w:ascii="Times New Roman" w:hAnsi="Times New Roman" w:eastAsia="宋体" w:cs="Times New Roman"/>
                <w:color w:val="auto"/>
              </w:rPr>
              <w:t>类标准，即昼间≤</w:t>
            </w:r>
            <w:r>
              <w:rPr>
                <w:rFonts w:hint="default" w:ascii="Times New Roman" w:hAnsi="Times New Roman" w:eastAsia="宋体" w:cs="Times New Roman"/>
                <w:color w:val="auto"/>
                <w:lang w:val="en-US" w:eastAsia="zh-CN"/>
              </w:rPr>
              <w:t>6</w:t>
            </w:r>
            <w:r>
              <w:rPr>
                <w:rFonts w:hint="eastAsia" w:cs="Times New Roman"/>
                <w:color w:val="auto"/>
                <w:lang w:val="en-US" w:eastAsia="zh-CN"/>
              </w:rPr>
              <w:t>5</w:t>
            </w:r>
            <w:r>
              <w:rPr>
                <w:rFonts w:hint="default" w:ascii="Times New Roman" w:hAnsi="Times New Roman" w:eastAsia="宋体" w:cs="Times New Roman"/>
                <w:color w:val="auto"/>
              </w:rPr>
              <w:t>dB(A)，夜间≤</w:t>
            </w:r>
            <w:r>
              <w:rPr>
                <w:rFonts w:hint="default" w:ascii="Times New Roman" w:hAnsi="Times New Roman" w:eastAsia="宋体" w:cs="Times New Roman"/>
                <w:color w:val="auto"/>
                <w:lang w:val="en-US" w:eastAsia="zh-CN"/>
              </w:rPr>
              <w:t>5</w:t>
            </w:r>
            <w:r>
              <w:rPr>
                <w:rFonts w:hint="eastAsia" w:cs="Times New Roman"/>
                <w:color w:val="auto"/>
                <w:lang w:val="en-US" w:eastAsia="zh-CN"/>
              </w:rPr>
              <w:t>5</w:t>
            </w:r>
            <w:r>
              <w:rPr>
                <w:rFonts w:hint="default" w:ascii="Times New Roman" w:hAnsi="Times New Roman" w:eastAsia="宋体" w:cs="Times New Roman"/>
                <w:color w:val="auto"/>
              </w:rPr>
              <w:t>dB(A)。</w:t>
            </w:r>
          </w:p>
          <w:p>
            <w:pPr>
              <w:keepNext w:val="0"/>
              <w:keepLines w:val="0"/>
              <w:pageBreakBefore w:val="0"/>
              <w:widowControl w:val="0"/>
              <w:kinsoku/>
              <w:wordWrap/>
              <w:overflowPunct/>
              <w:topLinePunct w:val="0"/>
              <w:autoSpaceDE/>
              <w:autoSpaceDN/>
              <w:bidi w:val="0"/>
              <w:spacing w:line="500" w:lineRule="exact"/>
              <w:textAlignment w:val="auto"/>
              <w:rPr>
                <w:rFonts w:hint="default" w:ascii="Times New Roman" w:hAnsi="Times New Roman" w:eastAsia="宋体" w:cs="Times New Roman"/>
                <w:b/>
                <w:color w:val="auto"/>
              </w:rPr>
            </w:pPr>
            <w:r>
              <w:rPr>
                <w:rFonts w:hint="default" w:ascii="Times New Roman" w:hAnsi="Times New Roman" w:eastAsia="宋体" w:cs="Times New Roman"/>
                <w:b/>
                <w:color w:val="auto"/>
              </w:rPr>
              <w:t>3.1</w:t>
            </w:r>
            <w:r>
              <w:rPr>
                <w:rFonts w:hint="eastAsia" w:cs="Times New Roman"/>
                <w:b/>
                <w:color w:val="auto"/>
                <w:lang w:val="en-US" w:eastAsia="zh-CN"/>
              </w:rPr>
              <w:t>5</w:t>
            </w:r>
            <w:r>
              <w:rPr>
                <w:rFonts w:hint="default" w:ascii="Times New Roman" w:hAnsi="Times New Roman" w:eastAsia="宋体" w:cs="Times New Roman"/>
                <w:b/>
                <w:color w:val="auto"/>
              </w:rPr>
              <w:t>固废排放标准</w:t>
            </w:r>
          </w:p>
          <w:p>
            <w:pPr>
              <w:pStyle w:val="44"/>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auto"/>
                <w:kern w:val="0"/>
                <w:sz w:val="24"/>
                <w:szCs w:val="24"/>
                <w:lang w:val="en-US" w:eastAsia="zh-CN" w:bidi="ar-SA"/>
                <w14:ligatures w14:val="none"/>
              </w:rPr>
              <w:t>本项目产生的固体废</w:t>
            </w:r>
            <w:r>
              <w:rPr>
                <w:rFonts w:hint="eastAsia" w:cs="Times New Roman"/>
                <w:snapToGrid w:val="0"/>
                <w:color w:val="auto"/>
                <w:kern w:val="0"/>
                <w:sz w:val="24"/>
                <w:szCs w:val="24"/>
                <w:lang w:val="en-US" w:eastAsia="zh-CN" w:bidi="ar-SA"/>
                <w14:ligatures w14:val="none"/>
              </w:rPr>
              <w:t>物及</w:t>
            </w:r>
            <w:r>
              <w:rPr>
                <w:rFonts w:hint="default" w:ascii="Times New Roman" w:hAnsi="Times New Roman" w:eastAsia="宋体" w:cs="Times New Roman"/>
                <w:snapToGrid w:val="0"/>
                <w:color w:val="auto"/>
                <w:kern w:val="0"/>
                <w:sz w:val="24"/>
                <w:szCs w:val="24"/>
                <w:lang w:val="en-US" w:eastAsia="zh-CN" w:bidi="ar-SA"/>
                <w14:ligatures w14:val="none"/>
              </w:rPr>
              <w:t>其贮存参考《一般工业固体废弃物贮存和填埋污染控制标准》（GB18599-2020）中防渗漏、防雨淋、防扬尘等环境保护要求。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eastAsia="宋体"/>
                <w:color w:val="auto"/>
                <w:lang w:val="en-US" w:eastAsia="zh-CN"/>
              </w:rPr>
            </w:pPr>
            <w:r>
              <w:rPr>
                <w:rFonts w:hint="default" w:ascii="Times New Roman" w:hAnsi="Times New Roman" w:eastAsia="宋体" w:cs="Times New Roman"/>
                <w:color w:val="auto"/>
              </w:rPr>
              <w:t>危险废物贮存执行《危险废物贮存污染控制标准》（GB18597-2023）。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88" w:hRule="atLeast"/>
          <w:jc w:val="center"/>
        </w:trPr>
        <w:tc>
          <w:tcPr>
            <w:tcW w:w="397"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总量</w:t>
            </w:r>
          </w:p>
          <w:p>
            <w:pPr>
              <w:jc w:val="center"/>
              <w:rPr>
                <w:rFonts w:hint="default" w:ascii="Times New Roman" w:hAnsi="Times New Roman" w:cs="Times New Roman"/>
                <w:color w:val="auto"/>
              </w:rPr>
            </w:pPr>
            <w:r>
              <w:rPr>
                <w:rFonts w:hint="default" w:ascii="Times New Roman" w:hAnsi="Times New Roman" w:cs="Times New Roman"/>
                <w:color w:val="auto"/>
              </w:rPr>
              <w:t>控制</w:t>
            </w:r>
          </w:p>
          <w:p>
            <w:pPr>
              <w:jc w:val="center"/>
              <w:rPr>
                <w:rFonts w:hint="default" w:ascii="Times New Roman" w:hAnsi="Times New Roman" w:cs="Times New Roman"/>
                <w:color w:val="auto"/>
              </w:rPr>
            </w:pPr>
            <w:r>
              <w:rPr>
                <w:rFonts w:hint="default" w:ascii="Times New Roman" w:hAnsi="Times New Roman" w:cs="Times New Roman"/>
                <w:color w:val="auto"/>
              </w:rPr>
              <w:t>指标</w:t>
            </w:r>
          </w:p>
        </w:tc>
        <w:tc>
          <w:tcPr>
            <w:tcW w:w="8611" w:type="dxa"/>
            <w:vAlign w:val="center"/>
          </w:tcPr>
          <w:p>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无</w:t>
            </w:r>
          </w:p>
        </w:tc>
      </w:tr>
    </w:tbl>
    <w:p>
      <w:pPr>
        <w:jc w:val="center"/>
        <w:outlineLvl w:val="0"/>
        <w:rPr>
          <w:rFonts w:ascii="黑体" w:hAnsi="黑体" w:eastAsia="黑体"/>
          <w:color w:val="auto"/>
          <w:sz w:val="30"/>
          <w:szCs w:val="30"/>
        </w:rPr>
      </w:pPr>
      <w:r>
        <w:rPr>
          <w:rFonts w:ascii="黑体" w:hAnsi="黑体" w:eastAsia="黑体"/>
          <w:color w:val="auto"/>
          <w:sz w:val="36"/>
          <w:szCs w:val="36"/>
        </w:rPr>
        <w:br w:type="page"/>
      </w:r>
      <w:r>
        <w:rPr>
          <w:rFonts w:hint="eastAsia" w:ascii="黑体" w:hAnsi="黑体" w:eastAsia="黑体"/>
          <w:color w:val="auto"/>
          <w:sz w:val="30"/>
          <w:szCs w:val="30"/>
        </w:rPr>
        <w:t>四、主要环境影响和保护措施</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97"/>
        <w:gridCol w:w="80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7" w:type="dxa"/>
            <w:tcMar>
              <w:left w:w="28" w:type="dxa"/>
              <w:right w:w="28" w:type="dxa"/>
            </w:tcMar>
            <w:vAlign w:val="center"/>
          </w:tcPr>
          <w:p>
            <w:pPr>
              <w:jc w:val="center"/>
              <w:rPr>
                <w:rFonts w:hint="default" w:ascii="Times New Roman" w:hAnsi="Times New Roman" w:cs="Times New Roman"/>
                <w:color w:val="auto"/>
                <w:kern w:val="2"/>
              </w:rPr>
            </w:pPr>
            <w:r>
              <w:rPr>
                <w:rFonts w:hint="default" w:ascii="Times New Roman" w:hAnsi="Times New Roman" w:cs="Times New Roman"/>
                <w:color w:val="auto"/>
                <w:kern w:val="2"/>
              </w:rPr>
              <w:t>施工</w:t>
            </w:r>
          </w:p>
          <w:p>
            <w:pPr>
              <w:jc w:val="center"/>
              <w:rPr>
                <w:rFonts w:hint="default" w:ascii="Times New Roman" w:hAnsi="Times New Roman" w:cs="Times New Roman"/>
                <w:color w:val="auto"/>
                <w:kern w:val="2"/>
              </w:rPr>
            </w:pPr>
            <w:r>
              <w:rPr>
                <w:rFonts w:hint="default" w:ascii="Times New Roman" w:hAnsi="Times New Roman" w:cs="Times New Roman"/>
                <w:color w:val="auto"/>
                <w:kern w:val="2"/>
              </w:rPr>
              <w:t>期环</w:t>
            </w:r>
          </w:p>
          <w:p>
            <w:pPr>
              <w:jc w:val="center"/>
              <w:rPr>
                <w:rFonts w:hint="default" w:ascii="Times New Roman" w:hAnsi="Times New Roman" w:cs="Times New Roman"/>
                <w:color w:val="auto"/>
                <w:kern w:val="2"/>
              </w:rPr>
            </w:pPr>
            <w:r>
              <w:rPr>
                <w:rFonts w:hint="default" w:ascii="Times New Roman" w:hAnsi="Times New Roman" w:cs="Times New Roman"/>
                <w:color w:val="auto"/>
                <w:kern w:val="2"/>
              </w:rPr>
              <w:t>境保</w:t>
            </w:r>
          </w:p>
          <w:p>
            <w:pPr>
              <w:jc w:val="center"/>
              <w:rPr>
                <w:rFonts w:hint="default" w:ascii="Times New Roman" w:hAnsi="Times New Roman" w:cs="Times New Roman"/>
                <w:color w:val="auto"/>
                <w:kern w:val="2"/>
              </w:rPr>
            </w:pPr>
            <w:r>
              <w:rPr>
                <w:rFonts w:hint="default" w:ascii="Times New Roman" w:hAnsi="Times New Roman" w:cs="Times New Roman"/>
                <w:color w:val="auto"/>
                <w:kern w:val="2"/>
              </w:rPr>
              <w:t>护措</w:t>
            </w:r>
          </w:p>
          <w:p>
            <w:pPr>
              <w:jc w:val="center"/>
              <w:rPr>
                <w:rFonts w:hint="default" w:ascii="Times New Roman" w:hAnsi="Times New Roman" w:cs="Times New Roman"/>
                <w:bCs/>
                <w:color w:val="auto"/>
                <w:kern w:val="2"/>
              </w:rPr>
            </w:pPr>
            <w:r>
              <w:rPr>
                <w:rFonts w:hint="default" w:ascii="Times New Roman" w:hAnsi="Times New Roman" w:cs="Times New Roman"/>
                <w:color w:val="auto"/>
                <w:kern w:val="2"/>
              </w:rPr>
              <w:t>施</w:t>
            </w:r>
          </w:p>
        </w:tc>
        <w:tc>
          <w:tcPr>
            <w:tcW w:w="8075" w:type="dxa"/>
          </w:tcPr>
          <w:p>
            <w:pPr>
              <w:pageBreakBefore w:val="0"/>
              <w:widowControl w:val="0"/>
              <w:kinsoku/>
              <w:wordWrap/>
              <w:overflowPunct/>
              <w:topLinePunct w:val="0"/>
              <w:bidi w:val="0"/>
              <w:spacing w:line="500" w:lineRule="exact"/>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4.1施工期</w:t>
            </w:r>
            <w:r>
              <w:rPr>
                <w:rFonts w:hint="eastAsia" w:cs="Times New Roman"/>
                <w:b/>
                <w:bCs/>
                <w:color w:val="auto"/>
                <w:lang w:val="en-US" w:eastAsia="zh-CN"/>
              </w:rPr>
              <w:t>废气</w:t>
            </w:r>
            <w:r>
              <w:rPr>
                <w:rFonts w:hint="default" w:ascii="Times New Roman" w:hAnsi="Times New Roman" w:eastAsia="宋体" w:cs="Times New Roman"/>
                <w:b/>
                <w:bCs/>
                <w:color w:val="auto"/>
              </w:rPr>
              <w:t>环境影响分析</w:t>
            </w:r>
          </w:p>
          <w:p>
            <w:pPr>
              <w:keepNext/>
              <w:keepLines/>
              <w:pageBreakBefore w:val="0"/>
              <w:widowControl w:val="0"/>
              <w:kinsoku/>
              <w:wordWrap/>
              <w:overflowPunct/>
              <w:topLinePunct w:val="0"/>
              <w:bidi w:val="0"/>
              <w:spacing w:line="500" w:lineRule="exact"/>
              <w:textAlignment w:val="auto"/>
              <w:outlineLvl w:val="2"/>
              <w:rPr>
                <w:rFonts w:hint="eastAsia" w:ascii="Times New Roman" w:hAnsi="Times New Roman" w:eastAsia="宋体" w:cs="Times New Roman"/>
                <w:color w:val="000000" w:themeColor="text1"/>
                <w:lang w:eastAsia="zh-CN"/>
                <w14:textFill>
                  <w14:solidFill>
                    <w14:schemeClr w14:val="tx1"/>
                  </w14:solidFill>
                </w14:textFill>
              </w:rPr>
            </w:pPr>
            <w:bookmarkStart w:id="3" w:name="_Toc417384482"/>
            <w:bookmarkStart w:id="4" w:name="_Toc417384594"/>
            <w:bookmarkStart w:id="5" w:name="_Toc417384593"/>
            <w:bookmarkStart w:id="6" w:name="_Toc417384481"/>
            <w:r>
              <w:rPr>
                <w:rFonts w:hint="default" w:ascii="Times New Roman" w:hAnsi="Times New Roman" w:eastAsia="宋体" w:cs="Times New Roman"/>
                <w:b/>
                <w:bCs/>
                <w:color w:val="000000" w:themeColor="text1"/>
                <w14:textFill>
                  <w14:solidFill>
                    <w14:schemeClr w14:val="tx1"/>
                  </w14:solidFill>
                </w14:textFill>
              </w:rPr>
              <w:t>4.1.</w:t>
            </w:r>
            <w:bookmarkEnd w:id="3"/>
            <w:bookmarkEnd w:id="4"/>
            <w:r>
              <w:rPr>
                <w:rFonts w:hint="default" w:ascii="Times New Roman" w:hAnsi="Times New Roman" w:eastAsia="宋体" w:cs="Times New Roman"/>
                <w:b/>
                <w:bCs/>
                <w:color w:val="000000" w:themeColor="text1"/>
                <w14:textFill>
                  <w14:solidFill>
                    <w14:schemeClr w14:val="tx1"/>
                  </w14:solidFill>
                </w14:textFill>
              </w:rPr>
              <w:t>1施工</w:t>
            </w:r>
            <w:r>
              <w:rPr>
                <w:rFonts w:hint="eastAsia" w:cs="Times New Roman"/>
                <w:b/>
                <w:bCs/>
                <w:color w:val="000000" w:themeColor="text1"/>
                <w:lang w:val="en-US" w:eastAsia="zh-CN"/>
                <w14:textFill>
                  <w14:solidFill>
                    <w14:schemeClr w14:val="tx1"/>
                  </w14:solidFill>
                </w14:textFill>
              </w:rPr>
              <w:t>扬尘</w:t>
            </w:r>
          </w:p>
          <w:p>
            <w:pPr>
              <w:keepNext/>
              <w:keepLines/>
              <w:pageBreakBefore w:val="0"/>
              <w:widowControl w:val="0"/>
              <w:kinsoku/>
              <w:wordWrap/>
              <w:overflowPunct/>
              <w:topLinePunct w:val="0"/>
              <w:autoSpaceDE/>
              <w:autoSpaceDN/>
              <w:bidi w:val="0"/>
              <w:spacing w:line="500" w:lineRule="exact"/>
              <w:ind w:firstLine="480" w:firstLineChars="200"/>
              <w:textAlignment w:val="auto"/>
              <w:outlineLvl w:val="2"/>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施工期间的扬尘主要来自汽车扬尘、物料堆场产生的风力扬尘。</w:t>
            </w:r>
          </w:p>
          <w:p>
            <w:pPr>
              <w:keepNext/>
              <w:keepLines/>
              <w:pageBreakBefore w:val="0"/>
              <w:widowControl w:val="0"/>
              <w:kinsoku/>
              <w:wordWrap/>
              <w:overflowPunct/>
              <w:topLinePunct w:val="0"/>
              <w:autoSpaceDE/>
              <w:autoSpaceDN/>
              <w:bidi w:val="0"/>
              <w:spacing w:line="500" w:lineRule="exact"/>
              <w:ind w:firstLine="480" w:firstLineChars="200"/>
              <w:textAlignment w:val="auto"/>
              <w:outlineLvl w:val="2"/>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（1）汽车行驶扬尘</w:t>
            </w:r>
          </w:p>
          <w:p>
            <w:pPr>
              <w:keepNext/>
              <w:keepLines/>
              <w:pageBreakBefore w:val="0"/>
              <w:widowControl w:val="0"/>
              <w:kinsoku/>
              <w:wordWrap/>
              <w:overflowPunct/>
              <w:topLinePunct w:val="0"/>
              <w:autoSpaceDE/>
              <w:autoSpaceDN/>
              <w:bidi w:val="0"/>
              <w:spacing w:line="500" w:lineRule="exact"/>
              <w:ind w:firstLine="480" w:firstLineChars="200"/>
              <w:textAlignment w:val="auto"/>
              <w:outlineLvl w:val="2"/>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汽车行驶扬尘主要为路面扬尘以及由车辆车轮附带的泥土产生的扬尘，本项目利用周边已建成的道路，水泥和沥青路面，相比砂石、泥土等路面，含尘量少，为此，由城市道路路面引起的路面扬尘较少，环评要求施工期间，沿途经过敏感点路段时，对运输车辆进行限速行驶、及时清理路面洒落泥土，保持路面清洁，适当洒水。</w:t>
            </w:r>
          </w:p>
          <w:p>
            <w:pPr>
              <w:keepNext/>
              <w:keepLines/>
              <w:pageBreakBefore w:val="0"/>
              <w:widowControl w:val="0"/>
              <w:kinsoku/>
              <w:wordWrap/>
              <w:overflowPunct/>
              <w:topLinePunct w:val="0"/>
              <w:autoSpaceDE/>
              <w:autoSpaceDN/>
              <w:bidi w:val="0"/>
              <w:spacing w:line="500" w:lineRule="exact"/>
              <w:ind w:firstLine="480" w:firstLineChars="200"/>
              <w:textAlignment w:val="auto"/>
              <w:outlineLvl w:val="2"/>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（2）施工扬尘</w:t>
            </w:r>
          </w:p>
          <w:p>
            <w:pPr>
              <w:keepNext/>
              <w:keepLines/>
              <w:pageBreakBefore w:val="0"/>
              <w:widowControl w:val="0"/>
              <w:kinsoku/>
              <w:wordWrap/>
              <w:overflowPunct/>
              <w:topLinePunct w:val="0"/>
              <w:autoSpaceDE/>
              <w:autoSpaceDN/>
              <w:bidi w:val="0"/>
              <w:spacing w:line="500" w:lineRule="exact"/>
              <w:ind w:firstLine="480" w:firstLineChars="200"/>
              <w:textAlignment w:val="auto"/>
              <w:outlineLvl w:val="2"/>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项目厂内开挖土层，该类土层含水率较低，在天气干燥、有风的情况下覆土时，会产生扬尘。因此，建设单位必须充分重视扬尘所带来的环境污染问题，应从车辆途经路段、车辆行驶速度以及车辆轮胎清洁度，施工工地堆场、裸露地表等方面采取合理可行的污染控制措施，最大程度减轻其污染程度。</w:t>
            </w:r>
          </w:p>
          <w:p>
            <w:pPr>
              <w:keepNext/>
              <w:keepLines/>
              <w:pageBreakBefore w:val="0"/>
              <w:widowControl w:val="0"/>
              <w:kinsoku/>
              <w:wordWrap/>
              <w:overflowPunct/>
              <w:topLinePunct w:val="0"/>
              <w:autoSpaceDE/>
              <w:autoSpaceDN/>
              <w:bidi w:val="0"/>
              <w:spacing w:line="500" w:lineRule="exact"/>
              <w:ind w:firstLine="480" w:firstLineChars="200"/>
              <w:textAlignment w:val="auto"/>
              <w:outlineLvl w:val="2"/>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根据《大气污染防治行动计划</w:t>
            </w:r>
            <w:r>
              <w:rPr>
                <w:rFonts w:hint="eastAsia"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新疆维吾尔自治区大气污染防治行动计划实施方案</w:t>
            </w:r>
            <w:r>
              <w:rPr>
                <w:rFonts w:hint="eastAsia"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巴州建筑工程施工现场扬尘污染防治实施细则》等相关文件要求，工程建设期间，建设和施工单位应负责工地周边道路的保洁与清洗责任，建筑工程施工现场扬尘污染防治应做到工地周边围挡、物料堆放覆盖、路面硬化、土方开挖湿法作业、出入车辆清洗、渣土车辆密闭运输。按照施工工地</w:t>
            </w:r>
            <w:r>
              <w:rPr>
                <w:rFonts w:hint="eastAsia"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六个百分百</w:t>
            </w:r>
            <w:r>
              <w:rPr>
                <w:rFonts w:hint="eastAsia"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标准，</w:t>
            </w:r>
            <w:r>
              <w:rPr>
                <w:rFonts w:hint="eastAsia" w:cs="Times New Roman"/>
                <w:color w:val="000000" w:themeColor="text1"/>
                <w:lang w:eastAsia="zh-CN"/>
                <w14:textFill>
                  <w14:solidFill>
                    <w14:schemeClr w14:val="tx1"/>
                  </w14:solidFill>
                </w14:textFill>
              </w:rPr>
              <w:t>做到工地周边</w:t>
            </w:r>
            <w:r>
              <w:rPr>
                <w:rFonts w:hint="default" w:ascii="Times New Roman" w:hAnsi="Times New Roman" w:eastAsia="宋体" w:cs="Times New Roman"/>
                <w:color w:val="000000" w:themeColor="text1"/>
                <w14:textFill>
                  <w14:solidFill>
                    <w14:schemeClr w14:val="tx1"/>
                  </w14:solidFill>
                </w14:textFill>
              </w:rPr>
              <w:t>100%围挡；物料堆放100%覆盖；出入车辆100%冲洗；施工现场地面100%硬化；土方开挖100%湿法作业；渣土车辆100%密闭运输。尽可能减少项目对周围环境产生的影响，建设单位必须充分重视扬尘所带来的环境污染问题，本环评要求采取以下措施：</w:t>
            </w:r>
          </w:p>
          <w:p>
            <w:pPr>
              <w:keepNext/>
              <w:keepLines/>
              <w:pageBreakBefore w:val="0"/>
              <w:widowControl w:val="0"/>
              <w:kinsoku/>
              <w:wordWrap/>
              <w:overflowPunct/>
              <w:topLinePunct w:val="0"/>
              <w:autoSpaceDE/>
              <w:autoSpaceDN/>
              <w:bidi w:val="0"/>
              <w:spacing w:line="500" w:lineRule="exact"/>
              <w:ind w:firstLine="480" w:firstLineChars="200"/>
              <w:textAlignment w:val="auto"/>
              <w:outlineLvl w:val="2"/>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①施工企业要在开工前制定建筑施工现场扬尘控制措施；</w:t>
            </w:r>
          </w:p>
          <w:p>
            <w:pPr>
              <w:keepNext/>
              <w:keepLines/>
              <w:pageBreakBefore w:val="0"/>
              <w:widowControl w:val="0"/>
              <w:kinsoku/>
              <w:wordWrap/>
              <w:overflowPunct/>
              <w:topLinePunct w:val="0"/>
              <w:autoSpaceDE/>
              <w:autoSpaceDN/>
              <w:bidi w:val="0"/>
              <w:spacing w:line="500" w:lineRule="exact"/>
              <w:ind w:firstLine="480" w:firstLineChars="200"/>
              <w:textAlignment w:val="auto"/>
              <w:outlineLvl w:val="2"/>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②施工现场实行围挡封闭，围挡高度不得低于1.8m，</w:t>
            </w:r>
            <w:r>
              <w:rPr>
                <w:rFonts w:hint="eastAsia" w:cs="Times New Roman"/>
                <w:color w:val="000000" w:themeColor="text1"/>
                <w:lang w:eastAsia="zh-CN"/>
                <w14:textFill>
                  <w14:solidFill>
                    <w14:schemeClr w14:val="tx1"/>
                  </w14:solidFill>
                </w14:textFill>
              </w:rPr>
              <w:t>围挡</w:t>
            </w:r>
            <w:r>
              <w:rPr>
                <w:rFonts w:hint="default" w:ascii="Times New Roman" w:hAnsi="Times New Roman" w:eastAsia="宋体" w:cs="Times New Roman"/>
                <w:color w:val="000000" w:themeColor="text1"/>
                <w14:textFill>
                  <w14:solidFill>
                    <w14:schemeClr w14:val="tx1"/>
                  </w14:solidFill>
                </w14:textFill>
              </w:rPr>
              <w:t>底边应当封闭并设置防溢沉淀井，不得有泥浆外漏；</w:t>
            </w:r>
          </w:p>
          <w:p>
            <w:pPr>
              <w:keepNext/>
              <w:keepLines/>
              <w:pageBreakBefore w:val="0"/>
              <w:widowControl w:val="0"/>
              <w:kinsoku/>
              <w:wordWrap/>
              <w:overflowPunct/>
              <w:topLinePunct w:val="0"/>
              <w:autoSpaceDE/>
              <w:autoSpaceDN/>
              <w:bidi w:val="0"/>
              <w:spacing w:line="500" w:lineRule="exact"/>
              <w:ind w:firstLine="480" w:firstLineChars="200"/>
              <w:textAlignment w:val="auto"/>
              <w:outlineLvl w:val="2"/>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③施工现场临时设施、临时道路的设置应科学合理，并应符合安全、消防、节能、环保等有关规定。施工区、材料加工及存放区应与办公区、生活区划分清楚，并应采取相应的隔离措施；施工现场出入口、主要道路必须采用硬化处理措施，尽量做到</w:t>
            </w:r>
            <w:r>
              <w:rPr>
                <w:rFonts w:hint="eastAsia"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永临结合</w:t>
            </w:r>
            <w:r>
              <w:rPr>
                <w:rFonts w:hint="eastAsia"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宜设置循环通道或贯通的施工道路，其宽度和承载力应满足车辆通行和消防要求；沿施工道路两侧宜通长布设标准化的道路喷淋系统。施工场区内裸露场地和堆放的土方必须采用防尘网覆盖、固化等扬尘污染防治措施。施工现场地表水和地下管沟应排水畅通，场地无积水。污水宜沉淀后重复使用。建设单位负责对待建场地裸露地面进行覆盖。</w:t>
            </w:r>
          </w:p>
          <w:p>
            <w:pPr>
              <w:keepNext/>
              <w:keepLines/>
              <w:pageBreakBefore w:val="0"/>
              <w:widowControl w:val="0"/>
              <w:kinsoku/>
              <w:wordWrap/>
              <w:overflowPunct/>
              <w:topLinePunct w:val="0"/>
              <w:autoSpaceDE/>
              <w:autoSpaceDN/>
              <w:bidi w:val="0"/>
              <w:spacing w:line="500" w:lineRule="exact"/>
              <w:ind w:firstLine="480" w:firstLineChars="200"/>
              <w:textAlignment w:val="auto"/>
              <w:outlineLvl w:val="2"/>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④施工现场土方堆放时，除应采取覆盖防尘网、篷布等防尘措施，并适时洒水外。还应做到：土方堆放高度不宜超过相邻围挡；使用土方时禁止将所有遮盖的防尘网全部打开；钢材、木材、周转材料等物料应分类分区存放，场地应采取硬化或砖、焦渣、碎石铺装等防尘措施。严禁在施工现场</w:t>
            </w:r>
            <w:r>
              <w:rPr>
                <w:rFonts w:hint="eastAsia" w:cs="Times New Roman"/>
                <w:color w:val="000000" w:themeColor="text1"/>
                <w:lang w:eastAsia="zh-CN"/>
                <w14:textFill>
                  <w14:solidFill>
                    <w14:schemeClr w14:val="tx1"/>
                  </w14:solidFill>
                </w14:textFill>
              </w:rPr>
              <w:t>围挡</w:t>
            </w:r>
            <w:r>
              <w:rPr>
                <w:rFonts w:hint="default" w:ascii="Times New Roman" w:hAnsi="Times New Roman" w:eastAsia="宋体" w:cs="Times New Roman"/>
                <w:color w:val="000000" w:themeColor="text1"/>
                <w14:textFill>
                  <w14:solidFill>
                    <w14:schemeClr w14:val="tx1"/>
                  </w14:solidFill>
                </w14:textFill>
              </w:rPr>
              <w:t>外堆放建筑材料和建筑垃圾。</w:t>
            </w:r>
          </w:p>
          <w:p>
            <w:pPr>
              <w:keepNext/>
              <w:keepLines/>
              <w:pageBreakBefore w:val="0"/>
              <w:widowControl w:val="0"/>
              <w:kinsoku/>
              <w:wordWrap/>
              <w:overflowPunct/>
              <w:topLinePunct w:val="0"/>
              <w:autoSpaceDE/>
              <w:autoSpaceDN/>
              <w:bidi w:val="0"/>
              <w:spacing w:line="500" w:lineRule="exact"/>
              <w:ind w:firstLine="480" w:firstLineChars="200"/>
              <w:textAlignment w:val="auto"/>
              <w:outlineLvl w:val="2"/>
              <w:rPr>
                <w:rFonts w:hint="default" w:ascii="Times New Roman" w:hAnsi="Times New Roman" w:eastAsia="宋体" w:cs="Times New Roman"/>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⑤</w:t>
            </w:r>
            <w:r>
              <w:rPr>
                <w:rFonts w:hint="default" w:ascii="Times New Roman" w:hAnsi="Times New Roman" w:eastAsia="宋体" w:cs="Times New Roman"/>
                <w:color w:val="000000" w:themeColor="text1"/>
                <w14:textFill>
                  <w14:solidFill>
                    <w14:schemeClr w14:val="tx1"/>
                  </w14:solidFill>
                </w14:textFill>
              </w:rPr>
              <w:t>建筑垃圾处置实行减量化、资源化、无害化和</w:t>
            </w:r>
            <w:r>
              <w:rPr>
                <w:rFonts w:hint="eastAsia"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谁产生、谁处置</w:t>
            </w:r>
            <w:r>
              <w:rPr>
                <w:rFonts w:hint="eastAsia"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的原则。施工单位应当合理利用资源，防止浪费，减少渣土与建筑垃圾的产出量。施工现场建筑垃圾应集中、分类堆放，严密遮盖。施工现场内严禁随意丢弃和焚烧各类废弃物，严禁高空</w:t>
            </w:r>
            <w:r>
              <w:rPr>
                <w:rFonts w:hint="eastAsia" w:cs="Times New Roman"/>
                <w:color w:val="000000" w:themeColor="text1"/>
                <w:lang w:eastAsia="zh-CN"/>
                <w14:textFill>
                  <w14:solidFill>
                    <w14:schemeClr w14:val="tx1"/>
                  </w14:solidFill>
                </w14:textFill>
              </w:rPr>
              <w:t>抛撒</w:t>
            </w:r>
            <w:r>
              <w:rPr>
                <w:rFonts w:hint="default" w:ascii="Times New Roman" w:hAnsi="Times New Roman" w:eastAsia="宋体" w:cs="Times New Roman"/>
                <w:color w:val="000000" w:themeColor="text1"/>
                <w14:textFill>
                  <w14:solidFill>
                    <w14:schemeClr w14:val="tx1"/>
                  </w14:solidFill>
                </w14:textFill>
              </w:rPr>
              <w:t>建筑垃圾。施工工程中产生的弃土、弃料及其他建筑垃圾，应及时清运。若在工地内堆置超过48小时的，应在施工</w:t>
            </w:r>
            <w:r>
              <w:rPr>
                <w:rFonts w:hint="eastAsia" w:cs="Times New Roman"/>
                <w:color w:val="000000" w:themeColor="text1"/>
                <w:lang w:eastAsia="zh-CN"/>
                <w14:textFill>
                  <w14:solidFill>
                    <w14:schemeClr w14:val="tx1"/>
                  </w14:solidFill>
                </w14:textFill>
              </w:rPr>
              <w:t>场地</w:t>
            </w:r>
            <w:r>
              <w:rPr>
                <w:rFonts w:hint="default" w:ascii="Times New Roman" w:hAnsi="Times New Roman" w:eastAsia="宋体" w:cs="Times New Roman"/>
                <w:color w:val="000000" w:themeColor="text1"/>
                <w14:textFill>
                  <w14:solidFill>
                    <w14:schemeClr w14:val="tx1"/>
                  </w14:solidFill>
                </w14:textFill>
              </w:rPr>
              <w:t>内设置临时堆放场，并采取下列措施之一：覆盖防尘布、防尘网；定期喷洒抑尘剂；定期洒水压尘；其他有效的防尘措施。</w:t>
            </w:r>
          </w:p>
          <w:p>
            <w:pPr>
              <w:keepNext/>
              <w:keepLines/>
              <w:pageBreakBefore w:val="0"/>
              <w:widowControl w:val="0"/>
              <w:kinsoku/>
              <w:wordWrap/>
              <w:overflowPunct/>
              <w:topLinePunct w:val="0"/>
              <w:autoSpaceDE/>
              <w:autoSpaceDN/>
              <w:bidi w:val="0"/>
              <w:spacing w:line="500" w:lineRule="exact"/>
              <w:ind w:firstLine="480" w:firstLineChars="200"/>
              <w:textAlignment w:val="auto"/>
              <w:outlineLvl w:val="2"/>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 xml:space="preserve">建筑垃圾和土方运输车辆运输中必须采取密闭措施，切实达到无外露、无遗撒、无高尖、无扬尘的要求，按规定的时间、地点、线路运输和装卸。 </w:t>
            </w:r>
          </w:p>
          <w:p>
            <w:pPr>
              <w:keepNext/>
              <w:keepLines/>
              <w:pageBreakBefore w:val="0"/>
              <w:widowControl w:val="0"/>
              <w:kinsoku/>
              <w:wordWrap/>
              <w:overflowPunct/>
              <w:topLinePunct w:val="0"/>
              <w:autoSpaceDE/>
              <w:autoSpaceDN/>
              <w:bidi w:val="0"/>
              <w:spacing w:line="500" w:lineRule="exact"/>
              <w:ind w:firstLine="480" w:firstLineChars="200"/>
              <w:textAlignment w:val="auto"/>
              <w:outlineLvl w:val="2"/>
              <w:rPr>
                <w:rFonts w:hint="default" w:ascii="Times New Roman" w:hAnsi="Times New Roman" w:eastAsia="宋体" w:cs="Times New Roman"/>
                <w:color w:val="000000" w:themeColor="text1"/>
                <w14:textFill>
                  <w14:solidFill>
                    <w14:schemeClr w14:val="tx1"/>
                  </w14:solidFill>
                </w14:textFill>
              </w:rPr>
            </w:pPr>
            <w:r>
              <w:rPr>
                <w:rFonts w:hint="eastAsia" w:cs="Times New Roman"/>
                <w:color w:val="000000" w:themeColor="text1"/>
                <w:lang w:val="en-US" w:eastAsia="zh-CN"/>
                <w14:textFill>
                  <w14:solidFill>
                    <w14:schemeClr w14:val="tx1"/>
                  </w14:solidFill>
                </w14:textFill>
              </w:rPr>
              <w:t>⑥</w:t>
            </w:r>
            <w:r>
              <w:rPr>
                <w:rFonts w:hint="default" w:ascii="Times New Roman" w:hAnsi="Times New Roman" w:eastAsia="宋体" w:cs="Times New Roman"/>
                <w:color w:val="000000" w:themeColor="text1"/>
                <w14:textFill>
                  <w14:solidFill>
                    <w14:schemeClr w14:val="tx1"/>
                  </w14:solidFill>
                </w14:textFill>
              </w:rPr>
              <w:t>施工现场使用商品混凝土；</w:t>
            </w:r>
          </w:p>
          <w:p>
            <w:pPr>
              <w:keepNext/>
              <w:keepLines/>
              <w:pageBreakBefore w:val="0"/>
              <w:widowControl w:val="0"/>
              <w:kinsoku/>
              <w:wordWrap/>
              <w:overflowPunct/>
              <w:topLinePunct w:val="0"/>
              <w:autoSpaceDE/>
              <w:autoSpaceDN/>
              <w:bidi w:val="0"/>
              <w:spacing w:line="500" w:lineRule="exact"/>
              <w:ind w:firstLine="480" w:firstLineChars="200"/>
              <w:textAlignment w:val="auto"/>
              <w:outlineLvl w:val="2"/>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综上所述，项目施工期产生的扬尘只要采取以上措施处理后，对周边环境影响较小。</w:t>
            </w:r>
          </w:p>
          <w:p>
            <w:pPr>
              <w:keepNext/>
              <w:keepLines/>
              <w:pageBreakBefore w:val="0"/>
              <w:widowControl w:val="0"/>
              <w:kinsoku/>
              <w:wordWrap/>
              <w:overflowPunct/>
              <w:topLinePunct w:val="0"/>
              <w:bidi w:val="0"/>
              <w:spacing w:line="500" w:lineRule="exact"/>
              <w:textAlignment w:val="auto"/>
              <w:outlineLvl w:val="2"/>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4.1.2</w:t>
            </w:r>
            <w:bookmarkEnd w:id="5"/>
            <w:bookmarkEnd w:id="6"/>
            <w:r>
              <w:rPr>
                <w:rFonts w:hint="eastAsia" w:cs="Times New Roman"/>
                <w:b/>
                <w:bCs/>
                <w:color w:val="000000" w:themeColor="text1"/>
                <w:lang w:val="en-US" w:eastAsia="zh-CN"/>
                <w14:textFill>
                  <w14:solidFill>
                    <w14:schemeClr w14:val="tx1"/>
                  </w14:solidFill>
                </w14:textFill>
              </w:rPr>
              <w:t>汽车尾气</w:t>
            </w:r>
          </w:p>
          <w:p>
            <w:pPr>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施工车辆（工程车）、施工机械（挖掘机、推土机等）等一般均采用柴油为燃料，产生CO、HC、NOx等</w:t>
            </w:r>
            <w:r>
              <w:rPr>
                <w:rFonts w:hint="eastAsia" w:cs="Times New Roman"/>
                <w:color w:val="000000" w:themeColor="text1"/>
                <w:lang w:eastAsia="zh-CN"/>
                <w14:textFill>
                  <w14:solidFill>
                    <w14:schemeClr w14:val="tx1"/>
                  </w14:solidFill>
                </w14:textFill>
              </w:rPr>
              <w:t>空气污染物</w:t>
            </w:r>
            <w:r>
              <w:rPr>
                <w:rFonts w:hint="default" w:ascii="Times New Roman" w:hAnsi="Times New Roman" w:eastAsia="宋体" w:cs="Times New Roman"/>
                <w:color w:val="000000" w:themeColor="text1"/>
                <w14:textFill>
                  <w14:solidFill>
                    <w14:schemeClr w14:val="tx1"/>
                  </w14:solidFill>
                </w14:textFill>
              </w:rPr>
              <w:t>，车辆以及施工机械分布较散，大部分为流动性，产生情况表现为局部和间歇性，其排放量也较小，经自然扩散后，其对周边环境敏感点以及周边大气环境影响不大。</w:t>
            </w:r>
          </w:p>
          <w:p>
            <w:pPr>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由于本项目建设规模较小，施工时间较短，故采取上述措施后，本项目施工期产生的废气对周围环境不会产生明显的不利影响，且随着施工期的结束影响即消除。</w:t>
            </w:r>
          </w:p>
          <w:p>
            <w:pPr>
              <w:keepNext/>
              <w:keepLines/>
              <w:pageBreakBefore w:val="0"/>
              <w:widowControl w:val="0"/>
              <w:kinsoku/>
              <w:wordWrap/>
              <w:overflowPunct/>
              <w:topLinePunct w:val="0"/>
              <w:bidi w:val="0"/>
              <w:spacing w:line="500" w:lineRule="exact"/>
              <w:textAlignment w:val="auto"/>
              <w:outlineLvl w:val="2"/>
              <w:rPr>
                <w:rFonts w:hint="default" w:ascii="Times New Roman" w:hAnsi="Times New Roman" w:eastAsia="宋体" w:cs="Times New Roman"/>
                <w:b/>
                <w:bCs/>
                <w:color w:val="000000" w:themeColor="text1"/>
                <w:lang w:val="en-US" w:eastAsia="zh-CN"/>
                <w14:textFill>
                  <w14:solidFill>
                    <w14:schemeClr w14:val="tx1"/>
                  </w14:solidFill>
                </w14:textFill>
              </w:rPr>
            </w:pPr>
            <w:bookmarkStart w:id="7" w:name="_Toc417384595"/>
            <w:bookmarkStart w:id="8" w:name="_Toc417384483"/>
            <w:r>
              <w:rPr>
                <w:rFonts w:hint="default" w:ascii="Times New Roman" w:hAnsi="Times New Roman" w:eastAsia="宋体" w:cs="Times New Roman"/>
                <w:b/>
                <w:bCs/>
                <w:color w:val="000000" w:themeColor="text1"/>
                <w14:textFill>
                  <w14:solidFill>
                    <w14:schemeClr w14:val="tx1"/>
                  </w14:solidFill>
                </w14:textFill>
              </w:rPr>
              <w:t>4.</w:t>
            </w:r>
            <w:r>
              <w:rPr>
                <w:rFonts w:hint="eastAsia" w:cs="Times New Roman"/>
                <w:b/>
                <w:bCs/>
                <w:color w:val="000000" w:themeColor="text1"/>
                <w:lang w:val="en-US" w:eastAsia="zh-CN"/>
                <w14:textFill>
                  <w14:solidFill>
                    <w14:schemeClr w14:val="tx1"/>
                  </w14:solidFill>
                </w14:textFill>
              </w:rPr>
              <w:t>2</w:t>
            </w:r>
            <w:r>
              <w:rPr>
                <w:rFonts w:hint="default" w:ascii="Times New Roman" w:hAnsi="Times New Roman" w:eastAsia="宋体" w:cs="Times New Roman"/>
                <w:b/>
                <w:bCs/>
                <w:color w:val="000000" w:themeColor="text1"/>
                <w14:textFill>
                  <w14:solidFill>
                    <w14:schemeClr w14:val="tx1"/>
                  </w14:solidFill>
                </w14:textFill>
              </w:rPr>
              <w:t>施工</w:t>
            </w:r>
            <w:bookmarkEnd w:id="7"/>
            <w:bookmarkEnd w:id="8"/>
            <w:r>
              <w:rPr>
                <w:rFonts w:hint="eastAsia" w:cs="Times New Roman"/>
                <w:b/>
                <w:bCs/>
                <w:color w:val="000000" w:themeColor="text1"/>
                <w:lang w:val="en-US" w:eastAsia="zh-CN"/>
                <w14:textFill>
                  <w14:solidFill>
                    <w14:schemeClr w14:val="tx1"/>
                  </w14:solidFill>
                </w14:textFill>
              </w:rPr>
              <w:t>期废水环境影响分析</w:t>
            </w:r>
          </w:p>
          <w:p>
            <w:pPr>
              <w:pageBreakBefore w:val="0"/>
              <w:widowControl w:val="0"/>
              <w:numPr>
                <w:ilvl w:val="0"/>
                <w:numId w:val="0"/>
              </w:numPr>
              <w:kinsoku/>
              <w:wordWrap/>
              <w:overflowPunct/>
              <w:topLinePunct w:val="0"/>
              <w:bidi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施工期间设置的临时沉淀池和移动环保厕所，废水经沉淀池处理后用于洒水降尘。施工期生活污水通过移动环保厕所进行储存，对周围地表水环境不会产生明显的不利影响，且随着施工期的结束影响即消除。</w:t>
            </w:r>
          </w:p>
          <w:p>
            <w:pPr>
              <w:keepNext/>
              <w:keepLines/>
              <w:pageBreakBefore w:val="0"/>
              <w:widowControl w:val="0"/>
              <w:kinsoku/>
              <w:wordWrap/>
              <w:overflowPunct/>
              <w:topLinePunct w:val="0"/>
              <w:bidi w:val="0"/>
              <w:spacing w:line="500" w:lineRule="exact"/>
              <w:textAlignment w:val="auto"/>
              <w:outlineLvl w:val="2"/>
              <w:rPr>
                <w:rFonts w:hint="eastAsia" w:ascii="Times New Roman" w:hAnsi="Times New Roman" w:eastAsia="宋体" w:cs="Times New Roman"/>
                <w:b/>
                <w:bCs/>
                <w:color w:val="000000" w:themeColor="text1"/>
                <w:lang w:val="en-US" w:eastAsia="zh-CN"/>
                <w14:textFill>
                  <w14:solidFill>
                    <w14:schemeClr w14:val="tx1"/>
                  </w14:solidFill>
                </w14:textFill>
              </w:rPr>
            </w:pPr>
            <w:bookmarkStart w:id="9" w:name="_Toc417384596"/>
            <w:bookmarkStart w:id="10" w:name="_Toc417384484"/>
            <w:r>
              <w:rPr>
                <w:rFonts w:hint="default" w:ascii="Times New Roman" w:hAnsi="Times New Roman" w:eastAsia="宋体" w:cs="Times New Roman"/>
                <w:b/>
                <w:bCs/>
                <w:color w:val="000000" w:themeColor="text1"/>
                <w14:textFill>
                  <w14:solidFill>
                    <w14:schemeClr w14:val="tx1"/>
                  </w14:solidFill>
                </w14:textFill>
              </w:rPr>
              <w:t>4.</w:t>
            </w:r>
            <w:r>
              <w:rPr>
                <w:rFonts w:hint="eastAsia" w:cs="Times New Roman"/>
                <w:b/>
                <w:bCs/>
                <w:color w:val="000000" w:themeColor="text1"/>
                <w:lang w:val="en-US" w:eastAsia="zh-CN"/>
                <w14:textFill>
                  <w14:solidFill>
                    <w14:schemeClr w14:val="tx1"/>
                  </w14:solidFill>
                </w14:textFill>
              </w:rPr>
              <w:t>3</w:t>
            </w:r>
            <w:r>
              <w:rPr>
                <w:rFonts w:hint="default" w:ascii="Times New Roman" w:hAnsi="Times New Roman" w:eastAsia="宋体" w:cs="Times New Roman"/>
                <w:b/>
                <w:bCs/>
                <w:color w:val="000000" w:themeColor="text1"/>
                <w14:textFill>
                  <w14:solidFill>
                    <w14:schemeClr w14:val="tx1"/>
                  </w14:solidFill>
                </w14:textFill>
              </w:rPr>
              <w:t>施工期固体废物影响分析</w:t>
            </w:r>
            <w:bookmarkEnd w:id="9"/>
            <w:bookmarkEnd w:id="10"/>
            <w:r>
              <w:rPr>
                <w:rFonts w:hint="default" w:ascii="Times New Roman" w:hAnsi="Times New Roman" w:eastAsia="宋体" w:cs="Times New Roman"/>
                <w:b/>
                <w:bCs/>
                <w:color w:val="000000" w:themeColor="text1"/>
                <w14:textFill>
                  <w14:solidFill>
                    <w14:schemeClr w14:val="tx1"/>
                  </w14:solidFill>
                </w14:textFill>
              </w:rPr>
              <w:t>及防治</w:t>
            </w:r>
            <w:r>
              <w:rPr>
                <w:rFonts w:hint="eastAsia" w:cs="Times New Roman"/>
                <w:b/>
                <w:bCs/>
                <w:color w:val="000000" w:themeColor="text1"/>
                <w:lang w:val="en-US" w:eastAsia="zh-CN"/>
                <w14:textFill>
                  <w14:solidFill>
                    <w14:schemeClr w14:val="tx1"/>
                  </w14:solidFill>
                </w14:textFill>
              </w:rPr>
              <w:t>措施</w:t>
            </w:r>
          </w:p>
          <w:p>
            <w:pPr>
              <w:pageBreakBefore w:val="0"/>
              <w:widowControl w:val="0"/>
              <w:kinsoku/>
              <w:wordWrap/>
              <w:overflowPunct/>
              <w:topLinePunct w:val="0"/>
              <w:bidi w:val="0"/>
              <w:spacing w:line="500" w:lineRule="exact"/>
              <w:ind w:firstLine="480" w:firstLineChars="200"/>
              <w:textAlignment w:val="auto"/>
              <w:rPr>
                <w:rFonts w:hint="default"/>
                <w:color w:val="000000" w:themeColor="text1"/>
                <w:lang w:eastAsia="zh-CN"/>
                <w14:textFill>
                  <w14:solidFill>
                    <w14:schemeClr w14:val="tx1"/>
                  </w14:solidFill>
                </w14:textFill>
              </w:rPr>
            </w:pPr>
            <w:r>
              <w:rPr>
                <w:rFonts w:hint="default"/>
                <w:color w:val="000000" w:themeColor="text1"/>
                <w:lang w:eastAsia="zh-CN"/>
                <w14:textFill>
                  <w14:solidFill>
                    <w14:schemeClr w14:val="tx1"/>
                  </w14:solidFill>
                </w14:textFill>
              </w:rPr>
              <w:t>（1）建筑垃圾</w:t>
            </w:r>
          </w:p>
          <w:p>
            <w:pPr>
              <w:pageBreakBefore w:val="0"/>
              <w:widowControl w:val="0"/>
              <w:kinsoku/>
              <w:wordWrap/>
              <w:overflowPunct/>
              <w:topLinePunct w:val="0"/>
              <w:bidi w:val="0"/>
              <w:spacing w:line="500" w:lineRule="exact"/>
              <w:ind w:firstLine="480" w:firstLineChars="200"/>
              <w:textAlignment w:val="auto"/>
              <w:rPr>
                <w:rFonts w:hint="default"/>
                <w:color w:val="000000" w:themeColor="text1"/>
                <w:lang w:eastAsia="zh-CN"/>
                <w14:textFill>
                  <w14:solidFill>
                    <w14:schemeClr w14:val="tx1"/>
                  </w14:solidFill>
                </w14:textFill>
              </w:rPr>
            </w:pPr>
            <w:r>
              <w:rPr>
                <w:rFonts w:hint="default"/>
                <w:color w:val="000000" w:themeColor="text1"/>
                <w:lang w:eastAsia="zh-CN"/>
                <w14:textFill>
                  <w14:solidFill>
                    <w14:schemeClr w14:val="tx1"/>
                  </w14:solidFill>
                </w14:textFill>
              </w:rPr>
              <w:t>项目建筑垃圾主要为余土、废砖块、混凝土块、废木料、钢筋头等，能回收利用部分回收利用，不能回收利用部分送至和硕县（园区）固废处置中心处置。</w:t>
            </w:r>
          </w:p>
          <w:p>
            <w:pPr>
              <w:pageBreakBefore w:val="0"/>
              <w:widowControl w:val="0"/>
              <w:kinsoku/>
              <w:wordWrap/>
              <w:overflowPunct/>
              <w:topLinePunct w:val="0"/>
              <w:bidi w:val="0"/>
              <w:spacing w:line="500" w:lineRule="exact"/>
              <w:ind w:firstLine="480" w:firstLineChars="200"/>
              <w:textAlignment w:val="auto"/>
              <w:rPr>
                <w:rFonts w:hint="default"/>
                <w:color w:val="000000" w:themeColor="text1"/>
                <w:lang w:eastAsia="zh-CN"/>
                <w14:textFill>
                  <w14:solidFill>
                    <w14:schemeClr w14:val="tx1"/>
                  </w14:solidFill>
                </w14:textFill>
              </w:rPr>
            </w:pPr>
            <w:r>
              <w:rPr>
                <w:rFonts w:hint="default"/>
                <w:color w:val="000000" w:themeColor="text1"/>
                <w:lang w:eastAsia="zh-CN"/>
                <w14:textFill>
                  <w14:solidFill>
                    <w14:schemeClr w14:val="tx1"/>
                  </w14:solidFill>
                </w14:textFill>
              </w:rPr>
              <w:t>（2）施工人员的生活垃圾</w:t>
            </w:r>
          </w:p>
          <w:p>
            <w:pPr>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color w:val="000000" w:themeColor="text1"/>
                <w:lang w:eastAsia="zh-CN"/>
                <w14:textFill>
                  <w14:solidFill>
                    <w14:schemeClr w14:val="tx1"/>
                  </w14:solidFill>
                </w14:textFill>
              </w:rPr>
              <w:t>由工程分析可知，施工期生活垃圾产生量为5kg/d，拟采取定点堆放，由市政环卫部门统一收集后及时清运，不会对周围环境造成明显的不利影响。</w:t>
            </w:r>
          </w:p>
          <w:p>
            <w:pPr>
              <w:keepNext/>
              <w:keepLines/>
              <w:pageBreakBefore w:val="0"/>
              <w:widowControl w:val="0"/>
              <w:kinsoku/>
              <w:wordWrap/>
              <w:overflowPunct/>
              <w:topLinePunct w:val="0"/>
              <w:bidi w:val="0"/>
              <w:spacing w:line="500" w:lineRule="exact"/>
              <w:textAlignment w:val="auto"/>
              <w:outlineLvl w:val="2"/>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4.</w:t>
            </w:r>
            <w:r>
              <w:rPr>
                <w:rFonts w:hint="eastAsia" w:cs="Times New Roman"/>
                <w:b/>
                <w:bCs/>
                <w:color w:val="000000" w:themeColor="text1"/>
                <w:lang w:val="en-US" w:eastAsia="zh-CN"/>
                <w14:textFill>
                  <w14:solidFill>
                    <w14:schemeClr w14:val="tx1"/>
                  </w14:solidFill>
                </w14:textFill>
              </w:rPr>
              <w:t>4</w:t>
            </w:r>
            <w:r>
              <w:rPr>
                <w:rFonts w:hint="default" w:ascii="Times New Roman" w:hAnsi="Times New Roman" w:eastAsia="宋体" w:cs="Times New Roman"/>
                <w:b/>
                <w:bCs/>
                <w:color w:val="000000" w:themeColor="text1"/>
                <w:lang w:val="en-US" w:eastAsia="zh-CN"/>
                <w14:textFill>
                  <w14:solidFill>
                    <w14:schemeClr w14:val="tx1"/>
                  </w14:solidFill>
                </w14:textFill>
              </w:rPr>
              <w:t>施工期</w:t>
            </w:r>
            <w:r>
              <w:rPr>
                <w:rFonts w:hint="eastAsia" w:cs="Times New Roman"/>
                <w:b/>
                <w:bCs/>
                <w:color w:val="000000" w:themeColor="text1"/>
                <w:lang w:val="en-US" w:eastAsia="zh-CN"/>
                <w14:textFill>
                  <w14:solidFill>
                    <w14:schemeClr w14:val="tx1"/>
                  </w14:solidFill>
                </w14:textFill>
              </w:rPr>
              <w:t>土地沙化影响分析及防治</w:t>
            </w:r>
            <w:r>
              <w:rPr>
                <w:rFonts w:hint="default" w:ascii="Times New Roman" w:hAnsi="Times New Roman" w:eastAsia="宋体" w:cs="Times New Roman"/>
                <w:b/>
                <w:bCs/>
                <w:color w:val="000000" w:themeColor="text1"/>
                <w:lang w:val="en-US" w:eastAsia="zh-CN"/>
                <w14:textFill>
                  <w14:solidFill>
                    <w14:schemeClr w14:val="tx1"/>
                  </w14:solidFill>
                </w14:textFill>
              </w:rPr>
              <w:t>措施</w:t>
            </w:r>
          </w:p>
          <w:p>
            <w:pPr>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随着施工工地开挖、填方、平整，原有表土层受到破坏，土壤松动，或者施工工程中由于挖方及填方过程中形成的土堆不能及时清理，遇到较大降雨冲刷，容易发生水土流失</w:t>
            </w:r>
            <w:r>
              <w:rPr>
                <w:rFonts w:hint="eastAsia" w:cs="Times New Roman"/>
                <w:snapToGrid w:val="0"/>
                <w:color w:val="000000" w:themeColor="text1"/>
                <w:kern w:val="0"/>
                <w:sz w:val="24"/>
                <w:szCs w:val="24"/>
                <w:lang w:val="en-US" w:eastAsia="zh-CN" w:bidi="ar-SA"/>
                <w14:textFill>
                  <w14:solidFill>
                    <w14:schemeClr w14:val="tx1"/>
                  </w14:solidFill>
                </w14:textFill>
                <w14:ligatures w14:val="none"/>
              </w:rPr>
              <w:t>，引起土地沙化</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w:t>
            </w:r>
          </w:p>
          <w:p>
            <w:pPr>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施工期防沙治沙措施：</w:t>
            </w:r>
          </w:p>
          <w:p>
            <w:pPr>
              <w:pageBreakBefore w:val="0"/>
              <w:widowControl w:val="0"/>
              <w:numPr>
                <w:ilvl w:val="0"/>
                <w:numId w:val="4"/>
              </w:numPr>
              <w:kinsoku/>
              <w:wordWrap/>
              <w:overflowPunct/>
              <w:topLinePunct w:val="0"/>
              <w:bidi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严格划定施工活动范围，严格控制和管理运输车辆的运行路线和范围，不得离开运输公路随意行驶，加剧土地沙化；</w:t>
            </w:r>
          </w:p>
          <w:p>
            <w:pPr>
              <w:pageBreakBefore w:val="0"/>
              <w:widowControl w:val="0"/>
              <w:numPr>
                <w:ilvl w:val="0"/>
                <w:numId w:val="4"/>
              </w:numPr>
              <w:kinsoku/>
              <w:wordWrap/>
              <w:overflowPunct/>
              <w:topLinePunct w:val="0"/>
              <w:bidi w:val="0"/>
              <w:spacing w:line="500" w:lineRule="exact"/>
              <w:ind w:firstLine="480" w:firstLineChars="200"/>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施工土方堆存使用防尘网，并定期洒水抑尘；施工结束后，对施工场地进行清理、平整。</w:t>
            </w:r>
          </w:p>
          <w:p>
            <w:pPr>
              <w:pStyle w:val="31"/>
              <w:pageBreakBefore w:val="0"/>
              <w:widowControl w:val="0"/>
              <w:kinsoku/>
              <w:wordWrap/>
              <w:overflowPunct/>
              <w:topLinePunct w:val="0"/>
              <w:bidi w:val="0"/>
              <w:spacing w:line="500" w:lineRule="exact"/>
              <w:jc w:val="both"/>
              <w:textAlignment w:val="auto"/>
              <w:rPr>
                <w:rFonts w:hint="default"/>
                <w:color w:val="auto"/>
                <w:lang w:val="en-US" w:eastAsia="zh-CN"/>
              </w:rPr>
            </w:pPr>
            <w:r>
              <w:rPr>
                <w:rFonts w:hint="default"/>
                <w:color w:val="auto"/>
                <w:lang w:val="en-US" w:eastAsia="zh-CN"/>
              </w:rPr>
              <w:t>4.</w:t>
            </w:r>
            <w:r>
              <w:rPr>
                <w:rFonts w:hint="eastAsia"/>
                <w:color w:val="auto"/>
                <w:lang w:val="en-US" w:eastAsia="zh-CN"/>
              </w:rPr>
              <w:t>5</w:t>
            </w:r>
            <w:r>
              <w:rPr>
                <w:rFonts w:hint="default"/>
                <w:color w:val="auto"/>
                <w:lang w:val="en-US" w:eastAsia="zh-CN"/>
              </w:rPr>
              <w:t>施工期生态影响分析</w:t>
            </w:r>
          </w:p>
          <w:p>
            <w:pPr>
              <w:pStyle w:val="31"/>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both"/>
              <w:textAlignment w:val="auto"/>
              <w:rPr>
                <w:rFonts w:hint="default"/>
                <w:b w:val="0"/>
                <w:bCs/>
                <w:color w:val="auto"/>
                <w:lang w:val="en-US" w:eastAsia="zh-CN"/>
              </w:rPr>
            </w:pPr>
            <w:r>
              <w:rPr>
                <w:rFonts w:hint="default"/>
                <w:b w:val="0"/>
                <w:bCs/>
                <w:color w:val="auto"/>
                <w:lang w:val="en-US" w:eastAsia="zh-CN"/>
              </w:rPr>
              <w:t>该工程施工期对生态环境的影响主要是可能产生的水土流失影响</w:t>
            </w:r>
            <w:r>
              <w:rPr>
                <w:rFonts w:hint="eastAsia"/>
                <w:b w:val="0"/>
                <w:bCs/>
                <w:color w:val="auto"/>
                <w:lang w:val="en-US" w:eastAsia="zh-CN"/>
              </w:rPr>
              <w:t>、对</w:t>
            </w:r>
            <w:r>
              <w:rPr>
                <w:rFonts w:hint="default"/>
                <w:b w:val="0"/>
                <w:bCs/>
                <w:color w:val="auto"/>
                <w:lang w:val="en-US" w:eastAsia="zh-CN"/>
              </w:rPr>
              <w:t>地表原有植被造成破坏等。随着施工工地开挖、填方、平整，原有表土层受到破坏，土壤松动，或者施工工程中由于挖方及填方过程中形成的土堆不能及时清理，遇到较大降雨冲刷，容易发生水土流失。因此，只要施工期加强管理、合理安排施工进度，产生的少量弃土及时清运，采取地面硬化措施，并因地制宜进行绿化。采取上述措施后，可起到吸声降噪，绿化、美化环境的作用，周围生态环境可得到改善，施工期对周围生态环境的影响不大。</w:t>
            </w:r>
          </w:p>
          <w:p>
            <w:pPr>
              <w:pStyle w:val="31"/>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both"/>
              <w:textAlignment w:val="auto"/>
              <w:rPr>
                <w:rFonts w:hint="default"/>
                <w:b w:val="0"/>
                <w:bCs/>
                <w:color w:val="auto"/>
                <w:lang w:val="en-US" w:eastAsia="zh-CN"/>
              </w:rPr>
            </w:pPr>
            <w:r>
              <w:rPr>
                <w:rFonts w:hint="default"/>
                <w:b w:val="0"/>
                <w:bCs/>
                <w:color w:val="auto"/>
                <w:lang w:val="en-US" w:eastAsia="zh-CN"/>
              </w:rPr>
              <w:t>综上所述，施工期的噪声、废气、废水和固体废物将会对环境影响产生一定程度的影响，但只要施工单位认真做好施工组织工作（包括劳动力、工期计划和施工平面管理），并进行文明施工，严格遵守上述环保建议，工程建设期间不会对周围环境产生明显不利影响。</w:t>
            </w:r>
          </w:p>
          <w:p>
            <w:pPr>
              <w:pStyle w:val="31"/>
              <w:keepNext w:val="0"/>
              <w:keepLines w:val="0"/>
              <w:pageBreakBefore w:val="0"/>
              <w:widowControl w:val="0"/>
              <w:kinsoku/>
              <w:wordWrap/>
              <w:overflowPunct/>
              <w:topLinePunct w:val="0"/>
              <w:autoSpaceDE w:val="0"/>
              <w:autoSpaceDN w:val="0"/>
              <w:bidi w:val="0"/>
              <w:adjustRightInd w:val="0"/>
              <w:snapToGrid w:val="0"/>
              <w:spacing w:line="500" w:lineRule="exact"/>
              <w:jc w:val="both"/>
              <w:textAlignment w:val="auto"/>
              <w:rPr>
                <w:rFonts w:hint="default"/>
                <w:color w:val="auto"/>
                <w:lang w:val="en-US" w:eastAsia="zh-CN"/>
              </w:rPr>
            </w:pPr>
            <w:r>
              <w:rPr>
                <w:rFonts w:hint="default"/>
                <w:color w:val="auto"/>
                <w:lang w:val="en-US" w:eastAsia="zh-CN"/>
              </w:rPr>
              <w:t>4.</w:t>
            </w:r>
            <w:r>
              <w:rPr>
                <w:rFonts w:hint="eastAsia"/>
                <w:color w:val="auto"/>
                <w:lang w:val="en-US" w:eastAsia="zh-CN"/>
              </w:rPr>
              <w:t>6</w:t>
            </w:r>
            <w:r>
              <w:rPr>
                <w:rFonts w:hint="default"/>
                <w:color w:val="auto"/>
                <w:lang w:val="en-US" w:eastAsia="zh-CN"/>
              </w:rPr>
              <w:t>施工期</w:t>
            </w:r>
            <w:r>
              <w:rPr>
                <w:rFonts w:hint="eastAsia"/>
                <w:color w:val="auto"/>
                <w:lang w:val="en-US" w:eastAsia="zh-CN"/>
              </w:rPr>
              <w:t>噪声环境</w:t>
            </w:r>
            <w:r>
              <w:rPr>
                <w:rFonts w:hint="default"/>
                <w:color w:val="auto"/>
                <w:lang w:val="en-US" w:eastAsia="zh-CN"/>
              </w:rPr>
              <w:t>影响分析</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color w:val="auto"/>
                <w:sz w:val="24"/>
                <w:szCs w:val="24"/>
                <w:highlight w:val="none"/>
              </w:rPr>
            </w:pPr>
            <w:r>
              <w:rPr>
                <w:color w:val="auto"/>
                <w:sz w:val="24"/>
                <w:szCs w:val="24"/>
                <w:highlight w:val="none"/>
              </w:rPr>
              <w:t>土建施工期噪声具有阶段性、临时性和不固定性，此外本项目施工期使用机械设备种类较少，声压级较低，但在多台机械设备同时作业时，各台设备产生的噪声会产生叠加，根据类比调查，叠加后的噪声增值约为3~8dB。</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color w:val="auto"/>
                <w:sz w:val="24"/>
                <w:szCs w:val="24"/>
                <w:highlight w:val="none"/>
              </w:rPr>
            </w:pPr>
            <w:r>
              <w:rPr>
                <w:color w:val="auto"/>
                <w:sz w:val="24"/>
                <w:szCs w:val="24"/>
                <w:highlight w:val="none"/>
              </w:rPr>
              <w:t>（1）施工期噪声控制标准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color w:val="auto"/>
                <w:sz w:val="24"/>
                <w:szCs w:val="24"/>
                <w:highlight w:val="none"/>
              </w:rPr>
            </w:pPr>
            <w:r>
              <w:rPr>
                <w:color w:val="auto"/>
                <w:sz w:val="24"/>
                <w:szCs w:val="24"/>
                <w:highlight w:val="none"/>
              </w:rPr>
              <w:t>本项目建设期机械设备噪声对环境的影响参照《</w:t>
            </w:r>
            <w:r>
              <w:rPr>
                <w:rFonts w:hint="default" w:ascii="Times New Roman" w:hAnsi="Times New Roman" w:eastAsia="宋体" w:cs="Times New Roman"/>
                <w:color w:val="auto"/>
              </w:rPr>
              <w:t>建筑施工噪声排放标准</w:t>
            </w:r>
            <w:r>
              <w:rPr>
                <w:color w:val="auto"/>
                <w:sz w:val="24"/>
                <w:szCs w:val="24"/>
                <w:highlight w:val="none"/>
              </w:rPr>
              <w:t>》（</w:t>
            </w:r>
            <w:r>
              <w:rPr>
                <w:rFonts w:hint="default" w:ascii="Times New Roman" w:hAnsi="Times New Roman" w:eastAsia="宋体" w:cs="Times New Roman"/>
                <w:color w:val="auto"/>
              </w:rPr>
              <w:t>GB12523-</w:t>
            </w:r>
            <w:r>
              <w:rPr>
                <w:rFonts w:hint="eastAsia" w:cs="Times New Roman"/>
                <w:color w:val="auto"/>
                <w:lang w:val="en-US" w:eastAsia="zh-CN"/>
              </w:rPr>
              <w:t>2025</w:t>
            </w:r>
            <w:r>
              <w:rPr>
                <w:color w:val="auto"/>
                <w:sz w:val="24"/>
                <w:szCs w:val="24"/>
                <w:highlight w:val="none"/>
              </w:rPr>
              <w:t>）标准，其标准限值见表</w:t>
            </w:r>
            <w:r>
              <w:rPr>
                <w:rFonts w:hint="eastAsia"/>
                <w:color w:val="auto"/>
                <w:sz w:val="24"/>
                <w:szCs w:val="24"/>
                <w:highlight w:val="none"/>
                <w:lang w:val="en-US" w:eastAsia="zh-CN"/>
              </w:rPr>
              <w:t>4.6</w:t>
            </w:r>
            <w:r>
              <w:rPr>
                <w:color w:val="auto"/>
                <w:sz w:val="24"/>
                <w:szCs w:val="24"/>
                <w:highlight w:val="none"/>
              </w:rPr>
              <w:t>-1。</w:t>
            </w:r>
          </w:p>
          <w:p>
            <w:pPr>
              <w:pStyle w:val="20"/>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napToGrid w:val="0"/>
                <w:color w:val="auto"/>
                <w:kern w:val="0"/>
                <w:sz w:val="21"/>
                <w:szCs w:val="21"/>
                <w:lang w:val="zh-CN" w:eastAsia="zh-CN" w:bidi="ar-SA"/>
                <w14:ligatures w14:val="none"/>
              </w:rPr>
            </w:pPr>
            <w:r>
              <w:rPr>
                <w:rFonts w:hint="default" w:ascii="Times New Roman" w:hAnsi="Times New Roman" w:eastAsia="宋体" w:cs="Times New Roman"/>
                <w:b/>
                <w:bCs/>
                <w:snapToGrid w:val="0"/>
                <w:color w:val="auto"/>
                <w:kern w:val="0"/>
                <w:sz w:val="21"/>
                <w:szCs w:val="21"/>
                <w:lang w:val="zh-CN" w:eastAsia="zh-CN" w:bidi="ar-SA"/>
                <w14:ligatures w14:val="none"/>
              </w:rPr>
              <w:t>表</w:t>
            </w:r>
            <w:r>
              <w:rPr>
                <w:rFonts w:hint="default" w:ascii="Times New Roman" w:hAnsi="Times New Roman" w:eastAsia="宋体" w:cs="Times New Roman"/>
                <w:b/>
                <w:bCs/>
                <w:snapToGrid w:val="0"/>
                <w:color w:val="auto"/>
                <w:kern w:val="0"/>
                <w:sz w:val="21"/>
                <w:szCs w:val="21"/>
                <w:lang w:val="en-US" w:eastAsia="zh-CN" w:bidi="ar-SA"/>
                <w14:ligatures w14:val="none"/>
              </w:rPr>
              <w:t>4</w:t>
            </w:r>
            <w:r>
              <w:rPr>
                <w:rFonts w:hint="eastAsia" w:ascii="Times New Roman" w:hAnsi="Times New Roman" w:eastAsia="宋体" w:cs="Times New Roman"/>
                <w:b/>
                <w:bCs/>
                <w:snapToGrid w:val="0"/>
                <w:color w:val="auto"/>
                <w:kern w:val="0"/>
                <w:sz w:val="21"/>
                <w:szCs w:val="21"/>
                <w:lang w:val="en-US" w:eastAsia="zh-CN" w:bidi="ar-SA"/>
                <w14:ligatures w14:val="none"/>
              </w:rPr>
              <w:t>.6</w:t>
            </w:r>
            <w:r>
              <w:rPr>
                <w:rFonts w:hint="default" w:ascii="Times New Roman" w:hAnsi="Times New Roman" w:eastAsia="宋体" w:cs="Times New Roman"/>
                <w:b/>
                <w:bCs/>
                <w:snapToGrid w:val="0"/>
                <w:color w:val="auto"/>
                <w:kern w:val="0"/>
                <w:sz w:val="21"/>
                <w:szCs w:val="21"/>
                <w:lang w:val="zh-CN" w:eastAsia="zh-CN" w:bidi="ar-SA"/>
                <w14:ligatures w14:val="none"/>
              </w:rPr>
              <w:t>-1  建筑施工噪声排放标准限值（GB12523-20</w:t>
            </w:r>
            <w:r>
              <w:rPr>
                <w:rFonts w:hint="eastAsia" w:cs="Times New Roman"/>
                <w:b/>
                <w:bCs/>
                <w:snapToGrid w:val="0"/>
                <w:color w:val="auto"/>
                <w:kern w:val="0"/>
                <w:sz w:val="21"/>
                <w:szCs w:val="21"/>
                <w:lang w:val="en-US" w:eastAsia="zh-CN" w:bidi="ar-SA"/>
                <w14:ligatures w14:val="none"/>
              </w:rPr>
              <w:t>25</w:t>
            </w:r>
            <w:r>
              <w:rPr>
                <w:rFonts w:hint="default" w:ascii="Times New Roman" w:hAnsi="Times New Roman" w:eastAsia="宋体" w:cs="Times New Roman"/>
                <w:b/>
                <w:bCs/>
                <w:snapToGrid w:val="0"/>
                <w:color w:val="auto"/>
                <w:kern w:val="0"/>
                <w:sz w:val="21"/>
                <w:szCs w:val="21"/>
                <w:lang w:val="zh-CN" w:eastAsia="zh-CN" w:bidi="ar-SA"/>
                <w14:ligatures w14:val="none"/>
              </w:rPr>
              <w:t>）</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3"/>
              <w:gridCol w:w="3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474" w:type="pct"/>
                  <w:noWrap w:val="0"/>
                  <w:vAlign w:val="center"/>
                </w:tcPr>
                <w:p>
                  <w:pPr>
                    <w:pStyle w:val="67"/>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auto"/>
                      <w:sz w:val="21"/>
                      <w:szCs w:val="21"/>
                      <w:highlight w:val="none"/>
                      <w:lang w:val="en-US" w:eastAsia="zh-CN"/>
                    </w:rPr>
                  </w:pPr>
                  <w:r>
                    <w:rPr>
                      <w:rFonts w:hint="eastAsia" w:ascii="Times New Roman" w:hAnsi="Times New Roman" w:eastAsia="宋体" w:cs="Times New Roman"/>
                      <w:b w:val="0"/>
                      <w:color w:val="auto"/>
                      <w:sz w:val="21"/>
                      <w:szCs w:val="21"/>
                      <w:highlight w:val="none"/>
                      <w:lang w:val="en-US" w:eastAsia="zh-CN"/>
                    </w:rPr>
                    <w:t>昼间dB(A)</w:t>
                  </w:r>
                </w:p>
              </w:tc>
              <w:tc>
                <w:tcPr>
                  <w:tcW w:w="2525" w:type="pct"/>
                  <w:noWrap w:val="0"/>
                  <w:vAlign w:val="center"/>
                </w:tcPr>
                <w:p>
                  <w:pPr>
                    <w:pStyle w:val="67"/>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auto"/>
                      <w:sz w:val="21"/>
                      <w:szCs w:val="21"/>
                      <w:highlight w:val="none"/>
                      <w:lang w:val="en-US" w:eastAsia="zh-CN"/>
                    </w:rPr>
                  </w:pPr>
                  <w:r>
                    <w:rPr>
                      <w:rFonts w:hint="eastAsia" w:ascii="Times New Roman" w:hAnsi="Times New Roman" w:eastAsia="宋体" w:cs="Times New Roman"/>
                      <w:b w:val="0"/>
                      <w:color w:val="auto"/>
                      <w:sz w:val="21"/>
                      <w:szCs w:val="21"/>
                      <w:highlight w:val="none"/>
                      <w:lang w:val="en-US" w:eastAsia="zh-CN"/>
                    </w:rPr>
                    <w:t>夜间dB(A)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74" w:type="pct"/>
                  <w:noWrap w:val="0"/>
                  <w:vAlign w:val="center"/>
                </w:tcPr>
                <w:p>
                  <w:pPr>
                    <w:pStyle w:val="67"/>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auto"/>
                      <w:sz w:val="21"/>
                      <w:szCs w:val="21"/>
                      <w:highlight w:val="none"/>
                      <w:lang w:val="en-US" w:eastAsia="zh-CN"/>
                    </w:rPr>
                  </w:pPr>
                  <w:r>
                    <w:rPr>
                      <w:rFonts w:hint="eastAsia" w:ascii="Times New Roman" w:hAnsi="Times New Roman" w:eastAsia="宋体" w:cs="Times New Roman"/>
                      <w:b w:val="0"/>
                      <w:color w:val="auto"/>
                      <w:sz w:val="21"/>
                      <w:szCs w:val="21"/>
                      <w:highlight w:val="none"/>
                      <w:lang w:val="en-US" w:eastAsia="zh-CN"/>
                    </w:rPr>
                    <w:t>70</w:t>
                  </w:r>
                </w:p>
              </w:tc>
              <w:tc>
                <w:tcPr>
                  <w:tcW w:w="2525" w:type="pct"/>
                  <w:noWrap w:val="0"/>
                  <w:vAlign w:val="center"/>
                </w:tcPr>
                <w:p>
                  <w:pPr>
                    <w:pStyle w:val="67"/>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auto"/>
                      <w:sz w:val="21"/>
                      <w:szCs w:val="21"/>
                      <w:highlight w:val="none"/>
                      <w:lang w:val="en-US" w:eastAsia="zh-CN"/>
                    </w:rPr>
                  </w:pPr>
                  <w:r>
                    <w:rPr>
                      <w:rFonts w:hint="eastAsia" w:ascii="Times New Roman" w:hAnsi="Times New Roman" w:eastAsia="宋体" w:cs="Times New Roman"/>
                      <w:b w:val="0"/>
                      <w:color w:val="auto"/>
                      <w:sz w:val="21"/>
                      <w:szCs w:val="21"/>
                      <w:highlight w:val="none"/>
                      <w:lang w:val="en-US" w:eastAsia="zh-CN"/>
                    </w:rPr>
                    <w:t>55</w:t>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color w:val="auto"/>
                <w:sz w:val="24"/>
                <w:szCs w:val="24"/>
                <w:highlight w:val="none"/>
              </w:rPr>
            </w:pPr>
            <w:r>
              <w:rPr>
                <w:color w:val="auto"/>
                <w:sz w:val="24"/>
                <w:szCs w:val="24"/>
                <w:highlight w:val="none"/>
              </w:rPr>
              <w:t>（2）施工期噪声衰减情况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color w:val="auto"/>
                <w:sz w:val="24"/>
                <w:szCs w:val="24"/>
                <w:highlight w:val="none"/>
              </w:rPr>
            </w:pPr>
            <w:r>
              <w:rPr>
                <w:color w:val="auto"/>
                <w:sz w:val="24"/>
                <w:szCs w:val="24"/>
                <w:highlight w:val="none"/>
              </w:rPr>
              <w:t>由于本工程非特殊工程，不需特殊的施工机械，施工过</w:t>
            </w:r>
            <w:r>
              <w:rPr>
                <w:rFonts w:hint="eastAsia"/>
                <w:color w:val="auto"/>
                <w:sz w:val="24"/>
                <w:szCs w:val="24"/>
                <w:highlight w:val="none"/>
                <w:lang w:eastAsia="zh-CN"/>
              </w:rPr>
              <w:t>程中</w:t>
            </w:r>
            <w:r>
              <w:rPr>
                <w:color w:val="auto"/>
                <w:sz w:val="24"/>
                <w:szCs w:val="24"/>
                <w:highlight w:val="none"/>
              </w:rPr>
              <w:t>产生的噪声主要属于中低频噪声，因此在预测其影响时可单独考虑其扩散衰减，即预模型可选用：</w:t>
            </w:r>
          </w:p>
          <w:p>
            <w:pPr>
              <w:keepNext w:val="0"/>
              <w:keepLines w:val="0"/>
              <w:pageBreakBefore w:val="0"/>
              <w:widowControl w:val="0"/>
              <w:kinsoku/>
              <w:wordWrap/>
              <w:overflowPunct/>
              <w:topLinePunct w:val="0"/>
              <w:autoSpaceDE/>
              <w:autoSpaceDN/>
              <w:bidi w:val="0"/>
              <w:adjustRightInd/>
              <w:snapToGrid/>
              <w:spacing w:line="500" w:lineRule="exact"/>
              <w:ind w:firstLine="1200" w:firstLineChars="500"/>
              <w:jc w:val="both"/>
              <w:textAlignment w:val="auto"/>
              <w:rPr>
                <w:color w:val="auto"/>
                <w:sz w:val="24"/>
                <w:szCs w:val="24"/>
                <w:highlight w:val="none"/>
              </w:rPr>
            </w:pPr>
            <w:r>
              <w:rPr>
                <w:color w:val="auto"/>
                <w:sz w:val="24"/>
                <w:szCs w:val="24"/>
                <w:highlight w:val="none"/>
              </w:rPr>
              <w:t>L</w:t>
            </w:r>
            <w:r>
              <w:rPr>
                <w:color w:val="auto"/>
                <w:sz w:val="24"/>
                <w:szCs w:val="24"/>
                <w:highlight w:val="none"/>
                <w:vertAlign w:val="subscript"/>
              </w:rPr>
              <w:t>2</w:t>
            </w:r>
            <w:r>
              <w:rPr>
                <w:color w:val="auto"/>
                <w:sz w:val="24"/>
                <w:szCs w:val="24"/>
                <w:highlight w:val="none"/>
              </w:rPr>
              <w:t>=L</w:t>
            </w:r>
            <w:r>
              <w:rPr>
                <w:color w:val="auto"/>
                <w:sz w:val="24"/>
                <w:szCs w:val="24"/>
                <w:highlight w:val="none"/>
                <w:vertAlign w:val="subscript"/>
              </w:rPr>
              <w:t>1</w:t>
            </w:r>
            <w:r>
              <w:rPr>
                <w:color w:val="auto"/>
                <w:sz w:val="24"/>
                <w:szCs w:val="24"/>
                <w:highlight w:val="none"/>
              </w:rPr>
              <w:t>-20lgr</w:t>
            </w:r>
            <w:r>
              <w:rPr>
                <w:color w:val="auto"/>
                <w:sz w:val="24"/>
                <w:szCs w:val="24"/>
                <w:highlight w:val="none"/>
                <w:vertAlign w:val="subscript"/>
              </w:rPr>
              <w:t>2</w:t>
            </w:r>
            <w:r>
              <w:rPr>
                <w:color w:val="auto"/>
                <w:sz w:val="24"/>
                <w:szCs w:val="24"/>
                <w:highlight w:val="none"/>
              </w:rPr>
              <w:t>/r</w:t>
            </w:r>
            <w:r>
              <w:rPr>
                <w:color w:val="auto"/>
                <w:sz w:val="24"/>
                <w:szCs w:val="24"/>
                <w:highlight w:val="none"/>
                <w:vertAlign w:val="subscript"/>
              </w:rPr>
              <w:t>1</w:t>
            </w:r>
            <w:r>
              <w:rPr>
                <w:color w:val="auto"/>
                <w:sz w:val="24"/>
                <w:szCs w:val="24"/>
                <w:highlight w:val="none"/>
              </w:rPr>
              <w:t xml:space="preserve"> (r</w:t>
            </w:r>
            <w:r>
              <w:rPr>
                <w:color w:val="auto"/>
                <w:sz w:val="24"/>
                <w:szCs w:val="24"/>
                <w:highlight w:val="none"/>
                <w:vertAlign w:val="subscript"/>
              </w:rPr>
              <w:t>2</w:t>
            </w:r>
            <w:r>
              <w:rPr>
                <w:color w:val="auto"/>
                <w:sz w:val="24"/>
                <w:szCs w:val="24"/>
                <w:highlight w:val="none"/>
              </w:rPr>
              <w:t>&gt;r</w:t>
            </w:r>
            <w:r>
              <w:rPr>
                <w:color w:val="auto"/>
                <w:sz w:val="24"/>
                <w:szCs w:val="24"/>
                <w:highlight w:val="none"/>
                <w:vertAlign w:val="subscript"/>
              </w:rPr>
              <w:t>1</w:t>
            </w:r>
            <w:r>
              <w:rPr>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color w:val="auto"/>
                <w:sz w:val="24"/>
                <w:szCs w:val="24"/>
                <w:highlight w:val="none"/>
              </w:rPr>
            </w:pPr>
            <w:r>
              <w:rPr>
                <w:color w:val="auto"/>
                <w:sz w:val="24"/>
                <w:szCs w:val="24"/>
                <w:highlight w:val="none"/>
              </w:rPr>
              <w:t>式中：L</w:t>
            </w:r>
            <w:r>
              <w:rPr>
                <w:color w:val="auto"/>
                <w:sz w:val="24"/>
                <w:szCs w:val="24"/>
                <w:highlight w:val="none"/>
                <w:vertAlign w:val="subscript"/>
              </w:rPr>
              <w:t>1</w:t>
            </w:r>
            <w:r>
              <w:rPr>
                <w:color w:val="auto"/>
                <w:sz w:val="24"/>
                <w:szCs w:val="24"/>
                <w:highlight w:val="none"/>
              </w:rPr>
              <w:t>、L</w:t>
            </w:r>
            <w:r>
              <w:rPr>
                <w:color w:val="auto"/>
                <w:sz w:val="24"/>
                <w:szCs w:val="24"/>
                <w:highlight w:val="none"/>
                <w:vertAlign w:val="subscript"/>
              </w:rPr>
              <w:t>2</w:t>
            </w:r>
            <w:r>
              <w:rPr>
                <w:color w:val="auto"/>
                <w:sz w:val="24"/>
                <w:szCs w:val="24"/>
                <w:highlight w:val="none"/>
              </w:rPr>
              <w:t>分别为距声源r</w:t>
            </w:r>
            <w:r>
              <w:rPr>
                <w:color w:val="auto"/>
                <w:sz w:val="24"/>
                <w:szCs w:val="24"/>
                <w:highlight w:val="none"/>
                <w:vertAlign w:val="subscript"/>
              </w:rPr>
              <w:t>1</w:t>
            </w:r>
            <w:r>
              <w:rPr>
                <w:color w:val="auto"/>
                <w:sz w:val="24"/>
                <w:szCs w:val="24"/>
                <w:highlight w:val="none"/>
              </w:rPr>
              <w:t>、r</w:t>
            </w:r>
            <w:r>
              <w:rPr>
                <w:color w:val="auto"/>
                <w:sz w:val="24"/>
                <w:szCs w:val="24"/>
                <w:highlight w:val="none"/>
                <w:vertAlign w:val="subscript"/>
              </w:rPr>
              <w:t>2</w:t>
            </w:r>
            <w:r>
              <w:rPr>
                <w:color w:val="auto"/>
                <w:sz w:val="24"/>
                <w:szCs w:val="24"/>
                <w:highlight w:val="none"/>
              </w:rPr>
              <w:t xml:space="preserve"> 处的等效A 声级，dB（A）；</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color w:val="auto"/>
                <w:sz w:val="24"/>
                <w:szCs w:val="24"/>
                <w:highlight w:val="none"/>
              </w:rPr>
            </w:pPr>
            <w:r>
              <w:rPr>
                <w:color w:val="auto"/>
                <w:sz w:val="24"/>
                <w:szCs w:val="24"/>
                <w:highlight w:val="none"/>
              </w:rPr>
              <w:t>r</w:t>
            </w:r>
            <w:r>
              <w:rPr>
                <w:color w:val="auto"/>
                <w:sz w:val="24"/>
                <w:szCs w:val="24"/>
                <w:highlight w:val="none"/>
                <w:vertAlign w:val="subscript"/>
              </w:rPr>
              <w:t>1</w:t>
            </w:r>
            <w:r>
              <w:rPr>
                <w:color w:val="auto"/>
                <w:sz w:val="24"/>
                <w:szCs w:val="24"/>
                <w:highlight w:val="none"/>
              </w:rPr>
              <w:t>、r</w:t>
            </w:r>
            <w:r>
              <w:rPr>
                <w:color w:val="auto"/>
                <w:sz w:val="24"/>
                <w:szCs w:val="24"/>
                <w:highlight w:val="none"/>
                <w:vertAlign w:val="subscript"/>
              </w:rPr>
              <w:t>2</w:t>
            </w:r>
            <w:r>
              <w:rPr>
                <w:color w:val="auto"/>
                <w:sz w:val="24"/>
                <w:szCs w:val="24"/>
                <w:highlight w:val="none"/>
              </w:rPr>
              <w:t>为</w:t>
            </w:r>
            <w:r>
              <w:rPr>
                <w:rFonts w:hint="eastAsia"/>
                <w:color w:val="auto"/>
                <w:sz w:val="24"/>
                <w:szCs w:val="24"/>
                <w:highlight w:val="none"/>
                <w:lang w:eastAsia="zh-CN"/>
              </w:rPr>
              <w:t>接收点</w:t>
            </w:r>
            <w:r>
              <w:rPr>
                <w:color w:val="auto"/>
                <w:sz w:val="24"/>
                <w:szCs w:val="24"/>
                <w:highlight w:val="none"/>
              </w:rPr>
              <w:t>距声源的距离，m。</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color w:val="auto"/>
                <w:sz w:val="24"/>
                <w:szCs w:val="24"/>
                <w:highlight w:val="none"/>
              </w:rPr>
            </w:pPr>
            <w:r>
              <w:rPr>
                <w:color w:val="auto"/>
                <w:sz w:val="24"/>
                <w:szCs w:val="24"/>
                <w:highlight w:val="none"/>
              </w:rPr>
              <w:t>由上式可推出噪声随距离增加而衰减的量△L：</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color w:val="auto"/>
                <w:sz w:val="24"/>
                <w:szCs w:val="24"/>
                <w:highlight w:val="none"/>
              </w:rPr>
            </w:pPr>
            <w:r>
              <w:rPr>
                <w:color w:val="auto"/>
                <w:sz w:val="24"/>
                <w:szCs w:val="24"/>
                <w:highlight w:val="none"/>
              </w:rPr>
              <w:t>△L=L</w:t>
            </w:r>
            <w:r>
              <w:rPr>
                <w:color w:val="auto"/>
                <w:sz w:val="24"/>
                <w:szCs w:val="24"/>
                <w:highlight w:val="none"/>
                <w:vertAlign w:val="subscript"/>
              </w:rPr>
              <w:t>1</w:t>
            </w:r>
            <w:r>
              <w:rPr>
                <w:color w:val="auto"/>
                <w:sz w:val="24"/>
                <w:szCs w:val="24"/>
                <w:highlight w:val="none"/>
              </w:rPr>
              <w:t>-L</w:t>
            </w:r>
            <w:r>
              <w:rPr>
                <w:color w:val="auto"/>
                <w:sz w:val="24"/>
                <w:szCs w:val="24"/>
                <w:highlight w:val="none"/>
                <w:vertAlign w:val="subscript"/>
              </w:rPr>
              <w:t>2</w:t>
            </w:r>
            <w:r>
              <w:rPr>
                <w:color w:val="auto"/>
                <w:sz w:val="24"/>
                <w:szCs w:val="24"/>
                <w:highlight w:val="none"/>
              </w:rPr>
              <w:t>=20lgr</w:t>
            </w:r>
            <w:r>
              <w:rPr>
                <w:color w:val="auto"/>
                <w:sz w:val="24"/>
                <w:szCs w:val="24"/>
                <w:highlight w:val="none"/>
                <w:vertAlign w:val="subscript"/>
              </w:rPr>
              <w:t>2</w:t>
            </w:r>
            <w:r>
              <w:rPr>
                <w:color w:val="auto"/>
                <w:sz w:val="24"/>
                <w:szCs w:val="24"/>
                <w:highlight w:val="none"/>
              </w:rPr>
              <w:t>/r</w:t>
            </w:r>
            <w:r>
              <w:rPr>
                <w:color w:val="auto"/>
                <w:sz w:val="24"/>
                <w:szCs w:val="24"/>
                <w:highlight w:val="none"/>
                <w:vertAlign w:val="subscript"/>
              </w:rPr>
              <w:t>1</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color w:val="auto"/>
                <w:sz w:val="24"/>
                <w:szCs w:val="24"/>
                <w:highlight w:val="none"/>
              </w:rPr>
            </w:pPr>
            <w:r>
              <w:rPr>
                <w:color w:val="auto"/>
                <w:sz w:val="24"/>
                <w:szCs w:val="24"/>
                <w:highlight w:val="none"/>
              </w:rPr>
              <w:t>经计算，噪声值随距离</w:t>
            </w:r>
            <w:r>
              <w:rPr>
                <w:rFonts w:hint="eastAsia"/>
                <w:color w:val="auto"/>
                <w:sz w:val="24"/>
                <w:szCs w:val="24"/>
                <w:highlight w:val="none"/>
                <w:lang w:eastAsia="zh-CN"/>
              </w:rPr>
              <w:t>衰减的结果</w:t>
            </w:r>
            <w:r>
              <w:rPr>
                <w:color w:val="auto"/>
                <w:sz w:val="24"/>
                <w:szCs w:val="24"/>
                <w:highlight w:val="none"/>
              </w:rPr>
              <w:t>见表</w:t>
            </w:r>
            <w:r>
              <w:rPr>
                <w:rFonts w:hint="eastAsia"/>
                <w:color w:val="auto"/>
                <w:sz w:val="24"/>
                <w:szCs w:val="24"/>
                <w:highlight w:val="none"/>
                <w:lang w:val="en-US" w:eastAsia="zh-CN"/>
              </w:rPr>
              <w:t>4.6-2</w:t>
            </w:r>
            <w:r>
              <w:rPr>
                <w:color w:val="auto"/>
                <w:sz w:val="24"/>
                <w:szCs w:val="24"/>
                <w:highlight w:val="none"/>
              </w:rPr>
              <w:t>。</w:t>
            </w:r>
          </w:p>
          <w:p>
            <w:pPr>
              <w:pStyle w:val="20"/>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napToGrid w:val="0"/>
                <w:color w:val="auto"/>
                <w:kern w:val="0"/>
                <w:sz w:val="21"/>
                <w:szCs w:val="21"/>
                <w:lang w:val="en-US" w:eastAsia="zh-CN" w:bidi="ar-SA"/>
                <w14:ligatures w14:val="none"/>
              </w:rPr>
            </w:pPr>
            <w:r>
              <w:rPr>
                <w:rFonts w:hint="default" w:ascii="Times New Roman" w:hAnsi="Times New Roman" w:eastAsia="宋体" w:cs="Times New Roman"/>
                <w:b/>
                <w:bCs/>
                <w:snapToGrid w:val="0"/>
                <w:color w:val="auto"/>
                <w:kern w:val="0"/>
                <w:sz w:val="21"/>
                <w:szCs w:val="21"/>
                <w:lang w:val="en-US" w:eastAsia="zh-CN" w:bidi="ar-SA"/>
                <w14:ligatures w14:val="none"/>
              </w:rPr>
              <w:t>表</w:t>
            </w:r>
            <w:r>
              <w:rPr>
                <w:rFonts w:hint="eastAsia" w:ascii="Times New Roman" w:hAnsi="Times New Roman" w:eastAsia="宋体" w:cs="Times New Roman"/>
                <w:b/>
                <w:bCs/>
                <w:snapToGrid w:val="0"/>
                <w:color w:val="auto"/>
                <w:kern w:val="0"/>
                <w:sz w:val="21"/>
                <w:szCs w:val="21"/>
                <w:lang w:val="en-US" w:eastAsia="zh-CN" w:bidi="ar-SA"/>
                <w14:ligatures w14:val="none"/>
              </w:rPr>
              <w:t>4.6-</w:t>
            </w:r>
            <w:r>
              <w:rPr>
                <w:rFonts w:hint="default" w:ascii="Times New Roman" w:hAnsi="Times New Roman" w:eastAsia="宋体" w:cs="Times New Roman"/>
                <w:b/>
                <w:bCs/>
                <w:snapToGrid w:val="0"/>
                <w:color w:val="auto"/>
                <w:kern w:val="0"/>
                <w:sz w:val="21"/>
                <w:szCs w:val="21"/>
                <w:lang w:val="en-US" w:eastAsia="zh-CN" w:bidi="ar-SA"/>
                <w14:ligatures w14:val="none"/>
              </w:rPr>
              <w:t>2</w:t>
            </w:r>
            <w:r>
              <w:rPr>
                <w:rFonts w:hint="eastAsia" w:ascii="Times New Roman" w:hAnsi="Times New Roman" w:eastAsia="宋体" w:cs="Times New Roman"/>
                <w:b/>
                <w:bCs/>
                <w:snapToGrid w:val="0"/>
                <w:color w:val="auto"/>
                <w:kern w:val="0"/>
                <w:sz w:val="21"/>
                <w:szCs w:val="21"/>
                <w:lang w:val="en-US" w:eastAsia="zh-CN" w:bidi="ar-SA"/>
                <w14:ligatures w14:val="none"/>
              </w:rPr>
              <w:t xml:space="preserve"> </w:t>
            </w:r>
            <w:r>
              <w:rPr>
                <w:rFonts w:hint="default" w:ascii="Times New Roman" w:hAnsi="Times New Roman" w:eastAsia="宋体" w:cs="Times New Roman"/>
                <w:b/>
                <w:bCs/>
                <w:snapToGrid w:val="0"/>
                <w:color w:val="auto"/>
                <w:kern w:val="0"/>
                <w:sz w:val="21"/>
                <w:szCs w:val="21"/>
                <w:lang w:val="en-US" w:eastAsia="zh-CN" w:bidi="ar-SA"/>
                <w14:ligatures w14:val="none"/>
              </w:rPr>
              <w:t xml:space="preserve">  噪声值随距离的衰减关系</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819"/>
              <w:gridCol w:w="690"/>
              <w:gridCol w:w="1001"/>
              <w:gridCol w:w="1000"/>
              <w:gridCol w:w="1001"/>
              <w:gridCol w:w="1002"/>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47"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距离(m)</w:t>
                  </w:r>
                </w:p>
              </w:tc>
              <w:tc>
                <w:tcPr>
                  <w:tcW w:w="52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440"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w:t>
                  </w:r>
                </w:p>
              </w:tc>
              <w:tc>
                <w:tcPr>
                  <w:tcW w:w="638"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50</w:t>
                  </w:r>
                </w:p>
              </w:tc>
              <w:tc>
                <w:tcPr>
                  <w:tcW w:w="637"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100</w:t>
                  </w:r>
                </w:p>
              </w:tc>
              <w:tc>
                <w:tcPr>
                  <w:tcW w:w="638"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150</w:t>
                  </w:r>
                </w:p>
              </w:tc>
              <w:tc>
                <w:tcPr>
                  <w:tcW w:w="638"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200</w:t>
                  </w:r>
                </w:p>
              </w:tc>
              <w:tc>
                <w:tcPr>
                  <w:tcW w:w="638"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7"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△L dB(A)</w:t>
                  </w:r>
                </w:p>
              </w:tc>
              <w:tc>
                <w:tcPr>
                  <w:tcW w:w="52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440"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w:t>
                  </w:r>
                </w:p>
              </w:tc>
              <w:tc>
                <w:tcPr>
                  <w:tcW w:w="638"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34</w:t>
                  </w:r>
                </w:p>
              </w:tc>
              <w:tc>
                <w:tcPr>
                  <w:tcW w:w="637"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40</w:t>
                  </w:r>
                </w:p>
              </w:tc>
              <w:tc>
                <w:tcPr>
                  <w:tcW w:w="638"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43</w:t>
                  </w:r>
                </w:p>
              </w:tc>
              <w:tc>
                <w:tcPr>
                  <w:tcW w:w="638"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46</w:t>
                  </w:r>
                </w:p>
              </w:tc>
              <w:tc>
                <w:tcPr>
                  <w:tcW w:w="638"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57</w:t>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b/>
                <w:color w:val="auto"/>
                <w:sz w:val="21"/>
                <w:szCs w:val="21"/>
                <w:highlight w:val="none"/>
              </w:rPr>
            </w:pPr>
            <w:r>
              <w:rPr>
                <w:rFonts w:ascii="Times New Roman" w:hAnsi="Times New Roman" w:eastAsia="宋体" w:cs="Times New Roman"/>
                <w:color w:val="auto"/>
                <w:sz w:val="24"/>
                <w:szCs w:val="24"/>
                <w:highlight w:val="none"/>
              </w:rPr>
              <w:t>参照设备噪声声压级，各阶段均以噪声最高的设备计算，在不考虑沿途吸声、隔声措施的前提下，工程施工噪声随距离衰减后的结果如表</w:t>
            </w:r>
            <w:r>
              <w:rPr>
                <w:rFonts w:hint="eastAsia" w:ascii="Times New Roman" w:hAnsi="Times New Roman" w:eastAsia="宋体" w:cs="Times New Roman"/>
                <w:color w:val="auto"/>
                <w:sz w:val="24"/>
                <w:szCs w:val="24"/>
                <w:highlight w:val="none"/>
                <w:lang w:val="en-US" w:eastAsia="zh-CN"/>
              </w:rPr>
              <w:t>4</w:t>
            </w:r>
            <w:r>
              <w:rPr>
                <w:rFonts w:hint="eastAsia" w:cs="Times New Roman"/>
                <w:color w:val="auto"/>
                <w:sz w:val="24"/>
                <w:szCs w:val="24"/>
                <w:highlight w:val="none"/>
                <w:lang w:val="en-US" w:eastAsia="zh-CN"/>
              </w:rPr>
              <w:t>.6-3</w:t>
            </w:r>
            <w:r>
              <w:rPr>
                <w:rFonts w:ascii="Times New Roman" w:hAnsi="Times New Roman" w:eastAsia="宋体" w:cs="Times New Roman"/>
                <w:color w:val="auto"/>
                <w:sz w:val="24"/>
                <w:szCs w:val="24"/>
                <w:highlight w:val="none"/>
              </w:rPr>
              <w:t>所示。</w:t>
            </w:r>
          </w:p>
          <w:p>
            <w:pPr>
              <w:pStyle w:val="20"/>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napToGrid w:val="0"/>
                <w:color w:val="auto"/>
                <w:kern w:val="0"/>
                <w:sz w:val="21"/>
                <w:szCs w:val="21"/>
                <w:lang w:val="en-US" w:eastAsia="zh-CN" w:bidi="ar-SA"/>
                <w14:ligatures w14:val="none"/>
              </w:rPr>
            </w:pPr>
            <w:r>
              <w:rPr>
                <w:rFonts w:hint="default" w:ascii="Times New Roman" w:hAnsi="Times New Roman" w:eastAsia="宋体" w:cs="Times New Roman"/>
                <w:b/>
                <w:bCs/>
                <w:snapToGrid w:val="0"/>
                <w:color w:val="auto"/>
                <w:kern w:val="0"/>
                <w:sz w:val="21"/>
                <w:szCs w:val="21"/>
                <w:lang w:val="en-US" w:eastAsia="zh-CN" w:bidi="ar-SA"/>
                <w14:ligatures w14:val="none"/>
              </w:rPr>
              <w:t>表</w:t>
            </w:r>
            <w:r>
              <w:rPr>
                <w:rFonts w:hint="eastAsia" w:ascii="Times New Roman" w:hAnsi="Times New Roman" w:eastAsia="宋体" w:cs="Times New Roman"/>
                <w:b/>
                <w:bCs/>
                <w:snapToGrid w:val="0"/>
                <w:color w:val="auto"/>
                <w:kern w:val="0"/>
                <w:sz w:val="21"/>
                <w:szCs w:val="21"/>
                <w:lang w:val="en-US" w:eastAsia="zh-CN" w:bidi="ar-SA"/>
                <w14:ligatures w14:val="none"/>
              </w:rPr>
              <w:t xml:space="preserve">4.6-3 </w:t>
            </w:r>
            <w:r>
              <w:rPr>
                <w:rFonts w:hint="default" w:ascii="Times New Roman" w:hAnsi="Times New Roman" w:eastAsia="宋体" w:cs="Times New Roman"/>
                <w:b/>
                <w:bCs/>
                <w:snapToGrid w:val="0"/>
                <w:color w:val="auto"/>
                <w:kern w:val="0"/>
                <w:sz w:val="21"/>
                <w:szCs w:val="21"/>
                <w:lang w:val="en-US" w:eastAsia="zh-CN" w:bidi="ar-SA"/>
                <w14:ligatures w14:val="none"/>
              </w:rPr>
              <w:t xml:space="preserve">  施工噪声值随距离的衰减值</w:t>
            </w:r>
          </w:p>
          <w:tbl>
            <w:tblPr>
              <w:tblStyle w:val="26"/>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56"/>
              <w:gridCol w:w="1418"/>
              <w:gridCol w:w="896"/>
              <w:gridCol w:w="871"/>
              <w:gridCol w:w="920"/>
              <w:gridCol w:w="896"/>
              <w:gridCol w:w="1094"/>
              <w:gridCol w:w="78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阶段</w:t>
                  </w:r>
                </w:p>
              </w:tc>
              <w:tc>
                <w:tcPr>
                  <w:tcW w:w="904"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距离（m）</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声源值dB(A)</w:t>
                  </w:r>
                </w:p>
              </w:tc>
              <w:tc>
                <w:tcPr>
                  <w:tcW w:w="57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w:t>
                  </w:r>
                </w:p>
              </w:tc>
              <w:tc>
                <w:tcPr>
                  <w:tcW w:w="55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50</w:t>
                  </w:r>
                </w:p>
              </w:tc>
              <w:tc>
                <w:tcPr>
                  <w:tcW w:w="586"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100</w:t>
                  </w:r>
                </w:p>
              </w:tc>
              <w:tc>
                <w:tcPr>
                  <w:tcW w:w="57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150</w:t>
                  </w:r>
                </w:p>
              </w:tc>
              <w:tc>
                <w:tcPr>
                  <w:tcW w:w="697"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200</w:t>
                  </w:r>
                </w:p>
              </w:tc>
              <w:tc>
                <w:tcPr>
                  <w:tcW w:w="503"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土方</w:t>
                  </w:r>
                </w:p>
              </w:tc>
              <w:tc>
                <w:tcPr>
                  <w:tcW w:w="904"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推土机</w:t>
                  </w:r>
                </w:p>
              </w:tc>
              <w:tc>
                <w:tcPr>
                  <w:tcW w:w="57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85</w:t>
                  </w:r>
                </w:p>
              </w:tc>
              <w:tc>
                <w:tcPr>
                  <w:tcW w:w="55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71</w:t>
                  </w:r>
                </w:p>
              </w:tc>
              <w:tc>
                <w:tcPr>
                  <w:tcW w:w="586"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65</w:t>
                  </w:r>
                </w:p>
              </w:tc>
              <w:tc>
                <w:tcPr>
                  <w:tcW w:w="57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62</w:t>
                  </w:r>
                </w:p>
              </w:tc>
              <w:tc>
                <w:tcPr>
                  <w:tcW w:w="697"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59</w:t>
                  </w:r>
                </w:p>
              </w:tc>
              <w:tc>
                <w:tcPr>
                  <w:tcW w:w="503"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结构</w:t>
                  </w:r>
                </w:p>
              </w:tc>
              <w:tc>
                <w:tcPr>
                  <w:tcW w:w="904"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电锯</w:t>
                  </w:r>
                </w:p>
              </w:tc>
              <w:tc>
                <w:tcPr>
                  <w:tcW w:w="57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95</w:t>
                  </w:r>
                </w:p>
              </w:tc>
              <w:tc>
                <w:tcPr>
                  <w:tcW w:w="55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81</w:t>
                  </w:r>
                </w:p>
              </w:tc>
              <w:tc>
                <w:tcPr>
                  <w:tcW w:w="586"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75</w:t>
                  </w:r>
                </w:p>
              </w:tc>
              <w:tc>
                <w:tcPr>
                  <w:tcW w:w="57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72</w:t>
                  </w:r>
                </w:p>
              </w:tc>
              <w:tc>
                <w:tcPr>
                  <w:tcW w:w="697"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69</w:t>
                  </w:r>
                </w:p>
              </w:tc>
              <w:tc>
                <w:tcPr>
                  <w:tcW w:w="503"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装修</w:t>
                  </w:r>
                </w:p>
              </w:tc>
              <w:tc>
                <w:tcPr>
                  <w:tcW w:w="904"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电锤</w:t>
                  </w:r>
                </w:p>
              </w:tc>
              <w:tc>
                <w:tcPr>
                  <w:tcW w:w="57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99</w:t>
                  </w:r>
                </w:p>
              </w:tc>
              <w:tc>
                <w:tcPr>
                  <w:tcW w:w="55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85</w:t>
                  </w:r>
                </w:p>
              </w:tc>
              <w:tc>
                <w:tcPr>
                  <w:tcW w:w="586"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79</w:t>
                  </w:r>
                </w:p>
              </w:tc>
              <w:tc>
                <w:tcPr>
                  <w:tcW w:w="57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76</w:t>
                  </w:r>
                </w:p>
              </w:tc>
              <w:tc>
                <w:tcPr>
                  <w:tcW w:w="697"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73</w:t>
                  </w:r>
                </w:p>
              </w:tc>
              <w:tc>
                <w:tcPr>
                  <w:tcW w:w="503"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62</w:t>
                  </w:r>
                </w:p>
              </w:tc>
            </w:tr>
          </w:tbl>
          <w:p>
            <w:pPr>
              <w:keepNext w:val="0"/>
              <w:keepLines w:val="0"/>
              <w:pageBreakBefore w:val="0"/>
              <w:widowControl w:val="0"/>
              <w:kinsoku/>
              <w:wordWrap/>
              <w:overflowPunct/>
              <w:topLinePunct w:val="0"/>
              <w:bidi w:val="0"/>
              <w:adjustRightInd w:val="0"/>
              <w:spacing w:line="500" w:lineRule="exact"/>
              <w:ind w:firstLine="480" w:firstLineChars="200"/>
              <w:textAlignment w:val="auto"/>
              <w:rPr>
                <w:color w:val="auto"/>
                <w:sz w:val="24"/>
                <w:szCs w:val="24"/>
                <w:highlight w:val="none"/>
              </w:rPr>
            </w:pPr>
            <w:r>
              <w:rPr>
                <w:color w:val="auto"/>
                <w:sz w:val="24"/>
                <w:szCs w:val="24"/>
                <w:highlight w:val="none"/>
              </w:rPr>
              <w:t>由上表计算结果可知，项目施工期桩基阶段、土方阶段以及结构阶段施工机械均位于室外，装修阶段位于室内，建筑墙体具有一定的隔声作用，隔声量按15dB计算，则项目结构阶段影响最大，昼间最大影响范围为200m，</w:t>
            </w:r>
            <w:r>
              <w:rPr>
                <w:rFonts w:hint="eastAsia"/>
                <w:color w:val="auto"/>
                <w:sz w:val="24"/>
                <w:szCs w:val="24"/>
                <w:highlight w:val="none"/>
                <w:lang w:eastAsia="zh-CN"/>
              </w:rPr>
              <w:t>夜间</w:t>
            </w:r>
            <w:r>
              <w:rPr>
                <w:color w:val="auto"/>
                <w:sz w:val="24"/>
                <w:szCs w:val="24"/>
                <w:highlight w:val="none"/>
              </w:rPr>
              <w:t>需在600m以外，由于厂界周边</w:t>
            </w:r>
            <w:r>
              <w:rPr>
                <w:rFonts w:hint="eastAsia"/>
                <w:color w:val="auto"/>
                <w:sz w:val="24"/>
                <w:szCs w:val="24"/>
                <w:highlight w:val="none"/>
                <w:lang w:val="en-US" w:eastAsia="zh-CN"/>
              </w:rPr>
              <w:t>1k</w:t>
            </w:r>
            <w:r>
              <w:rPr>
                <w:color w:val="auto"/>
                <w:sz w:val="24"/>
                <w:szCs w:val="24"/>
                <w:highlight w:val="none"/>
              </w:rPr>
              <w:t>m</w:t>
            </w:r>
            <w:r>
              <w:rPr>
                <w:rFonts w:hint="eastAsia"/>
                <w:color w:val="auto"/>
                <w:sz w:val="24"/>
                <w:szCs w:val="24"/>
                <w:highlight w:val="none"/>
                <w:lang w:val="en-US" w:eastAsia="zh-CN"/>
              </w:rPr>
              <w:t>范围内无环境保护目标</w:t>
            </w:r>
            <w:r>
              <w:rPr>
                <w:color w:val="auto"/>
                <w:sz w:val="24"/>
                <w:szCs w:val="24"/>
                <w:highlight w:val="none"/>
              </w:rPr>
              <w:t>，故项目施工期间会对周边声环境影响</w:t>
            </w:r>
            <w:r>
              <w:rPr>
                <w:rFonts w:hint="eastAsia"/>
                <w:color w:val="auto"/>
                <w:sz w:val="24"/>
                <w:szCs w:val="24"/>
                <w:highlight w:val="none"/>
                <w:lang w:val="en-US" w:eastAsia="zh-CN"/>
              </w:rPr>
              <w:t>很小</w:t>
            </w:r>
            <w:r>
              <w:rPr>
                <w:color w:val="auto"/>
                <w:sz w:val="24"/>
                <w:szCs w:val="24"/>
                <w:highlight w:val="none"/>
              </w:rPr>
              <w:t>。为减小施工噪声对周围环境产生的影响，</w:t>
            </w:r>
            <w:r>
              <w:rPr>
                <w:rFonts w:hint="eastAsia"/>
                <w:color w:val="auto"/>
                <w:sz w:val="24"/>
                <w:szCs w:val="24"/>
                <w:highlight w:val="none"/>
              </w:rPr>
              <w:t>本</w:t>
            </w:r>
            <w:r>
              <w:rPr>
                <w:color w:val="auto"/>
                <w:sz w:val="24"/>
                <w:szCs w:val="24"/>
                <w:highlight w:val="none"/>
              </w:rPr>
              <w:t>环评</w:t>
            </w:r>
            <w:r>
              <w:rPr>
                <w:color w:val="auto"/>
                <w:sz w:val="24"/>
                <w:szCs w:val="24"/>
                <w:highlight w:val="none"/>
                <w:lang w:val="zh-CN"/>
              </w:rPr>
              <w:t>要求采取以下控制措施：</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contextualSpacing/>
              <w:textAlignment w:val="auto"/>
              <w:rPr>
                <w:color w:val="auto"/>
                <w:sz w:val="24"/>
                <w:szCs w:val="24"/>
                <w:highlight w:val="none"/>
              </w:rPr>
            </w:pPr>
            <w:r>
              <w:rPr>
                <w:color w:val="auto"/>
                <w:sz w:val="24"/>
                <w:szCs w:val="24"/>
                <w:highlight w:val="none"/>
              </w:rPr>
              <w:t>①</w:t>
            </w:r>
            <w:r>
              <w:rPr>
                <w:color w:val="auto"/>
                <w:sz w:val="24"/>
                <w:szCs w:val="24"/>
                <w:highlight w:val="none"/>
                <w:lang w:val="zh-CN"/>
              </w:rPr>
              <w:t>在施工过程中，施工单位应严格执行《</w:t>
            </w:r>
            <w:r>
              <w:rPr>
                <w:rFonts w:hint="default" w:ascii="Times New Roman" w:hAnsi="Times New Roman" w:eastAsia="宋体" w:cs="Times New Roman"/>
                <w:color w:val="auto"/>
              </w:rPr>
              <w:t>建筑施工噪声排放标准</w:t>
            </w:r>
            <w:r>
              <w:rPr>
                <w:color w:val="auto"/>
                <w:sz w:val="24"/>
                <w:szCs w:val="24"/>
                <w:highlight w:val="none"/>
                <w:lang w:val="zh-CN"/>
              </w:rPr>
              <w:t>》（</w:t>
            </w:r>
            <w:r>
              <w:rPr>
                <w:color w:val="auto"/>
                <w:sz w:val="24"/>
                <w:szCs w:val="24"/>
                <w:highlight w:val="none"/>
              </w:rPr>
              <w:t>GB12523-20</w:t>
            </w:r>
            <w:r>
              <w:rPr>
                <w:rFonts w:hint="eastAsia"/>
                <w:color w:val="auto"/>
                <w:sz w:val="24"/>
                <w:szCs w:val="24"/>
                <w:highlight w:val="none"/>
                <w:lang w:val="en-US" w:eastAsia="zh-CN"/>
              </w:rPr>
              <w:t>25</w:t>
            </w:r>
            <w:r>
              <w:rPr>
                <w:color w:val="auto"/>
                <w:sz w:val="24"/>
                <w:szCs w:val="24"/>
                <w:highlight w:val="none"/>
                <w:lang w:val="zh-CN"/>
              </w:rPr>
              <w:t>）中的有关规定。</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contextualSpacing/>
              <w:textAlignment w:val="auto"/>
              <w:rPr>
                <w:b/>
                <w:bCs/>
                <w:color w:val="auto"/>
                <w:sz w:val="24"/>
                <w:szCs w:val="24"/>
                <w:highlight w:val="none"/>
              </w:rPr>
            </w:pPr>
            <w:r>
              <w:rPr>
                <w:color w:val="auto"/>
                <w:sz w:val="24"/>
                <w:szCs w:val="24"/>
                <w:highlight w:val="none"/>
              </w:rPr>
              <w:t>②</w:t>
            </w:r>
            <w:r>
              <w:rPr>
                <w:color w:val="auto"/>
                <w:sz w:val="24"/>
                <w:szCs w:val="24"/>
                <w:highlight w:val="none"/>
                <w:lang w:val="zh-CN"/>
              </w:rPr>
              <w:t>施工单位要合理安排施工作业时间</w:t>
            </w:r>
            <w:r>
              <w:rPr>
                <w:rFonts w:hint="eastAsia"/>
                <w:color w:val="auto"/>
                <w:sz w:val="24"/>
                <w:szCs w:val="24"/>
                <w:highlight w:val="none"/>
                <w:lang w:val="zh-CN"/>
              </w:rPr>
              <w:t>，尽量避免高噪声设备同时施工，噪声应按《</w:t>
            </w:r>
            <w:r>
              <w:rPr>
                <w:rFonts w:hint="default" w:ascii="Times New Roman" w:hAnsi="Times New Roman" w:eastAsia="宋体" w:cs="Times New Roman"/>
                <w:color w:val="auto"/>
              </w:rPr>
              <w:t>建筑施工噪声排放标准</w:t>
            </w:r>
            <w:r>
              <w:rPr>
                <w:rFonts w:hint="eastAsia"/>
                <w:color w:val="auto"/>
                <w:sz w:val="24"/>
                <w:szCs w:val="24"/>
                <w:highlight w:val="none"/>
                <w:lang w:val="zh-CN"/>
              </w:rPr>
              <w:t>》（GB12523-20</w:t>
            </w:r>
            <w:r>
              <w:rPr>
                <w:rFonts w:hint="eastAsia"/>
                <w:color w:val="auto"/>
                <w:sz w:val="24"/>
                <w:szCs w:val="24"/>
                <w:highlight w:val="none"/>
                <w:lang w:val="en-US" w:eastAsia="zh-CN"/>
              </w:rPr>
              <w:t>25</w:t>
            </w:r>
            <w:r>
              <w:rPr>
                <w:rFonts w:hint="eastAsia"/>
                <w:color w:val="auto"/>
                <w:sz w:val="24"/>
                <w:szCs w:val="24"/>
                <w:highlight w:val="none"/>
                <w:lang w:val="zh-CN"/>
              </w:rPr>
              <w:t>）进行控制</w:t>
            </w:r>
            <w:r>
              <w:rPr>
                <w:color w:val="auto"/>
                <w:sz w:val="24"/>
                <w:szCs w:val="24"/>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contextualSpacing/>
              <w:textAlignment w:val="auto"/>
              <w:rPr>
                <w:color w:val="auto"/>
                <w:sz w:val="24"/>
                <w:szCs w:val="24"/>
                <w:highlight w:val="none"/>
              </w:rPr>
            </w:pPr>
            <w:r>
              <w:rPr>
                <w:color w:val="auto"/>
                <w:sz w:val="24"/>
                <w:szCs w:val="24"/>
                <w:highlight w:val="none"/>
              </w:rPr>
              <w:t>③</w:t>
            </w:r>
            <w:r>
              <w:rPr>
                <w:color w:val="auto"/>
                <w:sz w:val="24"/>
                <w:szCs w:val="24"/>
                <w:highlight w:val="none"/>
                <w:lang w:val="zh-CN"/>
              </w:rPr>
              <w:t>施工机械产生的噪声往往具有突发、无规则、不连续和高强度等特点，施工单位应采取合理安排施工机械操作时间的方法加以缓解，并减少同时作业的高噪施工机械数量，尽可能减轻声源叠加影响。</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contextualSpacing/>
              <w:textAlignment w:val="auto"/>
              <w:rPr>
                <w:color w:val="auto"/>
                <w:sz w:val="24"/>
                <w:szCs w:val="24"/>
                <w:highlight w:val="none"/>
                <w:lang w:val="zh-CN"/>
              </w:rPr>
            </w:pPr>
            <w:r>
              <w:rPr>
                <w:color w:val="auto"/>
                <w:sz w:val="24"/>
                <w:szCs w:val="24"/>
                <w:highlight w:val="none"/>
              </w:rPr>
              <w:t>④</w:t>
            </w:r>
            <w:r>
              <w:rPr>
                <w:color w:val="auto"/>
                <w:sz w:val="24"/>
                <w:szCs w:val="24"/>
                <w:highlight w:val="none"/>
                <w:lang w:val="zh-CN"/>
              </w:rPr>
              <w:t>对于施工期间的材料运输、敲击、人的喊叫等噪声源，要求施工单位文明施工、加强有效管理以缓解其影响。</w:t>
            </w:r>
          </w:p>
          <w:p>
            <w:pPr>
              <w:keepNext w:val="0"/>
              <w:keepLines w:val="0"/>
              <w:pageBreakBefore w:val="0"/>
              <w:widowControl w:val="0"/>
              <w:kinsoku/>
              <w:wordWrap/>
              <w:overflowPunct/>
              <w:topLinePunct w:val="0"/>
              <w:bidi w:val="0"/>
              <w:adjustRightInd w:val="0"/>
              <w:snapToGrid/>
              <w:spacing w:line="500" w:lineRule="exact"/>
              <w:ind w:firstLine="480" w:firstLineChars="200"/>
              <w:textAlignment w:val="auto"/>
              <w:rPr>
                <w:color w:val="auto"/>
                <w:sz w:val="24"/>
                <w:szCs w:val="24"/>
                <w:highlight w:val="none"/>
              </w:rPr>
            </w:pPr>
            <w:r>
              <w:rPr>
                <w:color w:val="auto"/>
                <w:sz w:val="24"/>
                <w:szCs w:val="24"/>
                <w:highlight w:val="none"/>
                <w:lang w:val="zh-CN"/>
              </w:rPr>
              <w:t>⑤</w:t>
            </w:r>
            <w:r>
              <w:rPr>
                <w:color w:val="auto"/>
                <w:sz w:val="24"/>
                <w:szCs w:val="24"/>
                <w:highlight w:val="none"/>
              </w:rPr>
              <w:t>合理布局高噪声设备，高噪声设备应远离</w:t>
            </w:r>
            <w:r>
              <w:rPr>
                <w:rFonts w:hint="eastAsia"/>
                <w:color w:val="auto"/>
                <w:sz w:val="24"/>
                <w:szCs w:val="24"/>
                <w:highlight w:val="none"/>
                <w:lang w:val="en-US" w:eastAsia="zh-CN"/>
              </w:rPr>
              <w:t>距离敏感点近的</w:t>
            </w:r>
            <w:r>
              <w:rPr>
                <w:color w:val="auto"/>
                <w:sz w:val="24"/>
                <w:szCs w:val="24"/>
                <w:highlight w:val="none"/>
              </w:rPr>
              <w:t>施工场界，在施工过程中要采取相应的降噪措施，必要时候采取临时隔声障。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lang w:val="en-US" w:eastAsia="zh-CN"/>
              </w:rPr>
            </w:pPr>
            <w:r>
              <w:rPr>
                <w:color w:val="auto"/>
                <w:sz w:val="24"/>
                <w:szCs w:val="24"/>
                <w:highlight w:val="none"/>
              </w:rPr>
              <w:t>由于本项目建设规模较小，施工时间较短，故采取上述措施后，本项目施工期产生的施工噪声对周围环境不会产生明显的不利影响，且随着施工期的结束影响即消除。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7" w:type="dxa"/>
            <w:tcMar>
              <w:left w:w="28" w:type="dxa"/>
              <w:right w:w="28" w:type="dxa"/>
            </w:tcMar>
            <w:vAlign w:val="center"/>
          </w:tcPr>
          <w:p>
            <w:pPr>
              <w:jc w:val="center"/>
              <w:rPr>
                <w:rFonts w:hint="default" w:ascii="Times New Roman" w:hAnsi="Times New Roman" w:cs="Times New Roman"/>
                <w:bCs/>
                <w:color w:val="auto"/>
              </w:rPr>
            </w:pPr>
            <w:r>
              <w:rPr>
                <w:rFonts w:hint="default" w:ascii="Times New Roman" w:hAnsi="Times New Roman" w:cs="Times New Roman"/>
                <w:bCs/>
                <w:color w:val="auto"/>
              </w:rPr>
              <w:t>运营</w:t>
            </w:r>
          </w:p>
          <w:p>
            <w:pPr>
              <w:jc w:val="center"/>
              <w:rPr>
                <w:rFonts w:hint="default" w:ascii="Times New Roman" w:hAnsi="Times New Roman" w:cs="Times New Roman"/>
                <w:bCs/>
                <w:color w:val="auto"/>
              </w:rPr>
            </w:pPr>
            <w:r>
              <w:rPr>
                <w:rFonts w:hint="default" w:ascii="Times New Roman" w:hAnsi="Times New Roman" w:cs="Times New Roman"/>
                <w:bCs/>
                <w:color w:val="auto"/>
              </w:rPr>
              <w:t>期环</w:t>
            </w:r>
          </w:p>
          <w:p>
            <w:pPr>
              <w:jc w:val="center"/>
              <w:rPr>
                <w:rFonts w:hint="default" w:ascii="Times New Roman" w:hAnsi="Times New Roman" w:cs="Times New Roman"/>
                <w:bCs/>
                <w:color w:val="auto"/>
              </w:rPr>
            </w:pPr>
            <w:r>
              <w:rPr>
                <w:rFonts w:hint="default" w:ascii="Times New Roman" w:hAnsi="Times New Roman" w:cs="Times New Roman"/>
                <w:bCs/>
                <w:color w:val="auto"/>
              </w:rPr>
              <w:t>境影</w:t>
            </w:r>
          </w:p>
          <w:p>
            <w:pPr>
              <w:jc w:val="center"/>
              <w:rPr>
                <w:rFonts w:hint="default" w:ascii="Times New Roman" w:hAnsi="Times New Roman" w:cs="Times New Roman"/>
                <w:bCs/>
                <w:color w:val="auto"/>
              </w:rPr>
            </w:pPr>
            <w:r>
              <w:rPr>
                <w:rFonts w:hint="default" w:ascii="Times New Roman" w:hAnsi="Times New Roman" w:cs="Times New Roman"/>
                <w:bCs/>
                <w:color w:val="auto"/>
              </w:rPr>
              <w:t>响和</w:t>
            </w:r>
          </w:p>
          <w:p>
            <w:pPr>
              <w:jc w:val="center"/>
              <w:rPr>
                <w:rFonts w:hint="default" w:ascii="Times New Roman" w:hAnsi="Times New Roman" w:cs="Times New Roman"/>
                <w:bCs/>
                <w:color w:val="auto"/>
              </w:rPr>
            </w:pPr>
            <w:r>
              <w:rPr>
                <w:rFonts w:hint="default" w:ascii="Times New Roman" w:hAnsi="Times New Roman" w:cs="Times New Roman"/>
                <w:bCs/>
                <w:color w:val="auto"/>
              </w:rPr>
              <w:t>保护</w:t>
            </w:r>
          </w:p>
          <w:p>
            <w:pPr>
              <w:jc w:val="center"/>
              <w:rPr>
                <w:rFonts w:hint="default" w:ascii="Times New Roman" w:hAnsi="Times New Roman" w:cs="Times New Roman"/>
                <w:bCs/>
                <w:color w:val="auto"/>
              </w:rPr>
            </w:pPr>
            <w:r>
              <w:rPr>
                <w:rFonts w:hint="default" w:ascii="Times New Roman" w:hAnsi="Times New Roman" w:cs="Times New Roman"/>
                <w:bCs/>
                <w:color w:val="auto"/>
              </w:rPr>
              <w:t>措施</w:t>
            </w:r>
          </w:p>
        </w:tc>
        <w:tc>
          <w:tcPr>
            <w:tcW w:w="8075"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color w:val="auto"/>
              </w:rPr>
            </w:pPr>
            <w:r>
              <w:rPr>
                <w:rFonts w:hint="default" w:ascii="Times New Roman" w:hAnsi="Times New Roman" w:eastAsia="宋体" w:cs="Times New Roman"/>
                <w:b/>
                <w:color w:val="auto"/>
              </w:rPr>
              <w:t>4.</w:t>
            </w:r>
            <w:r>
              <w:rPr>
                <w:rFonts w:hint="eastAsia" w:ascii="Times New Roman" w:hAnsi="Times New Roman" w:eastAsia="宋体" w:cs="Times New Roman"/>
                <w:b/>
                <w:color w:val="auto"/>
                <w:lang w:val="en-US" w:eastAsia="zh-CN"/>
              </w:rPr>
              <w:t>7</w:t>
            </w:r>
            <w:r>
              <w:rPr>
                <w:rFonts w:hint="default" w:ascii="Times New Roman" w:hAnsi="Times New Roman" w:eastAsia="宋体" w:cs="Times New Roman"/>
                <w:b/>
                <w:color w:val="auto"/>
              </w:rPr>
              <w:t>大气环境影响分析及保护措施</w:t>
            </w:r>
          </w:p>
          <w:p>
            <w:pPr>
              <w:pStyle w:val="20"/>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napToGrid w:val="0"/>
                <w:color w:val="auto"/>
                <w:kern w:val="0"/>
                <w:sz w:val="21"/>
                <w:szCs w:val="21"/>
                <w:lang w:val="en-US" w:eastAsia="zh-CN" w:bidi="ar-SA"/>
                <w14:ligatures w14:val="none"/>
              </w:rPr>
            </w:pPr>
            <w:r>
              <w:rPr>
                <w:rFonts w:hint="default" w:ascii="Times New Roman" w:hAnsi="Times New Roman" w:eastAsia="宋体" w:cs="Times New Roman"/>
                <w:b/>
                <w:bCs/>
                <w:snapToGrid w:val="0"/>
                <w:color w:val="auto"/>
                <w:kern w:val="0"/>
                <w:sz w:val="21"/>
                <w:szCs w:val="21"/>
                <w:lang w:val="en-US" w:eastAsia="zh-CN" w:bidi="ar-SA"/>
                <w14:ligatures w14:val="none"/>
              </w:rPr>
              <w:t>表4</w:t>
            </w:r>
            <w:r>
              <w:rPr>
                <w:rFonts w:hint="eastAsia" w:ascii="Times New Roman" w:hAnsi="Times New Roman" w:eastAsia="宋体" w:cs="Times New Roman"/>
                <w:b/>
                <w:bCs/>
                <w:snapToGrid w:val="0"/>
                <w:color w:val="auto"/>
                <w:kern w:val="0"/>
                <w:sz w:val="21"/>
                <w:szCs w:val="21"/>
                <w:lang w:val="en-US" w:eastAsia="zh-CN" w:bidi="ar-SA"/>
                <w14:ligatures w14:val="none"/>
              </w:rPr>
              <w:t>.7</w:t>
            </w:r>
            <w:r>
              <w:rPr>
                <w:rFonts w:hint="default" w:ascii="Times New Roman" w:hAnsi="Times New Roman" w:eastAsia="宋体" w:cs="Times New Roman"/>
                <w:b/>
                <w:bCs/>
                <w:snapToGrid w:val="0"/>
                <w:color w:val="auto"/>
                <w:kern w:val="0"/>
                <w:sz w:val="21"/>
                <w:szCs w:val="21"/>
                <w:lang w:val="en-US" w:eastAsia="zh-CN" w:bidi="ar-SA"/>
                <w14:ligatures w14:val="none"/>
              </w:rPr>
              <w:t>-1</w:t>
            </w:r>
            <w:r>
              <w:rPr>
                <w:rFonts w:hint="eastAsia" w:ascii="Times New Roman" w:hAnsi="Times New Roman" w:eastAsia="宋体" w:cs="Times New Roman"/>
                <w:b/>
                <w:bCs/>
                <w:snapToGrid w:val="0"/>
                <w:color w:val="auto"/>
                <w:kern w:val="0"/>
                <w:sz w:val="21"/>
                <w:szCs w:val="21"/>
                <w:lang w:val="en-US" w:eastAsia="zh-CN" w:bidi="ar-SA"/>
                <w14:ligatures w14:val="none"/>
              </w:rPr>
              <w:t xml:space="preserve"> </w:t>
            </w:r>
            <w:r>
              <w:rPr>
                <w:rFonts w:hint="default" w:ascii="Times New Roman" w:hAnsi="Times New Roman" w:eastAsia="宋体" w:cs="Times New Roman"/>
                <w:b/>
                <w:bCs/>
                <w:snapToGrid w:val="0"/>
                <w:color w:val="auto"/>
                <w:kern w:val="0"/>
                <w:sz w:val="21"/>
                <w:szCs w:val="21"/>
                <w:lang w:val="en-US" w:eastAsia="zh-CN" w:bidi="ar-SA"/>
                <w14:ligatures w14:val="none"/>
              </w:rPr>
              <w:t xml:space="preserve">  大气污染产生、治理及排放情况汇总表</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42"/>
              <w:gridCol w:w="591"/>
              <w:gridCol w:w="594"/>
              <w:gridCol w:w="738"/>
              <w:gridCol w:w="815"/>
              <w:gridCol w:w="716"/>
              <w:gridCol w:w="636"/>
              <w:gridCol w:w="338"/>
              <w:gridCol w:w="325"/>
              <w:gridCol w:w="392"/>
              <w:gridCol w:w="594"/>
              <w:gridCol w:w="565"/>
              <w:gridCol w:w="499"/>
              <w:gridCol w:w="5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033" w:type="dxa"/>
                  <w:gridSpan w:val="2"/>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污染源</w:t>
                  </w:r>
                </w:p>
              </w:tc>
              <w:tc>
                <w:tcPr>
                  <w:tcW w:w="594" w:type="dxa"/>
                  <w:vMerge w:val="restar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污染物名称</w:t>
                  </w:r>
                </w:p>
              </w:tc>
              <w:tc>
                <w:tcPr>
                  <w:tcW w:w="738" w:type="dxa"/>
                  <w:vMerge w:val="restar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运行时间h/a</w:t>
                  </w:r>
                </w:p>
              </w:tc>
              <w:tc>
                <w:tcPr>
                  <w:tcW w:w="1531" w:type="dxa"/>
                  <w:gridSpan w:val="2"/>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产生情况</w:t>
                  </w:r>
                </w:p>
              </w:tc>
              <w:tc>
                <w:tcPr>
                  <w:tcW w:w="636" w:type="dxa"/>
                  <w:vMerge w:val="restar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治理</w:t>
                  </w:r>
                </w:p>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措施</w:t>
                  </w:r>
                </w:p>
              </w:tc>
              <w:tc>
                <w:tcPr>
                  <w:tcW w:w="338" w:type="dxa"/>
                  <w:vMerge w:val="restar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是否可行</w:t>
                  </w:r>
                </w:p>
              </w:tc>
              <w:tc>
                <w:tcPr>
                  <w:tcW w:w="325" w:type="dxa"/>
                  <w:vMerge w:val="restar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收集率%</w:t>
                  </w:r>
                </w:p>
              </w:tc>
              <w:tc>
                <w:tcPr>
                  <w:tcW w:w="392" w:type="dxa"/>
                  <w:vMerge w:val="restar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去除率</w:t>
                  </w:r>
                </w:p>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w:t>
                  </w:r>
                </w:p>
              </w:tc>
              <w:tc>
                <w:tcPr>
                  <w:tcW w:w="1658" w:type="dxa"/>
                  <w:gridSpan w:val="3"/>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排放情况</w:t>
                  </w:r>
                </w:p>
              </w:tc>
              <w:tc>
                <w:tcPr>
                  <w:tcW w:w="594" w:type="dxa"/>
                  <w:vMerge w:val="restar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排放方式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42"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名称</w:t>
                  </w:r>
                </w:p>
              </w:tc>
              <w:tc>
                <w:tcPr>
                  <w:tcW w:w="591"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val="en-US" w:eastAsia="zh-CN"/>
                    </w:rPr>
                    <w:t>风</w:t>
                  </w:r>
                  <w:r>
                    <w:rPr>
                      <w:rFonts w:hint="default" w:ascii="Times New Roman" w:hAnsi="Times New Roman" w:eastAsia="宋体" w:cs="Times New Roman"/>
                      <w:b/>
                      <w:color w:val="auto"/>
                      <w:sz w:val="21"/>
                      <w:szCs w:val="21"/>
                      <w:highlight w:val="none"/>
                    </w:rPr>
                    <w:t>量m</w:t>
                  </w:r>
                  <w:r>
                    <w:rPr>
                      <w:rFonts w:hint="default" w:ascii="Times New Roman" w:hAnsi="Times New Roman" w:eastAsia="宋体" w:cs="Times New Roman"/>
                      <w:b/>
                      <w:color w:val="auto"/>
                      <w:sz w:val="21"/>
                      <w:szCs w:val="21"/>
                      <w:highlight w:val="none"/>
                      <w:vertAlign w:val="superscript"/>
                    </w:rPr>
                    <w:t>3</w:t>
                  </w:r>
                  <w:r>
                    <w:rPr>
                      <w:rFonts w:hint="default" w:ascii="Times New Roman" w:hAnsi="Times New Roman" w:eastAsia="宋体" w:cs="Times New Roman"/>
                      <w:b/>
                      <w:color w:val="auto"/>
                      <w:sz w:val="21"/>
                      <w:szCs w:val="21"/>
                      <w:highlight w:val="none"/>
                    </w:rPr>
                    <w:t>/h</w:t>
                  </w:r>
                </w:p>
              </w:tc>
              <w:tc>
                <w:tcPr>
                  <w:tcW w:w="594"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Cs/>
                      <w:color w:val="auto"/>
                      <w:sz w:val="21"/>
                      <w:szCs w:val="21"/>
                      <w:highlight w:val="none"/>
                    </w:rPr>
                  </w:pPr>
                </w:p>
              </w:tc>
              <w:tc>
                <w:tcPr>
                  <w:tcW w:w="738"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Cs/>
                      <w:color w:val="auto"/>
                      <w:sz w:val="21"/>
                      <w:szCs w:val="21"/>
                      <w:highlight w:val="none"/>
                    </w:rPr>
                  </w:pPr>
                </w:p>
              </w:tc>
              <w:tc>
                <w:tcPr>
                  <w:tcW w:w="815"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产生速率kg/h</w:t>
                  </w:r>
                </w:p>
              </w:tc>
              <w:tc>
                <w:tcPr>
                  <w:tcW w:w="716"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产生量</w:t>
                  </w:r>
                </w:p>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t/a</w:t>
                  </w:r>
                </w:p>
              </w:tc>
              <w:tc>
                <w:tcPr>
                  <w:tcW w:w="636"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Cs/>
                      <w:color w:val="auto"/>
                      <w:sz w:val="21"/>
                      <w:szCs w:val="21"/>
                      <w:highlight w:val="none"/>
                    </w:rPr>
                  </w:pPr>
                </w:p>
              </w:tc>
              <w:tc>
                <w:tcPr>
                  <w:tcW w:w="338"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Cs/>
                      <w:color w:val="auto"/>
                      <w:sz w:val="21"/>
                      <w:szCs w:val="21"/>
                      <w:highlight w:val="none"/>
                    </w:rPr>
                  </w:pPr>
                </w:p>
              </w:tc>
              <w:tc>
                <w:tcPr>
                  <w:tcW w:w="325"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Cs/>
                      <w:color w:val="auto"/>
                      <w:sz w:val="21"/>
                      <w:szCs w:val="21"/>
                      <w:highlight w:val="none"/>
                    </w:rPr>
                  </w:pPr>
                </w:p>
              </w:tc>
              <w:tc>
                <w:tcPr>
                  <w:tcW w:w="392"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Cs/>
                      <w:color w:val="auto"/>
                      <w:sz w:val="21"/>
                      <w:szCs w:val="21"/>
                      <w:highlight w:val="none"/>
                    </w:rPr>
                  </w:pPr>
                </w:p>
              </w:tc>
              <w:tc>
                <w:tcPr>
                  <w:tcW w:w="594" w:type="dxa"/>
                  <w:tcBorders>
                    <w:tl2br w:val="nil"/>
                    <w:tr2bl w:val="nil"/>
                  </w:tcBorders>
                  <w:noWrap/>
                  <w:tcMar>
                    <w:left w:w="0" w:type="dxa"/>
                    <w:right w:w="0"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排放口浓度mg/m</w:t>
                  </w:r>
                  <w:r>
                    <w:rPr>
                      <w:rFonts w:hint="default" w:ascii="Times New Roman" w:hAnsi="Times New Roman" w:eastAsia="宋体" w:cs="Times New Roman"/>
                      <w:b/>
                      <w:color w:val="auto"/>
                      <w:sz w:val="21"/>
                      <w:szCs w:val="21"/>
                      <w:highlight w:val="none"/>
                      <w:vertAlign w:val="superscript"/>
                    </w:rPr>
                    <w:t>3</w:t>
                  </w:r>
                </w:p>
              </w:tc>
              <w:tc>
                <w:tcPr>
                  <w:tcW w:w="565"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排放口速率kg/h</w:t>
                  </w:r>
                </w:p>
              </w:tc>
              <w:tc>
                <w:tcPr>
                  <w:tcW w:w="499"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排放量t/a</w:t>
                  </w:r>
                </w:p>
              </w:tc>
              <w:tc>
                <w:tcPr>
                  <w:tcW w:w="594"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Cs/>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42"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车辆运输扬尘</w:t>
                  </w:r>
                </w:p>
              </w:tc>
              <w:tc>
                <w:tcPr>
                  <w:tcW w:w="591"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594"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颗粒物</w:t>
                  </w:r>
                </w:p>
              </w:tc>
              <w:tc>
                <w:tcPr>
                  <w:tcW w:w="738"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960</w:t>
                  </w:r>
                </w:p>
              </w:tc>
              <w:tc>
                <w:tcPr>
                  <w:tcW w:w="815"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716"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0.079</w:t>
                  </w:r>
                </w:p>
              </w:tc>
              <w:tc>
                <w:tcPr>
                  <w:tcW w:w="636"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14:ligatures w14:val="none"/>
                    </w:rPr>
                  </w:pPr>
                  <w:r>
                    <w:rPr>
                      <w:rFonts w:hint="default" w:ascii="Times New Roman" w:hAnsi="Times New Roman" w:eastAsia="宋体" w:cs="Times New Roman"/>
                      <w:i w:val="0"/>
                      <w:iCs w:val="0"/>
                      <w:snapToGrid w:val="0"/>
                      <w:color w:val="auto"/>
                      <w:kern w:val="0"/>
                      <w:sz w:val="21"/>
                      <w:szCs w:val="21"/>
                      <w:u w:val="none"/>
                      <w:lang w:val="en-US" w:eastAsia="zh-CN" w:bidi="ar"/>
                      <w14:ligatures w14:val="none"/>
                    </w:rPr>
                    <w:t>洒水抑尘</w:t>
                  </w:r>
                </w:p>
              </w:tc>
              <w:tc>
                <w:tcPr>
                  <w:tcW w:w="338"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14:ligatures w14:val="none"/>
                    </w:rPr>
                  </w:pPr>
                  <w:r>
                    <w:rPr>
                      <w:rFonts w:hint="eastAsia" w:cs="Times New Roman"/>
                      <w:i w:val="0"/>
                      <w:iCs w:val="0"/>
                      <w:snapToGrid w:val="0"/>
                      <w:color w:val="auto"/>
                      <w:kern w:val="0"/>
                      <w:sz w:val="21"/>
                      <w:szCs w:val="21"/>
                      <w:u w:val="none"/>
                      <w:lang w:val="en-US" w:eastAsia="zh-CN" w:bidi="ar"/>
                      <w14:ligatures w14:val="none"/>
                    </w:rPr>
                    <w:t>是</w:t>
                  </w:r>
                </w:p>
              </w:tc>
              <w:tc>
                <w:tcPr>
                  <w:tcW w:w="325"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w:t>
                  </w:r>
                </w:p>
              </w:tc>
              <w:tc>
                <w:tcPr>
                  <w:tcW w:w="39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14:ligatures w14:val="none"/>
                    </w:rPr>
                  </w:pPr>
                  <w:r>
                    <w:rPr>
                      <w:rFonts w:hint="eastAsia" w:cs="Times New Roman"/>
                      <w:i w:val="0"/>
                      <w:iCs w:val="0"/>
                      <w:snapToGrid w:val="0"/>
                      <w:color w:val="auto"/>
                      <w:kern w:val="0"/>
                      <w:sz w:val="21"/>
                      <w:szCs w:val="21"/>
                      <w:u w:val="none"/>
                      <w:lang w:val="en-US" w:eastAsia="zh-CN" w:bidi="ar"/>
                      <w14:ligatures w14:val="none"/>
                    </w:rPr>
                    <w:t>74%</w:t>
                  </w:r>
                </w:p>
              </w:tc>
              <w:tc>
                <w:tcPr>
                  <w:tcW w:w="594"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565"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14:ligatures w14:val="none"/>
                    </w:rPr>
                  </w:pPr>
                  <w:r>
                    <w:rPr>
                      <w:rFonts w:hint="eastAsia" w:cs="Times New Roman"/>
                      <w:i w:val="0"/>
                      <w:iCs w:val="0"/>
                      <w:snapToGrid w:val="0"/>
                      <w:color w:val="auto"/>
                      <w:kern w:val="0"/>
                      <w:sz w:val="21"/>
                      <w:szCs w:val="21"/>
                      <w:u w:val="none"/>
                      <w:lang w:val="en-US" w:eastAsia="zh-CN" w:bidi="ar"/>
                      <w14:ligatures w14:val="none"/>
                    </w:rPr>
                    <w:t>/</w:t>
                  </w:r>
                </w:p>
              </w:tc>
              <w:tc>
                <w:tcPr>
                  <w:tcW w:w="499"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cs="Times New Roman"/>
                      <w:i w:val="0"/>
                      <w:iCs w:val="0"/>
                      <w:snapToGrid w:val="0"/>
                      <w:color w:val="auto"/>
                      <w:kern w:val="0"/>
                      <w:sz w:val="21"/>
                      <w:szCs w:val="21"/>
                      <w:u w:val="none"/>
                      <w:lang w:val="en-US" w:eastAsia="zh-CN" w:bidi="ar"/>
                      <w14:ligatures w14:val="none"/>
                    </w:rPr>
                  </w:pPr>
                  <w:r>
                    <w:rPr>
                      <w:rFonts w:hint="eastAsia" w:cs="Times New Roman"/>
                      <w:i w:val="0"/>
                      <w:iCs w:val="0"/>
                      <w:snapToGrid w:val="0"/>
                      <w:color w:val="auto"/>
                      <w:kern w:val="0"/>
                      <w:sz w:val="21"/>
                      <w:szCs w:val="21"/>
                      <w:u w:val="none"/>
                      <w:lang w:val="en-US" w:eastAsia="zh-CN" w:bidi="ar"/>
                      <w14:ligatures w14:val="none"/>
                    </w:rPr>
                    <w:t>0.021</w:t>
                  </w:r>
                </w:p>
              </w:tc>
              <w:tc>
                <w:tcPr>
                  <w:tcW w:w="594"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14:ligatures w14:val="none"/>
                    </w:rPr>
                  </w:pPr>
                  <w:r>
                    <w:rPr>
                      <w:rFonts w:hint="default" w:ascii="Times New Roman" w:hAnsi="Times New Roman" w:eastAsia="宋体" w:cs="Times New Roman"/>
                      <w:i w:val="0"/>
                      <w:iCs w:val="0"/>
                      <w:snapToGrid w:val="0"/>
                      <w:color w:val="auto"/>
                      <w:kern w:val="0"/>
                      <w:sz w:val="21"/>
                      <w:szCs w:val="21"/>
                      <w:u w:val="none"/>
                      <w:lang w:val="en-US" w:eastAsia="zh-CN" w:bidi="ar"/>
                      <w14:ligatures w14:val="none"/>
                    </w:rPr>
                    <w:t>无组织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42"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上料</w:t>
                  </w:r>
                </w:p>
              </w:tc>
              <w:tc>
                <w:tcPr>
                  <w:tcW w:w="591"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594"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颗粒物</w:t>
                  </w:r>
                </w:p>
              </w:tc>
              <w:tc>
                <w:tcPr>
                  <w:tcW w:w="738"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960</w:t>
                  </w:r>
                </w:p>
              </w:tc>
              <w:tc>
                <w:tcPr>
                  <w:tcW w:w="815"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716"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0.008</w:t>
                  </w:r>
                </w:p>
              </w:tc>
              <w:tc>
                <w:tcPr>
                  <w:tcW w:w="636" w:type="dxa"/>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14:ligatures w14:val="none"/>
                    </w:rPr>
                  </w:pPr>
                </w:p>
              </w:tc>
              <w:tc>
                <w:tcPr>
                  <w:tcW w:w="338"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cs="Times New Roman"/>
                      <w:i w:val="0"/>
                      <w:iCs w:val="0"/>
                      <w:snapToGrid w:val="0"/>
                      <w:color w:val="auto"/>
                      <w:kern w:val="0"/>
                      <w:sz w:val="21"/>
                      <w:szCs w:val="21"/>
                      <w:u w:val="none"/>
                      <w:lang w:val="en-US" w:eastAsia="zh-CN" w:bidi="ar"/>
                      <w14:ligatures w14:val="none"/>
                    </w:rPr>
                  </w:pPr>
                  <w:r>
                    <w:rPr>
                      <w:rFonts w:hint="eastAsia" w:cs="Times New Roman"/>
                      <w:i w:val="0"/>
                      <w:iCs w:val="0"/>
                      <w:snapToGrid w:val="0"/>
                      <w:color w:val="auto"/>
                      <w:kern w:val="0"/>
                      <w:sz w:val="21"/>
                      <w:szCs w:val="21"/>
                      <w:u w:val="none"/>
                      <w:lang w:val="en-US" w:eastAsia="zh-CN" w:bidi="ar"/>
                      <w14:ligatures w14:val="none"/>
                    </w:rPr>
                    <w:t>是</w:t>
                  </w:r>
                </w:p>
              </w:tc>
              <w:tc>
                <w:tcPr>
                  <w:tcW w:w="325"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w:t>
                  </w:r>
                </w:p>
              </w:tc>
              <w:tc>
                <w:tcPr>
                  <w:tcW w:w="39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cs="Times New Roman"/>
                      <w:i w:val="0"/>
                      <w:iCs w:val="0"/>
                      <w:snapToGrid w:val="0"/>
                      <w:color w:val="auto"/>
                      <w:kern w:val="0"/>
                      <w:sz w:val="21"/>
                      <w:szCs w:val="21"/>
                      <w:u w:val="none"/>
                      <w:lang w:val="en-US" w:eastAsia="zh-CN" w:bidi="ar"/>
                      <w14:ligatures w14:val="none"/>
                    </w:rPr>
                  </w:pPr>
                  <w:r>
                    <w:rPr>
                      <w:rFonts w:hint="eastAsia" w:cs="Times New Roman"/>
                      <w:i w:val="0"/>
                      <w:iCs w:val="0"/>
                      <w:snapToGrid w:val="0"/>
                      <w:color w:val="auto"/>
                      <w:kern w:val="0"/>
                      <w:sz w:val="21"/>
                      <w:szCs w:val="21"/>
                      <w:u w:val="none"/>
                      <w:lang w:val="en-US" w:eastAsia="zh-CN" w:bidi="ar"/>
                      <w14:ligatures w14:val="none"/>
                    </w:rPr>
                    <w:t>74%</w:t>
                  </w:r>
                </w:p>
              </w:tc>
              <w:tc>
                <w:tcPr>
                  <w:tcW w:w="594"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565"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cs="Times New Roman"/>
                      <w:i w:val="0"/>
                      <w:iCs w:val="0"/>
                      <w:snapToGrid w:val="0"/>
                      <w:color w:val="auto"/>
                      <w:kern w:val="0"/>
                      <w:sz w:val="21"/>
                      <w:szCs w:val="21"/>
                      <w:u w:val="none"/>
                      <w:lang w:val="en-US" w:eastAsia="zh-CN" w:bidi="ar"/>
                      <w14:ligatures w14:val="none"/>
                    </w:rPr>
                  </w:pPr>
                  <w:r>
                    <w:rPr>
                      <w:rFonts w:hint="eastAsia" w:cs="Times New Roman"/>
                      <w:i w:val="0"/>
                      <w:iCs w:val="0"/>
                      <w:snapToGrid w:val="0"/>
                      <w:color w:val="auto"/>
                      <w:kern w:val="0"/>
                      <w:sz w:val="21"/>
                      <w:szCs w:val="21"/>
                      <w:u w:val="none"/>
                      <w:lang w:val="en-US" w:eastAsia="zh-CN" w:bidi="ar"/>
                      <w14:ligatures w14:val="none"/>
                    </w:rPr>
                    <w:t>/</w:t>
                  </w:r>
                </w:p>
              </w:tc>
              <w:tc>
                <w:tcPr>
                  <w:tcW w:w="499"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cs="Times New Roman"/>
                      <w:i w:val="0"/>
                      <w:iCs w:val="0"/>
                      <w:snapToGrid w:val="0"/>
                      <w:color w:val="auto"/>
                      <w:kern w:val="0"/>
                      <w:sz w:val="21"/>
                      <w:szCs w:val="21"/>
                      <w:u w:val="none"/>
                      <w:lang w:val="en-US" w:eastAsia="zh-CN" w:bidi="ar"/>
                      <w14:ligatures w14:val="none"/>
                    </w:rPr>
                  </w:pPr>
                  <w:r>
                    <w:rPr>
                      <w:rFonts w:hint="eastAsia" w:cs="Times New Roman"/>
                      <w:i w:val="0"/>
                      <w:iCs w:val="0"/>
                      <w:snapToGrid w:val="0"/>
                      <w:color w:val="auto"/>
                      <w:kern w:val="0"/>
                      <w:sz w:val="21"/>
                      <w:szCs w:val="21"/>
                      <w:u w:val="none"/>
                      <w:lang w:val="en-US" w:eastAsia="zh-CN" w:bidi="ar"/>
                      <w14:ligatures w14:val="none"/>
                    </w:rPr>
                    <w:t>0.002</w:t>
                  </w:r>
                </w:p>
              </w:tc>
              <w:tc>
                <w:tcPr>
                  <w:tcW w:w="594" w:type="dxa"/>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14:ligatures w14: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4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磨粉工序</w:t>
                  </w:r>
                </w:p>
              </w:tc>
              <w:tc>
                <w:tcPr>
                  <w:tcW w:w="591"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594"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颗粒物</w:t>
                  </w:r>
                </w:p>
              </w:tc>
              <w:tc>
                <w:tcPr>
                  <w:tcW w:w="738"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960</w:t>
                  </w:r>
                </w:p>
              </w:tc>
              <w:tc>
                <w:tcPr>
                  <w:tcW w:w="815"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716"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10.08</w:t>
                  </w:r>
                </w:p>
              </w:tc>
              <w:tc>
                <w:tcPr>
                  <w:tcW w:w="636" w:type="dxa"/>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14:ligatures w14:val="none"/>
                    </w:rPr>
                  </w:pPr>
                </w:p>
              </w:tc>
              <w:tc>
                <w:tcPr>
                  <w:tcW w:w="338"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cs="Times New Roman"/>
                      <w:i w:val="0"/>
                      <w:iCs w:val="0"/>
                      <w:snapToGrid w:val="0"/>
                      <w:color w:val="auto"/>
                      <w:kern w:val="0"/>
                      <w:sz w:val="21"/>
                      <w:szCs w:val="21"/>
                      <w:u w:val="none"/>
                      <w:lang w:val="en-US" w:eastAsia="zh-CN" w:bidi="ar"/>
                      <w14:ligatures w14:val="none"/>
                    </w:rPr>
                  </w:pPr>
                  <w:r>
                    <w:rPr>
                      <w:rFonts w:hint="eastAsia" w:cs="Times New Roman"/>
                      <w:i w:val="0"/>
                      <w:iCs w:val="0"/>
                      <w:snapToGrid w:val="0"/>
                      <w:color w:val="auto"/>
                      <w:kern w:val="0"/>
                      <w:sz w:val="21"/>
                      <w:szCs w:val="21"/>
                      <w:u w:val="none"/>
                      <w:lang w:val="en-US" w:eastAsia="zh-CN" w:bidi="ar"/>
                      <w14:ligatures w14:val="none"/>
                    </w:rPr>
                    <w:t>是</w:t>
                  </w:r>
                </w:p>
              </w:tc>
              <w:tc>
                <w:tcPr>
                  <w:tcW w:w="325"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w:t>
                  </w:r>
                </w:p>
              </w:tc>
              <w:tc>
                <w:tcPr>
                  <w:tcW w:w="39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cs="Times New Roman"/>
                      <w:i w:val="0"/>
                      <w:iCs w:val="0"/>
                      <w:snapToGrid w:val="0"/>
                      <w:color w:val="auto"/>
                      <w:kern w:val="0"/>
                      <w:sz w:val="21"/>
                      <w:szCs w:val="21"/>
                      <w:u w:val="none"/>
                      <w:lang w:val="en-US" w:eastAsia="zh-CN" w:bidi="ar"/>
                      <w14:ligatures w14:val="none"/>
                    </w:rPr>
                  </w:pPr>
                  <w:r>
                    <w:rPr>
                      <w:rFonts w:hint="eastAsia" w:cs="Times New Roman"/>
                      <w:i w:val="0"/>
                      <w:iCs w:val="0"/>
                      <w:snapToGrid w:val="0"/>
                      <w:color w:val="auto"/>
                      <w:kern w:val="0"/>
                      <w:sz w:val="21"/>
                      <w:szCs w:val="21"/>
                      <w:u w:val="none"/>
                      <w:lang w:val="en-US" w:eastAsia="zh-CN" w:bidi="ar"/>
                      <w14:ligatures w14:val="none"/>
                    </w:rPr>
                    <w:t>74%</w:t>
                  </w:r>
                </w:p>
              </w:tc>
              <w:tc>
                <w:tcPr>
                  <w:tcW w:w="594"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565"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cs="Times New Roman"/>
                      <w:i w:val="0"/>
                      <w:iCs w:val="0"/>
                      <w:snapToGrid w:val="0"/>
                      <w:color w:val="auto"/>
                      <w:kern w:val="0"/>
                      <w:sz w:val="21"/>
                      <w:szCs w:val="21"/>
                      <w:u w:val="none"/>
                      <w:lang w:val="en-US" w:eastAsia="zh-CN" w:bidi="ar"/>
                      <w14:ligatures w14:val="none"/>
                    </w:rPr>
                  </w:pPr>
                  <w:r>
                    <w:rPr>
                      <w:rFonts w:hint="eastAsia" w:cs="Times New Roman"/>
                      <w:i w:val="0"/>
                      <w:iCs w:val="0"/>
                      <w:snapToGrid w:val="0"/>
                      <w:color w:val="auto"/>
                      <w:kern w:val="0"/>
                      <w:sz w:val="21"/>
                      <w:szCs w:val="21"/>
                      <w:u w:val="none"/>
                      <w:lang w:val="en-US" w:eastAsia="zh-CN" w:bidi="ar"/>
                      <w14:ligatures w14:val="none"/>
                    </w:rPr>
                    <w:t>/</w:t>
                  </w:r>
                </w:p>
              </w:tc>
              <w:tc>
                <w:tcPr>
                  <w:tcW w:w="499"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cs="Times New Roman"/>
                      <w:i w:val="0"/>
                      <w:iCs w:val="0"/>
                      <w:snapToGrid w:val="0"/>
                      <w:color w:val="auto"/>
                      <w:kern w:val="0"/>
                      <w:sz w:val="21"/>
                      <w:szCs w:val="21"/>
                      <w:u w:val="none"/>
                      <w:lang w:val="en-US" w:eastAsia="zh-CN" w:bidi="ar"/>
                      <w14:ligatures w14:val="none"/>
                    </w:rPr>
                  </w:pPr>
                  <w:r>
                    <w:rPr>
                      <w:rFonts w:hint="eastAsia" w:cs="Times New Roman"/>
                      <w:i w:val="0"/>
                      <w:iCs w:val="0"/>
                      <w:snapToGrid w:val="0"/>
                      <w:color w:val="auto"/>
                      <w:kern w:val="0"/>
                      <w:sz w:val="21"/>
                      <w:szCs w:val="21"/>
                      <w:u w:val="none"/>
                      <w:lang w:val="en-US" w:eastAsia="zh-CN" w:bidi="ar"/>
                      <w14:ligatures w14:val="none"/>
                    </w:rPr>
                    <w:t>2.62</w:t>
                  </w:r>
                </w:p>
              </w:tc>
              <w:tc>
                <w:tcPr>
                  <w:tcW w:w="594" w:type="dxa"/>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14:ligatures w14: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4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筛分工序</w:t>
                  </w:r>
                </w:p>
              </w:tc>
              <w:tc>
                <w:tcPr>
                  <w:tcW w:w="591"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594"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颗粒物</w:t>
                  </w:r>
                </w:p>
              </w:tc>
              <w:tc>
                <w:tcPr>
                  <w:tcW w:w="738"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960</w:t>
                  </w:r>
                </w:p>
              </w:tc>
              <w:tc>
                <w:tcPr>
                  <w:tcW w:w="815"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716"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4.2</w:t>
                  </w:r>
                </w:p>
              </w:tc>
              <w:tc>
                <w:tcPr>
                  <w:tcW w:w="636" w:type="dxa"/>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14:ligatures w14:val="none"/>
                    </w:rPr>
                  </w:pPr>
                </w:p>
              </w:tc>
              <w:tc>
                <w:tcPr>
                  <w:tcW w:w="338"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cs="Times New Roman"/>
                      <w:i w:val="0"/>
                      <w:iCs w:val="0"/>
                      <w:snapToGrid w:val="0"/>
                      <w:color w:val="auto"/>
                      <w:kern w:val="0"/>
                      <w:sz w:val="21"/>
                      <w:szCs w:val="21"/>
                      <w:u w:val="none"/>
                      <w:lang w:val="en-US" w:eastAsia="zh-CN" w:bidi="ar"/>
                      <w14:ligatures w14:val="none"/>
                    </w:rPr>
                  </w:pPr>
                  <w:r>
                    <w:rPr>
                      <w:rFonts w:hint="eastAsia" w:cs="Times New Roman"/>
                      <w:i w:val="0"/>
                      <w:iCs w:val="0"/>
                      <w:snapToGrid w:val="0"/>
                      <w:color w:val="auto"/>
                      <w:kern w:val="0"/>
                      <w:sz w:val="21"/>
                      <w:szCs w:val="21"/>
                      <w:u w:val="none"/>
                      <w:lang w:val="en-US" w:eastAsia="zh-CN" w:bidi="ar"/>
                      <w14:ligatures w14:val="none"/>
                    </w:rPr>
                    <w:t>是</w:t>
                  </w:r>
                </w:p>
              </w:tc>
              <w:tc>
                <w:tcPr>
                  <w:tcW w:w="325"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w:t>
                  </w:r>
                </w:p>
              </w:tc>
              <w:tc>
                <w:tcPr>
                  <w:tcW w:w="39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cs="Times New Roman"/>
                      <w:i w:val="0"/>
                      <w:iCs w:val="0"/>
                      <w:snapToGrid w:val="0"/>
                      <w:color w:val="auto"/>
                      <w:kern w:val="0"/>
                      <w:sz w:val="21"/>
                      <w:szCs w:val="21"/>
                      <w:u w:val="none"/>
                      <w:lang w:val="en-US" w:eastAsia="zh-CN" w:bidi="ar"/>
                      <w14:ligatures w14:val="none"/>
                    </w:rPr>
                  </w:pPr>
                  <w:r>
                    <w:rPr>
                      <w:rFonts w:hint="eastAsia" w:cs="Times New Roman"/>
                      <w:i w:val="0"/>
                      <w:iCs w:val="0"/>
                      <w:snapToGrid w:val="0"/>
                      <w:color w:val="auto"/>
                      <w:kern w:val="0"/>
                      <w:sz w:val="21"/>
                      <w:szCs w:val="21"/>
                      <w:u w:val="none"/>
                      <w:lang w:val="en-US" w:eastAsia="zh-CN" w:bidi="ar"/>
                      <w14:ligatures w14:val="none"/>
                    </w:rPr>
                    <w:t>74%</w:t>
                  </w:r>
                </w:p>
              </w:tc>
              <w:tc>
                <w:tcPr>
                  <w:tcW w:w="594"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565"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cs="Times New Roman"/>
                      <w:i w:val="0"/>
                      <w:iCs w:val="0"/>
                      <w:snapToGrid w:val="0"/>
                      <w:color w:val="auto"/>
                      <w:kern w:val="0"/>
                      <w:sz w:val="21"/>
                      <w:szCs w:val="21"/>
                      <w:u w:val="none"/>
                      <w:lang w:val="en-US" w:eastAsia="zh-CN" w:bidi="ar"/>
                      <w14:ligatures w14:val="none"/>
                    </w:rPr>
                  </w:pPr>
                  <w:r>
                    <w:rPr>
                      <w:rFonts w:hint="eastAsia" w:cs="Times New Roman"/>
                      <w:i w:val="0"/>
                      <w:iCs w:val="0"/>
                      <w:snapToGrid w:val="0"/>
                      <w:color w:val="auto"/>
                      <w:kern w:val="0"/>
                      <w:sz w:val="21"/>
                      <w:szCs w:val="21"/>
                      <w:u w:val="none"/>
                      <w:lang w:val="en-US" w:eastAsia="zh-CN" w:bidi="ar"/>
                      <w14:ligatures w14:val="none"/>
                    </w:rPr>
                    <w:t>/</w:t>
                  </w:r>
                </w:p>
              </w:tc>
              <w:tc>
                <w:tcPr>
                  <w:tcW w:w="499"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cs="Times New Roman"/>
                      <w:i w:val="0"/>
                      <w:iCs w:val="0"/>
                      <w:snapToGrid w:val="0"/>
                      <w:color w:val="auto"/>
                      <w:kern w:val="0"/>
                      <w:sz w:val="21"/>
                      <w:szCs w:val="21"/>
                      <w:u w:val="none"/>
                      <w:lang w:val="en-US" w:eastAsia="zh-CN" w:bidi="ar"/>
                      <w14:ligatures w14:val="none"/>
                    </w:rPr>
                  </w:pPr>
                  <w:r>
                    <w:rPr>
                      <w:rFonts w:hint="eastAsia" w:cs="Times New Roman"/>
                      <w:i w:val="0"/>
                      <w:iCs w:val="0"/>
                      <w:snapToGrid w:val="0"/>
                      <w:color w:val="auto"/>
                      <w:kern w:val="0"/>
                      <w:sz w:val="21"/>
                      <w:szCs w:val="21"/>
                      <w:u w:val="none"/>
                      <w:lang w:val="en-US" w:eastAsia="zh-CN" w:bidi="ar"/>
                      <w14:ligatures w14:val="none"/>
                    </w:rPr>
                    <w:t>1.1</w:t>
                  </w:r>
                </w:p>
              </w:tc>
              <w:tc>
                <w:tcPr>
                  <w:tcW w:w="594" w:type="dxa"/>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14:ligatures w14: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4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混合工序</w:t>
                  </w:r>
                </w:p>
              </w:tc>
              <w:tc>
                <w:tcPr>
                  <w:tcW w:w="591"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594"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颗粒物</w:t>
                  </w:r>
                </w:p>
              </w:tc>
              <w:tc>
                <w:tcPr>
                  <w:tcW w:w="738"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960</w:t>
                  </w:r>
                </w:p>
              </w:tc>
              <w:tc>
                <w:tcPr>
                  <w:tcW w:w="815"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716"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0.12</w:t>
                  </w:r>
                </w:p>
              </w:tc>
              <w:tc>
                <w:tcPr>
                  <w:tcW w:w="636" w:type="dxa"/>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14:ligatures w14:val="none"/>
                    </w:rPr>
                  </w:pPr>
                </w:p>
              </w:tc>
              <w:tc>
                <w:tcPr>
                  <w:tcW w:w="338"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cs="Times New Roman"/>
                      <w:i w:val="0"/>
                      <w:iCs w:val="0"/>
                      <w:snapToGrid w:val="0"/>
                      <w:color w:val="auto"/>
                      <w:kern w:val="0"/>
                      <w:sz w:val="21"/>
                      <w:szCs w:val="21"/>
                      <w:u w:val="none"/>
                      <w:lang w:val="en-US" w:eastAsia="zh-CN" w:bidi="ar"/>
                      <w14:ligatures w14:val="none"/>
                    </w:rPr>
                  </w:pPr>
                  <w:r>
                    <w:rPr>
                      <w:rFonts w:hint="eastAsia" w:cs="Times New Roman"/>
                      <w:i w:val="0"/>
                      <w:iCs w:val="0"/>
                      <w:snapToGrid w:val="0"/>
                      <w:color w:val="auto"/>
                      <w:kern w:val="0"/>
                      <w:sz w:val="21"/>
                      <w:szCs w:val="21"/>
                      <w:u w:val="none"/>
                      <w:lang w:val="en-US" w:eastAsia="zh-CN" w:bidi="ar"/>
                      <w14:ligatures w14:val="none"/>
                    </w:rPr>
                    <w:t>是</w:t>
                  </w:r>
                </w:p>
              </w:tc>
              <w:tc>
                <w:tcPr>
                  <w:tcW w:w="325"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w:t>
                  </w:r>
                </w:p>
              </w:tc>
              <w:tc>
                <w:tcPr>
                  <w:tcW w:w="39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cs="Times New Roman"/>
                      <w:i w:val="0"/>
                      <w:iCs w:val="0"/>
                      <w:snapToGrid w:val="0"/>
                      <w:color w:val="auto"/>
                      <w:kern w:val="0"/>
                      <w:sz w:val="21"/>
                      <w:szCs w:val="21"/>
                      <w:u w:val="none"/>
                      <w:lang w:val="en-US" w:eastAsia="zh-CN" w:bidi="ar"/>
                      <w14:ligatures w14:val="none"/>
                    </w:rPr>
                  </w:pPr>
                  <w:r>
                    <w:rPr>
                      <w:rFonts w:hint="eastAsia" w:cs="Times New Roman"/>
                      <w:i w:val="0"/>
                      <w:iCs w:val="0"/>
                      <w:snapToGrid w:val="0"/>
                      <w:color w:val="auto"/>
                      <w:kern w:val="0"/>
                      <w:sz w:val="21"/>
                      <w:szCs w:val="21"/>
                      <w:u w:val="none"/>
                      <w:lang w:val="en-US" w:eastAsia="zh-CN" w:bidi="ar"/>
                      <w14:ligatures w14:val="none"/>
                    </w:rPr>
                    <w:t>74%</w:t>
                  </w:r>
                </w:p>
              </w:tc>
              <w:tc>
                <w:tcPr>
                  <w:tcW w:w="594"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565"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cs="Times New Roman"/>
                      <w:i w:val="0"/>
                      <w:iCs w:val="0"/>
                      <w:snapToGrid w:val="0"/>
                      <w:color w:val="auto"/>
                      <w:kern w:val="0"/>
                      <w:sz w:val="21"/>
                      <w:szCs w:val="21"/>
                      <w:u w:val="none"/>
                      <w:lang w:val="en-US" w:eastAsia="zh-CN" w:bidi="ar"/>
                      <w14:ligatures w14:val="none"/>
                    </w:rPr>
                  </w:pPr>
                  <w:r>
                    <w:rPr>
                      <w:rFonts w:hint="eastAsia" w:cs="Times New Roman"/>
                      <w:i w:val="0"/>
                      <w:iCs w:val="0"/>
                      <w:snapToGrid w:val="0"/>
                      <w:color w:val="auto"/>
                      <w:kern w:val="0"/>
                      <w:sz w:val="21"/>
                      <w:szCs w:val="21"/>
                      <w:u w:val="none"/>
                      <w:lang w:val="en-US" w:eastAsia="zh-CN" w:bidi="ar"/>
                      <w14:ligatures w14:val="none"/>
                    </w:rPr>
                    <w:t>/</w:t>
                  </w:r>
                </w:p>
              </w:tc>
              <w:tc>
                <w:tcPr>
                  <w:tcW w:w="499"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cs="Times New Roman"/>
                      <w:i w:val="0"/>
                      <w:iCs w:val="0"/>
                      <w:snapToGrid w:val="0"/>
                      <w:color w:val="auto"/>
                      <w:kern w:val="0"/>
                      <w:sz w:val="21"/>
                      <w:szCs w:val="21"/>
                      <w:u w:val="none"/>
                      <w:lang w:val="en-US" w:eastAsia="zh-CN" w:bidi="ar"/>
                      <w14:ligatures w14:val="none"/>
                    </w:rPr>
                  </w:pPr>
                  <w:r>
                    <w:rPr>
                      <w:rFonts w:hint="eastAsia" w:cs="Times New Roman"/>
                      <w:i w:val="0"/>
                      <w:iCs w:val="0"/>
                      <w:snapToGrid w:val="0"/>
                      <w:color w:val="auto"/>
                      <w:kern w:val="0"/>
                      <w:sz w:val="21"/>
                      <w:szCs w:val="21"/>
                      <w:u w:val="none"/>
                      <w:lang w:val="en-US" w:eastAsia="zh-CN" w:bidi="ar"/>
                      <w14:ligatures w14:val="none"/>
                    </w:rPr>
                    <w:t>0.03</w:t>
                  </w:r>
                </w:p>
              </w:tc>
              <w:tc>
                <w:tcPr>
                  <w:tcW w:w="594" w:type="dxa"/>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14:ligatures w14: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4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造粒</w:t>
                  </w:r>
                </w:p>
              </w:tc>
              <w:tc>
                <w:tcPr>
                  <w:tcW w:w="591"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594"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颗粒物</w:t>
                  </w:r>
                </w:p>
              </w:tc>
              <w:tc>
                <w:tcPr>
                  <w:tcW w:w="738"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960</w:t>
                  </w:r>
                </w:p>
              </w:tc>
              <w:tc>
                <w:tcPr>
                  <w:tcW w:w="815"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716"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0.12</w:t>
                  </w:r>
                </w:p>
              </w:tc>
              <w:tc>
                <w:tcPr>
                  <w:tcW w:w="636" w:type="dxa"/>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14:ligatures w14:val="none"/>
                    </w:rPr>
                  </w:pPr>
                </w:p>
              </w:tc>
              <w:tc>
                <w:tcPr>
                  <w:tcW w:w="338"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cs="Times New Roman"/>
                      <w:i w:val="0"/>
                      <w:iCs w:val="0"/>
                      <w:snapToGrid w:val="0"/>
                      <w:color w:val="auto"/>
                      <w:kern w:val="0"/>
                      <w:sz w:val="21"/>
                      <w:szCs w:val="21"/>
                      <w:u w:val="none"/>
                      <w:lang w:val="en-US" w:eastAsia="zh-CN" w:bidi="ar"/>
                      <w14:ligatures w14:val="none"/>
                    </w:rPr>
                  </w:pPr>
                  <w:r>
                    <w:rPr>
                      <w:rFonts w:hint="eastAsia" w:cs="Times New Roman"/>
                      <w:i w:val="0"/>
                      <w:iCs w:val="0"/>
                      <w:snapToGrid w:val="0"/>
                      <w:color w:val="auto"/>
                      <w:kern w:val="0"/>
                      <w:sz w:val="21"/>
                      <w:szCs w:val="21"/>
                      <w:u w:val="none"/>
                      <w:lang w:val="en-US" w:eastAsia="zh-CN" w:bidi="ar"/>
                      <w14:ligatures w14:val="none"/>
                    </w:rPr>
                    <w:t>是</w:t>
                  </w:r>
                </w:p>
              </w:tc>
              <w:tc>
                <w:tcPr>
                  <w:tcW w:w="325"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w:t>
                  </w:r>
                </w:p>
              </w:tc>
              <w:tc>
                <w:tcPr>
                  <w:tcW w:w="39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cs="Times New Roman"/>
                      <w:i w:val="0"/>
                      <w:iCs w:val="0"/>
                      <w:snapToGrid w:val="0"/>
                      <w:color w:val="auto"/>
                      <w:kern w:val="0"/>
                      <w:sz w:val="21"/>
                      <w:szCs w:val="21"/>
                      <w:u w:val="none"/>
                      <w:lang w:val="en-US" w:eastAsia="zh-CN" w:bidi="ar"/>
                      <w14:ligatures w14:val="none"/>
                    </w:rPr>
                  </w:pPr>
                  <w:r>
                    <w:rPr>
                      <w:rFonts w:hint="eastAsia" w:cs="Times New Roman"/>
                      <w:i w:val="0"/>
                      <w:iCs w:val="0"/>
                      <w:snapToGrid w:val="0"/>
                      <w:color w:val="auto"/>
                      <w:kern w:val="0"/>
                      <w:sz w:val="21"/>
                      <w:szCs w:val="21"/>
                      <w:u w:val="none"/>
                      <w:lang w:val="en-US" w:eastAsia="zh-CN" w:bidi="ar"/>
                      <w14:ligatures w14:val="none"/>
                    </w:rPr>
                    <w:t>74%</w:t>
                  </w:r>
                </w:p>
              </w:tc>
              <w:tc>
                <w:tcPr>
                  <w:tcW w:w="594"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565"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cs="Times New Roman"/>
                      <w:i w:val="0"/>
                      <w:iCs w:val="0"/>
                      <w:snapToGrid w:val="0"/>
                      <w:color w:val="auto"/>
                      <w:kern w:val="0"/>
                      <w:sz w:val="21"/>
                      <w:szCs w:val="21"/>
                      <w:u w:val="none"/>
                      <w:lang w:val="en-US" w:eastAsia="zh-CN" w:bidi="ar"/>
                      <w14:ligatures w14:val="none"/>
                    </w:rPr>
                  </w:pPr>
                  <w:r>
                    <w:rPr>
                      <w:rFonts w:hint="eastAsia" w:cs="Times New Roman"/>
                      <w:i w:val="0"/>
                      <w:iCs w:val="0"/>
                      <w:snapToGrid w:val="0"/>
                      <w:color w:val="auto"/>
                      <w:kern w:val="0"/>
                      <w:sz w:val="21"/>
                      <w:szCs w:val="21"/>
                      <w:u w:val="none"/>
                      <w:lang w:val="en-US" w:eastAsia="zh-CN" w:bidi="ar"/>
                      <w14:ligatures w14:val="none"/>
                    </w:rPr>
                    <w:t>/</w:t>
                  </w:r>
                </w:p>
              </w:tc>
              <w:tc>
                <w:tcPr>
                  <w:tcW w:w="499"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cs="Times New Roman"/>
                      <w:i w:val="0"/>
                      <w:iCs w:val="0"/>
                      <w:snapToGrid w:val="0"/>
                      <w:color w:val="auto"/>
                      <w:kern w:val="0"/>
                      <w:sz w:val="21"/>
                      <w:szCs w:val="21"/>
                      <w:u w:val="none"/>
                      <w:lang w:val="en-US" w:eastAsia="zh-CN" w:bidi="ar"/>
                      <w14:ligatures w14:val="none"/>
                    </w:rPr>
                  </w:pPr>
                  <w:r>
                    <w:rPr>
                      <w:rFonts w:hint="eastAsia" w:cs="Times New Roman"/>
                      <w:i w:val="0"/>
                      <w:iCs w:val="0"/>
                      <w:snapToGrid w:val="0"/>
                      <w:color w:val="auto"/>
                      <w:kern w:val="0"/>
                      <w:sz w:val="21"/>
                      <w:szCs w:val="21"/>
                      <w:u w:val="none"/>
                      <w:lang w:val="en-US" w:eastAsia="zh-CN" w:bidi="ar"/>
                      <w14:ligatures w14:val="none"/>
                    </w:rPr>
                    <w:t>0.03</w:t>
                  </w:r>
                </w:p>
              </w:tc>
              <w:tc>
                <w:tcPr>
                  <w:tcW w:w="594" w:type="dxa"/>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14:ligatures w14: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42"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上料</w:t>
                  </w:r>
                </w:p>
              </w:tc>
              <w:tc>
                <w:tcPr>
                  <w:tcW w:w="591"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color w:val="auto"/>
                      <w:sz w:val="21"/>
                      <w:szCs w:val="21"/>
                      <w:highlight w:val="none"/>
                      <w:lang w:val="en-US" w:eastAsia="zh-CN"/>
                    </w:rPr>
                  </w:pPr>
                  <w:r>
                    <w:rPr>
                      <w:rFonts w:hint="eastAsia" w:cs="Times New Roman"/>
                      <w:i w:val="0"/>
                      <w:iCs w:val="0"/>
                      <w:snapToGrid w:val="0"/>
                      <w:color w:val="auto"/>
                      <w:kern w:val="0"/>
                      <w:sz w:val="21"/>
                      <w:szCs w:val="21"/>
                      <w:u w:val="none"/>
                      <w:lang w:val="en-US" w:eastAsia="zh-CN" w:bidi="ar"/>
                      <w14:ligatures w14:val="none"/>
                    </w:rPr>
                    <w:t>20</w:t>
                  </w:r>
                  <w:r>
                    <w:rPr>
                      <w:rFonts w:hint="default" w:ascii="Times New Roman" w:hAnsi="Times New Roman" w:eastAsia="宋体" w:cs="Times New Roman"/>
                      <w:i w:val="0"/>
                      <w:iCs w:val="0"/>
                      <w:snapToGrid w:val="0"/>
                      <w:color w:val="auto"/>
                      <w:kern w:val="0"/>
                      <w:sz w:val="21"/>
                      <w:szCs w:val="21"/>
                      <w:u w:val="none"/>
                      <w:lang w:val="en-US" w:eastAsia="zh-CN" w:bidi="ar"/>
                      <w14:ligatures w14:val="none"/>
                    </w:rPr>
                    <w:t>000</w:t>
                  </w:r>
                </w:p>
              </w:tc>
              <w:tc>
                <w:tcPr>
                  <w:tcW w:w="594"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snapToGrid w:val="0"/>
                      <w:color w:val="auto"/>
                      <w:kern w:val="0"/>
                      <w:sz w:val="21"/>
                      <w:szCs w:val="21"/>
                      <w:u w:val="none"/>
                      <w:lang w:val="en-US" w:eastAsia="zh-CN" w:bidi="ar"/>
                      <w14:ligatures w14:val="none"/>
                    </w:rPr>
                    <w:t>颗粒物</w:t>
                  </w:r>
                </w:p>
              </w:tc>
              <w:tc>
                <w:tcPr>
                  <w:tcW w:w="738"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960</w:t>
                  </w:r>
                </w:p>
              </w:tc>
              <w:tc>
                <w:tcPr>
                  <w:tcW w:w="815"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0.15</w:t>
                  </w:r>
                </w:p>
              </w:tc>
              <w:tc>
                <w:tcPr>
                  <w:tcW w:w="716"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0.083</w:t>
                  </w:r>
                </w:p>
              </w:tc>
              <w:tc>
                <w:tcPr>
                  <w:tcW w:w="636"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SA"/>
                      <w14:ligatures w14:val="none"/>
                    </w:rPr>
                  </w:pPr>
                  <w:r>
                    <w:rPr>
                      <w:rFonts w:hint="default" w:ascii="Times New Roman" w:hAnsi="Times New Roman" w:eastAsia="宋体" w:cs="Times New Roman"/>
                      <w:i w:val="0"/>
                      <w:iCs w:val="0"/>
                      <w:snapToGrid w:val="0"/>
                      <w:color w:val="auto"/>
                      <w:kern w:val="0"/>
                      <w:sz w:val="21"/>
                      <w:szCs w:val="21"/>
                      <w:u w:val="none"/>
                      <w:lang w:val="en-US" w:eastAsia="zh-CN" w:bidi="ar"/>
                      <w14:ligatures w14:val="none"/>
                    </w:rPr>
                    <w:t>集气罩、布袋除尘器+15m高排气筒</w:t>
                  </w:r>
                </w:p>
              </w:tc>
              <w:tc>
                <w:tcPr>
                  <w:tcW w:w="338"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cs="Times New Roman"/>
                      <w:i w:val="0"/>
                      <w:iCs w:val="0"/>
                      <w:snapToGrid w:val="0"/>
                      <w:color w:val="auto"/>
                      <w:kern w:val="0"/>
                      <w:sz w:val="21"/>
                      <w:szCs w:val="21"/>
                      <w:u w:val="none"/>
                      <w:lang w:val="en-US" w:eastAsia="zh-CN" w:bidi="ar"/>
                      <w14:ligatures w14:val="none"/>
                    </w:rPr>
                  </w:pPr>
                  <w:r>
                    <w:rPr>
                      <w:rFonts w:hint="default" w:ascii="Times New Roman" w:hAnsi="Times New Roman" w:eastAsia="宋体" w:cs="Times New Roman"/>
                      <w:i w:val="0"/>
                      <w:iCs w:val="0"/>
                      <w:snapToGrid w:val="0"/>
                      <w:color w:val="auto"/>
                      <w:kern w:val="0"/>
                      <w:sz w:val="21"/>
                      <w:szCs w:val="21"/>
                      <w:u w:val="none"/>
                      <w:lang w:val="en-US" w:eastAsia="zh-CN" w:bidi="ar"/>
                      <w14:ligatures w14:val="none"/>
                    </w:rPr>
                    <w:t>是</w:t>
                  </w:r>
                </w:p>
              </w:tc>
              <w:tc>
                <w:tcPr>
                  <w:tcW w:w="325"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cs="Times New Roman"/>
                      <w:bCs/>
                      <w:color w:val="auto"/>
                      <w:sz w:val="21"/>
                      <w:szCs w:val="21"/>
                      <w:highlight w:val="none"/>
                      <w:lang w:val="en-US" w:eastAsia="zh-CN"/>
                    </w:rPr>
                  </w:pPr>
                  <w:r>
                    <w:rPr>
                      <w:rFonts w:hint="default" w:ascii="Times New Roman" w:hAnsi="Times New Roman" w:eastAsia="宋体" w:cs="Times New Roman"/>
                      <w:i w:val="0"/>
                      <w:iCs w:val="0"/>
                      <w:snapToGrid w:val="0"/>
                      <w:color w:val="auto"/>
                      <w:kern w:val="0"/>
                      <w:sz w:val="21"/>
                      <w:szCs w:val="21"/>
                      <w:u w:val="none"/>
                      <w:lang w:val="en-US" w:eastAsia="zh-CN" w:bidi="ar"/>
                      <w14:ligatures w14:val="none"/>
                    </w:rPr>
                    <w:t>90%</w:t>
                  </w:r>
                </w:p>
              </w:tc>
              <w:tc>
                <w:tcPr>
                  <w:tcW w:w="39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cs="Times New Roman"/>
                      <w:i w:val="0"/>
                      <w:iCs w:val="0"/>
                      <w:snapToGrid w:val="0"/>
                      <w:color w:val="auto"/>
                      <w:kern w:val="0"/>
                      <w:sz w:val="21"/>
                      <w:szCs w:val="21"/>
                      <w:u w:val="none"/>
                      <w:lang w:val="en-US" w:eastAsia="zh-CN" w:bidi="ar"/>
                      <w14:ligatures w14:val="none"/>
                    </w:rPr>
                  </w:pPr>
                  <w:r>
                    <w:rPr>
                      <w:rFonts w:hint="default" w:ascii="Times New Roman" w:hAnsi="Times New Roman" w:eastAsia="宋体" w:cs="Times New Roman"/>
                      <w:i w:val="0"/>
                      <w:iCs w:val="0"/>
                      <w:snapToGrid w:val="0"/>
                      <w:color w:val="auto"/>
                      <w:kern w:val="0"/>
                      <w:sz w:val="21"/>
                      <w:szCs w:val="21"/>
                      <w:u w:val="none"/>
                      <w:lang w:val="en-US" w:eastAsia="zh-CN" w:bidi="ar"/>
                      <w14:ligatures w14:val="none"/>
                    </w:rPr>
                    <w:t>99%</w:t>
                  </w:r>
                </w:p>
              </w:tc>
              <w:tc>
                <w:tcPr>
                  <w:tcW w:w="594" w:type="dxa"/>
                  <w:vMerge w:val="restar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i w:val="0"/>
                      <w:iCs w:val="0"/>
                      <w:snapToGrid w:val="0"/>
                      <w:color w:val="auto"/>
                      <w:kern w:val="0"/>
                      <w:sz w:val="21"/>
                      <w:szCs w:val="21"/>
                      <w:u w:val="none"/>
                      <w:lang w:val="en-US" w:eastAsia="zh-CN" w:bidi="ar-SA"/>
                      <w14:ligatures w14:val="none"/>
                    </w:rPr>
                  </w:pPr>
                  <w:r>
                    <w:rPr>
                      <w:rFonts w:hint="eastAsia" w:cs="Times New Roman"/>
                      <w:i w:val="0"/>
                      <w:iCs w:val="0"/>
                      <w:snapToGrid w:val="0"/>
                      <w:color w:val="auto"/>
                      <w:kern w:val="0"/>
                      <w:sz w:val="21"/>
                      <w:szCs w:val="21"/>
                      <w:u w:val="none"/>
                      <w:lang w:val="en-US" w:eastAsia="zh-CN" w:bidi="ar-SA"/>
                      <w14:ligatures w14:val="none"/>
                    </w:rPr>
                    <w:t>68.5</w:t>
                  </w:r>
                </w:p>
              </w:tc>
              <w:tc>
                <w:tcPr>
                  <w:tcW w:w="565"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SA"/>
                      <w14:ligatures w14:val="none"/>
                    </w:rPr>
                  </w:pPr>
                  <w:r>
                    <w:rPr>
                      <w:rFonts w:hint="eastAsia" w:cs="Times New Roman"/>
                      <w:i w:val="0"/>
                      <w:iCs w:val="0"/>
                      <w:snapToGrid w:val="0"/>
                      <w:color w:val="auto"/>
                      <w:kern w:val="0"/>
                      <w:sz w:val="21"/>
                      <w:szCs w:val="21"/>
                      <w:u w:val="none"/>
                      <w:lang w:val="en-US" w:eastAsia="zh-CN" w:bidi="ar-SA"/>
                      <w14:ligatures w14:val="none"/>
                    </w:rPr>
                    <w:t>1.37</w:t>
                  </w:r>
                </w:p>
              </w:tc>
              <w:tc>
                <w:tcPr>
                  <w:tcW w:w="499"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14:ligatures w14:val="none"/>
                    </w:rPr>
                  </w:pPr>
                  <w:r>
                    <w:rPr>
                      <w:rFonts w:hint="eastAsia" w:cs="Times New Roman"/>
                      <w:i w:val="0"/>
                      <w:iCs w:val="0"/>
                      <w:snapToGrid w:val="0"/>
                      <w:color w:val="auto"/>
                      <w:kern w:val="0"/>
                      <w:sz w:val="21"/>
                      <w:szCs w:val="21"/>
                      <w:u w:val="none"/>
                      <w:lang w:val="en-US" w:eastAsia="zh-CN" w:bidi="ar"/>
                      <w14:ligatures w14:val="none"/>
                    </w:rPr>
                    <w:t>1.31</w:t>
                  </w:r>
                </w:p>
              </w:tc>
              <w:tc>
                <w:tcPr>
                  <w:tcW w:w="594"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SA"/>
                      <w14:ligatures w14:val="none"/>
                    </w:rPr>
                  </w:pPr>
                  <w:r>
                    <w:rPr>
                      <w:rFonts w:hint="default" w:ascii="Times New Roman" w:hAnsi="Times New Roman" w:eastAsia="宋体" w:cs="Times New Roman"/>
                      <w:i w:val="0"/>
                      <w:iCs w:val="0"/>
                      <w:snapToGrid w:val="0"/>
                      <w:color w:val="auto"/>
                      <w:kern w:val="0"/>
                      <w:sz w:val="21"/>
                      <w:szCs w:val="21"/>
                      <w:u w:val="none"/>
                      <w:lang w:val="en-US" w:eastAsia="zh-CN" w:bidi="ar"/>
                      <w14:ligatures w14:val="none"/>
                    </w:rPr>
                    <w:t>有组织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71" w:hRule="atLeast"/>
                <w:jc w:val="center"/>
              </w:trPr>
              <w:tc>
                <w:tcPr>
                  <w:tcW w:w="44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宋体" w:cs="Times New Roman"/>
                      <w:i w:val="0"/>
                      <w:iCs w:val="0"/>
                      <w:snapToGrid w:val="0"/>
                      <w:color w:val="auto"/>
                      <w:kern w:val="0"/>
                      <w:sz w:val="21"/>
                      <w:szCs w:val="21"/>
                      <w:u w:val="none"/>
                      <w:lang w:val="en-US" w:eastAsia="zh-CN" w:bidi="ar-SA"/>
                      <w14:ligatures w14:val="none"/>
                    </w:rPr>
                  </w:pPr>
                  <w:r>
                    <w:rPr>
                      <w:rFonts w:hint="eastAsia" w:ascii="Times New Roman" w:hAnsi="Times New Roman" w:eastAsia="宋体" w:cs="Times New Roman"/>
                      <w:color w:val="000000" w:themeColor="text1"/>
                      <w:sz w:val="21"/>
                      <w:lang w:val="en-US" w:eastAsia="zh-CN"/>
                      <w14:textFill>
                        <w14:solidFill>
                          <w14:schemeClr w14:val="tx1"/>
                        </w14:solidFill>
                      </w14:textFill>
                    </w:rPr>
                    <w:t>磨粉工序</w:t>
                  </w:r>
                </w:p>
              </w:tc>
              <w:tc>
                <w:tcPr>
                  <w:tcW w:w="59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SA"/>
                      <w14:ligatures w14:val="none"/>
                    </w:rPr>
                  </w:pPr>
                  <w:r>
                    <w:rPr>
                      <w:rFonts w:hint="eastAsia" w:cs="Times New Roman"/>
                      <w:i w:val="0"/>
                      <w:iCs w:val="0"/>
                      <w:snapToGrid w:val="0"/>
                      <w:color w:val="auto"/>
                      <w:kern w:val="0"/>
                      <w:sz w:val="21"/>
                      <w:szCs w:val="21"/>
                      <w:u w:val="none"/>
                      <w:lang w:val="en-US" w:eastAsia="zh-CN" w:bidi="ar"/>
                      <w14:ligatures w14:val="none"/>
                    </w:rPr>
                    <w:t>20</w:t>
                  </w:r>
                  <w:r>
                    <w:rPr>
                      <w:rFonts w:hint="default" w:ascii="Times New Roman" w:hAnsi="Times New Roman" w:eastAsia="宋体" w:cs="Times New Roman"/>
                      <w:i w:val="0"/>
                      <w:iCs w:val="0"/>
                      <w:snapToGrid w:val="0"/>
                      <w:color w:val="auto"/>
                      <w:kern w:val="0"/>
                      <w:sz w:val="21"/>
                      <w:szCs w:val="21"/>
                      <w:u w:val="none"/>
                      <w:lang w:val="en-US" w:eastAsia="zh-CN" w:bidi="ar"/>
                      <w14:ligatures w14:val="none"/>
                    </w:rPr>
                    <w:t>000</w:t>
                  </w:r>
                </w:p>
              </w:tc>
              <w:tc>
                <w:tcPr>
                  <w:tcW w:w="59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SA"/>
                      <w14:ligatures w14:val="none"/>
                    </w:rPr>
                  </w:pPr>
                  <w:r>
                    <w:rPr>
                      <w:rFonts w:hint="default" w:ascii="Times New Roman" w:hAnsi="Times New Roman" w:eastAsia="宋体" w:cs="Times New Roman"/>
                      <w:i w:val="0"/>
                      <w:iCs w:val="0"/>
                      <w:snapToGrid w:val="0"/>
                      <w:color w:val="auto"/>
                      <w:kern w:val="0"/>
                      <w:sz w:val="21"/>
                      <w:szCs w:val="21"/>
                      <w:u w:val="none"/>
                      <w:lang w:val="en-US" w:eastAsia="zh-CN" w:bidi="ar"/>
                      <w14:ligatures w14:val="none"/>
                    </w:rPr>
                    <w:t>颗粒物</w:t>
                  </w:r>
                  <w:r>
                    <w:rPr>
                      <w:rFonts w:hint="eastAsia" w:cs="Times New Roman"/>
                      <w:i w:val="0"/>
                      <w:iCs w:val="0"/>
                      <w:snapToGrid w:val="0"/>
                      <w:color w:val="auto"/>
                      <w:kern w:val="0"/>
                      <w:sz w:val="21"/>
                      <w:szCs w:val="21"/>
                      <w:u w:val="none"/>
                      <w:lang w:val="en-US" w:eastAsia="zh-CN" w:bidi="ar"/>
                      <w14:ligatures w14:val="none"/>
                    </w:rPr>
                    <w:t>、臭气浓度</w:t>
                  </w:r>
                </w:p>
              </w:tc>
              <w:tc>
                <w:tcPr>
                  <w:tcW w:w="73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SA"/>
                      <w14:ligatures w14:val="none"/>
                    </w:rPr>
                  </w:pPr>
                  <w:r>
                    <w:rPr>
                      <w:rFonts w:hint="eastAsia" w:cs="Times New Roman"/>
                      <w:color w:val="auto"/>
                      <w:sz w:val="21"/>
                      <w:szCs w:val="21"/>
                      <w:highlight w:val="none"/>
                      <w:lang w:val="en-US" w:eastAsia="zh-CN"/>
                    </w:rPr>
                    <w:t>960</w:t>
                  </w:r>
                </w:p>
              </w:tc>
              <w:tc>
                <w:tcPr>
                  <w:tcW w:w="81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SA"/>
                      <w14:ligatures w14:val="none"/>
                    </w:rPr>
                  </w:pPr>
                  <w:r>
                    <w:rPr>
                      <w:rFonts w:hint="eastAsia" w:cs="Times New Roman"/>
                      <w:i w:val="0"/>
                      <w:iCs w:val="0"/>
                      <w:snapToGrid w:val="0"/>
                      <w:color w:val="auto"/>
                      <w:kern w:val="0"/>
                      <w:sz w:val="21"/>
                      <w:szCs w:val="21"/>
                      <w:u w:val="none"/>
                      <w:lang w:val="en-US" w:eastAsia="zh-CN" w:bidi="ar"/>
                      <w14:ligatures w14:val="none"/>
                    </w:rPr>
                    <w:t>105</w:t>
                  </w:r>
                </w:p>
              </w:tc>
              <w:tc>
                <w:tcPr>
                  <w:tcW w:w="71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SA"/>
                      <w14:ligatures w14:val="none"/>
                    </w:rPr>
                  </w:pPr>
                  <w:r>
                    <w:rPr>
                      <w:rFonts w:hint="eastAsia" w:cs="Times New Roman"/>
                      <w:i w:val="0"/>
                      <w:iCs w:val="0"/>
                      <w:snapToGrid w:val="0"/>
                      <w:color w:val="auto"/>
                      <w:kern w:val="0"/>
                      <w:sz w:val="21"/>
                      <w:szCs w:val="21"/>
                      <w:u w:val="none"/>
                      <w:lang w:val="en-US" w:eastAsia="zh-CN" w:bidi="ar"/>
                      <w14:ligatures w14:val="none"/>
                    </w:rPr>
                    <w:t>100.8</w:t>
                  </w:r>
                </w:p>
              </w:tc>
              <w:tc>
                <w:tcPr>
                  <w:tcW w:w="636" w:type="dxa"/>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SA"/>
                      <w14:ligatures w14:val="none"/>
                    </w:rPr>
                  </w:pPr>
                </w:p>
              </w:tc>
              <w:tc>
                <w:tcPr>
                  <w:tcW w:w="33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SA"/>
                      <w14:ligatures w14:val="none"/>
                    </w:rPr>
                  </w:pPr>
                  <w:r>
                    <w:rPr>
                      <w:rFonts w:hint="default" w:ascii="Times New Roman" w:hAnsi="Times New Roman" w:eastAsia="宋体" w:cs="Times New Roman"/>
                      <w:i w:val="0"/>
                      <w:iCs w:val="0"/>
                      <w:snapToGrid w:val="0"/>
                      <w:color w:val="auto"/>
                      <w:kern w:val="0"/>
                      <w:sz w:val="21"/>
                      <w:szCs w:val="21"/>
                      <w:u w:val="none"/>
                      <w:lang w:val="en-US" w:eastAsia="zh-CN" w:bidi="ar"/>
                      <w14:ligatures w14:val="none"/>
                    </w:rPr>
                    <w:t>是</w:t>
                  </w:r>
                </w:p>
              </w:tc>
              <w:tc>
                <w:tcPr>
                  <w:tcW w:w="32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SA"/>
                      <w14:ligatures w14:val="none"/>
                    </w:rPr>
                  </w:pPr>
                  <w:r>
                    <w:rPr>
                      <w:rFonts w:hint="default" w:ascii="Times New Roman" w:hAnsi="Times New Roman" w:eastAsia="宋体" w:cs="Times New Roman"/>
                      <w:i w:val="0"/>
                      <w:iCs w:val="0"/>
                      <w:snapToGrid w:val="0"/>
                      <w:color w:val="auto"/>
                      <w:kern w:val="0"/>
                      <w:sz w:val="21"/>
                      <w:szCs w:val="21"/>
                      <w:u w:val="none"/>
                      <w:lang w:val="en-US" w:eastAsia="zh-CN" w:bidi="ar"/>
                      <w14:ligatures w14:val="none"/>
                    </w:rPr>
                    <w:t>90%</w:t>
                  </w:r>
                </w:p>
              </w:tc>
              <w:tc>
                <w:tcPr>
                  <w:tcW w:w="39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SA"/>
                      <w14:ligatures w14:val="none"/>
                    </w:rPr>
                  </w:pPr>
                  <w:r>
                    <w:rPr>
                      <w:rFonts w:hint="default" w:ascii="Times New Roman" w:hAnsi="Times New Roman" w:eastAsia="宋体" w:cs="Times New Roman"/>
                      <w:i w:val="0"/>
                      <w:iCs w:val="0"/>
                      <w:snapToGrid w:val="0"/>
                      <w:color w:val="auto"/>
                      <w:kern w:val="0"/>
                      <w:sz w:val="21"/>
                      <w:szCs w:val="21"/>
                      <w:u w:val="none"/>
                      <w:lang w:val="en-US" w:eastAsia="zh-CN" w:bidi="ar"/>
                      <w14:ligatures w14:val="none"/>
                    </w:rPr>
                    <w:t>99%</w:t>
                  </w:r>
                </w:p>
              </w:tc>
              <w:tc>
                <w:tcPr>
                  <w:tcW w:w="594" w:type="dxa"/>
                  <w:vMerge w:val="continue"/>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i w:val="0"/>
                      <w:iCs w:val="0"/>
                      <w:snapToGrid w:val="0"/>
                      <w:color w:val="auto"/>
                      <w:kern w:val="0"/>
                      <w:sz w:val="21"/>
                      <w:szCs w:val="21"/>
                      <w:u w:val="none"/>
                      <w:lang w:val="en-US" w:eastAsia="zh-CN" w:bidi="ar-SA"/>
                      <w14:ligatures w14:val="none"/>
                    </w:rPr>
                  </w:pPr>
                </w:p>
              </w:tc>
              <w:tc>
                <w:tcPr>
                  <w:tcW w:w="565" w:type="dxa"/>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SA"/>
                      <w14:ligatures w14:val="none"/>
                    </w:rPr>
                  </w:pPr>
                </w:p>
              </w:tc>
              <w:tc>
                <w:tcPr>
                  <w:tcW w:w="499" w:type="dxa"/>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SA"/>
                      <w14:ligatures w14:val="none"/>
                    </w:rPr>
                  </w:pPr>
                </w:p>
              </w:tc>
              <w:tc>
                <w:tcPr>
                  <w:tcW w:w="594" w:type="dxa"/>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SA"/>
                      <w14:ligatures w14: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4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筛分工序</w:t>
                  </w:r>
                </w:p>
              </w:tc>
              <w:tc>
                <w:tcPr>
                  <w:tcW w:w="591"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i w:val="0"/>
                      <w:iCs w:val="0"/>
                      <w:snapToGrid w:val="0"/>
                      <w:color w:val="auto"/>
                      <w:kern w:val="0"/>
                      <w:sz w:val="21"/>
                      <w:szCs w:val="21"/>
                      <w:highlight w:val="none"/>
                      <w:u w:val="none"/>
                      <w:lang w:val="en-US" w:eastAsia="zh-CN" w:bidi="ar"/>
                      <w14:ligatures w14:val="none"/>
                    </w:rPr>
                    <w:t>20</w:t>
                  </w:r>
                  <w:r>
                    <w:rPr>
                      <w:rFonts w:hint="default" w:ascii="Times New Roman" w:hAnsi="Times New Roman" w:eastAsia="宋体" w:cs="Times New Roman"/>
                      <w:i w:val="0"/>
                      <w:iCs w:val="0"/>
                      <w:snapToGrid w:val="0"/>
                      <w:color w:val="auto"/>
                      <w:kern w:val="0"/>
                      <w:sz w:val="21"/>
                      <w:szCs w:val="21"/>
                      <w:highlight w:val="none"/>
                      <w:u w:val="none"/>
                      <w:lang w:val="en-US" w:eastAsia="zh-CN" w:bidi="ar"/>
                      <w14:ligatures w14:val="none"/>
                    </w:rPr>
                    <w:t>000</w:t>
                  </w:r>
                </w:p>
              </w:tc>
              <w:tc>
                <w:tcPr>
                  <w:tcW w:w="594"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snapToGrid w:val="0"/>
                      <w:color w:val="auto"/>
                      <w:kern w:val="0"/>
                      <w:sz w:val="21"/>
                      <w:szCs w:val="21"/>
                      <w:highlight w:val="none"/>
                      <w:u w:val="none"/>
                      <w:lang w:val="en-US" w:eastAsia="zh-CN" w:bidi="ar"/>
                      <w14:ligatures w14:val="none"/>
                    </w:rPr>
                    <w:t>颗粒物</w:t>
                  </w:r>
                  <w:r>
                    <w:rPr>
                      <w:rFonts w:hint="eastAsia" w:cs="Times New Roman"/>
                      <w:i w:val="0"/>
                      <w:iCs w:val="0"/>
                      <w:snapToGrid w:val="0"/>
                      <w:color w:val="auto"/>
                      <w:kern w:val="0"/>
                      <w:sz w:val="21"/>
                      <w:szCs w:val="21"/>
                      <w:u w:val="none"/>
                      <w:lang w:val="en-US" w:eastAsia="zh-CN" w:bidi="ar"/>
                      <w14:ligatures w14:val="none"/>
                    </w:rPr>
                    <w:t>、臭气浓度</w:t>
                  </w:r>
                </w:p>
              </w:tc>
              <w:tc>
                <w:tcPr>
                  <w:tcW w:w="738"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960</w:t>
                  </w:r>
                </w:p>
              </w:tc>
              <w:tc>
                <w:tcPr>
                  <w:tcW w:w="815"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i w:val="0"/>
                      <w:iCs w:val="0"/>
                      <w:snapToGrid w:val="0"/>
                      <w:color w:val="auto"/>
                      <w:kern w:val="0"/>
                      <w:sz w:val="21"/>
                      <w:szCs w:val="21"/>
                      <w:highlight w:val="none"/>
                      <w:u w:val="none"/>
                      <w:lang w:val="en-US" w:eastAsia="zh-CN" w:bidi="ar"/>
                      <w14:ligatures w14:val="none"/>
                    </w:rPr>
                    <w:t>43.75</w:t>
                  </w:r>
                </w:p>
              </w:tc>
              <w:tc>
                <w:tcPr>
                  <w:tcW w:w="716"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i w:val="0"/>
                      <w:iCs w:val="0"/>
                      <w:snapToGrid w:val="0"/>
                      <w:color w:val="auto"/>
                      <w:kern w:val="0"/>
                      <w:sz w:val="21"/>
                      <w:szCs w:val="21"/>
                      <w:highlight w:val="none"/>
                      <w:u w:val="none"/>
                      <w:lang w:val="en-US" w:eastAsia="zh-CN" w:bidi="ar"/>
                      <w14:ligatures w14:val="none"/>
                    </w:rPr>
                    <w:t>42</w:t>
                  </w:r>
                </w:p>
              </w:tc>
              <w:tc>
                <w:tcPr>
                  <w:tcW w:w="636" w:type="dxa"/>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rPr>
                  </w:pPr>
                </w:p>
              </w:tc>
              <w:tc>
                <w:tcPr>
                  <w:tcW w:w="338"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i w:val="0"/>
                      <w:iCs w:val="0"/>
                      <w:snapToGrid w:val="0"/>
                      <w:color w:val="auto"/>
                      <w:kern w:val="0"/>
                      <w:sz w:val="21"/>
                      <w:szCs w:val="21"/>
                      <w:highlight w:val="none"/>
                      <w:u w:val="none"/>
                      <w:lang w:val="en-US" w:eastAsia="zh-CN" w:bidi="ar"/>
                      <w14:ligatures w14:val="none"/>
                    </w:rPr>
                    <w:t>是</w:t>
                  </w:r>
                </w:p>
              </w:tc>
              <w:tc>
                <w:tcPr>
                  <w:tcW w:w="325"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i w:val="0"/>
                      <w:iCs w:val="0"/>
                      <w:snapToGrid w:val="0"/>
                      <w:color w:val="auto"/>
                      <w:kern w:val="0"/>
                      <w:sz w:val="21"/>
                      <w:szCs w:val="21"/>
                      <w:highlight w:val="none"/>
                      <w:u w:val="none"/>
                      <w:lang w:val="en-US" w:eastAsia="zh-CN" w:bidi="ar"/>
                      <w14:ligatures w14:val="none"/>
                    </w:rPr>
                    <w:t>90%</w:t>
                  </w:r>
                </w:p>
              </w:tc>
              <w:tc>
                <w:tcPr>
                  <w:tcW w:w="39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i w:val="0"/>
                      <w:iCs w:val="0"/>
                      <w:snapToGrid w:val="0"/>
                      <w:color w:val="auto"/>
                      <w:kern w:val="0"/>
                      <w:sz w:val="21"/>
                      <w:szCs w:val="21"/>
                      <w:highlight w:val="none"/>
                      <w:u w:val="none"/>
                      <w:lang w:val="en-US" w:eastAsia="zh-CN" w:bidi="ar"/>
                      <w14:ligatures w14:val="none"/>
                    </w:rPr>
                    <w:t>99%</w:t>
                  </w:r>
                </w:p>
              </w:tc>
              <w:tc>
                <w:tcPr>
                  <w:tcW w:w="594"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p>
              </w:tc>
              <w:tc>
                <w:tcPr>
                  <w:tcW w:w="565" w:type="dxa"/>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499" w:type="dxa"/>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594" w:type="dxa"/>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bCs/>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4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SA"/>
                      <w14:ligatures w14:val="none"/>
                    </w:rPr>
                  </w:pPr>
                  <w:r>
                    <w:rPr>
                      <w:rFonts w:hint="eastAsia" w:ascii="Times New Roman" w:hAnsi="Times New Roman" w:eastAsia="宋体" w:cs="Times New Roman"/>
                      <w:color w:val="000000" w:themeColor="text1"/>
                      <w:sz w:val="21"/>
                      <w:lang w:val="en-US" w:eastAsia="zh-CN"/>
                      <w14:textFill>
                        <w14:solidFill>
                          <w14:schemeClr w14:val="tx1"/>
                        </w14:solidFill>
                      </w14:textFill>
                    </w:rPr>
                    <w:t>混合工序</w:t>
                  </w:r>
                </w:p>
              </w:tc>
              <w:tc>
                <w:tcPr>
                  <w:tcW w:w="59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SA"/>
                      <w14:ligatures w14:val="none"/>
                    </w:rPr>
                  </w:pPr>
                  <w:r>
                    <w:rPr>
                      <w:rFonts w:hint="eastAsia" w:cs="Times New Roman"/>
                      <w:i w:val="0"/>
                      <w:iCs w:val="0"/>
                      <w:snapToGrid w:val="0"/>
                      <w:color w:val="auto"/>
                      <w:kern w:val="0"/>
                      <w:sz w:val="21"/>
                      <w:szCs w:val="21"/>
                      <w:u w:val="none"/>
                      <w:lang w:val="en-US" w:eastAsia="zh-CN" w:bidi="ar"/>
                      <w14:ligatures w14:val="none"/>
                    </w:rPr>
                    <w:t>20</w:t>
                  </w:r>
                  <w:r>
                    <w:rPr>
                      <w:rFonts w:hint="default" w:ascii="Times New Roman" w:hAnsi="Times New Roman" w:eastAsia="宋体" w:cs="Times New Roman"/>
                      <w:i w:val="0"/>
                      <w:iCs w:val="0"/>
                      <w:snapToGrid w:val="0"/>
                      <w:color w:val="auto"/>
                      <w:kern w:val="0"/>
                      <w:sz w:val="21"/>
                      <w:szCs w:val="21"/>
                      <w:u w:val="none"/>
                      <w:lang w:val="en-US" w:eastAsia="zh-CN" w:bidi="ar"/>
                      <w14:ligatures w14:val="none"/>
                    </w:rPr>
                    <w:t>000</w:t>
                  </w:r>
                </w:p>
              </w:tc>
              <w:tc>
                <w:tcPr>
                  <w:tcW w:w="59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SA"/>
                      <w14:ligatures w14:val="none"/>
                    </w:rPr>
                  </w:pPr>
                  <w:r>
                    <w:rPr>
                      <w:rFonts w:hint="default" w:ascii="Times New Roman" w:hAnsi="Times New Roman" w:eastAsia="宋体" w:cs="Times New Roman"/>
                      <w:i w:val="0"/>
                      <w:iCs w:val="0"/>
                      <w:snapToGrid w:val="0"/>
                      <w:color w:val="auto"/>
                      <w:kern w:val="0"/>
                      <w:sz w:val="21"/>
                      <w:szCs w:val="21"/>
                      <w:u w:val="none"/>
                      <w:lang w:val="en-US" w:eastAsia="zh-CN" w:bidi="ar"/>
                      <w14:ligatures w14:val="none"/>
                    </w:rPr>
                    <w:t>颗粒物</w:t>
                  </w:r>
                  <w:r>
                    <w:rPr>
                      <w:rFonts w:hint="eastAsia" w:cs="Times New Roman"/>
                      <w:i w:val="0"/>
                      <w:iCs w:val="0"/>
                      <w:snapToGrid w:val="0"/>
                      <w:color w:val="auto"/>
                      <w:kern w:val="0"/>
                      <w:sz w:val="21"/>
                      <w:szCs w:val="21"/>
                      <w:u w:val="none"/>
                      <w:lang w:val="en-US" w:eastAsia="zh-CN" w:bidi="ar"/>
                      <w14:ligatures w14:val="none"/>
                    </w:rPr>
                    <w:t>、臭气浓度</w:t>
                  </w:r>
                </w:p>
              </w:tc>
              <w:tc>
                <w:tcPr>
                  <w:tcW w:w="73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SA"/>
                      <w14:ligatures w14:val="none"/>
                    </w:rPr>
                  </w:pPr>
                  <w:r>
                    <w:rPr>
                      <w:rFonts w:hint="eastAsia" w:cs="Times New Roman"/>
                      <w:color w:val="auto"/>
                      <w:sz w:val="21"/>
                      <w:szCs w:val="21"/>
                      <w:highlight w:val="none"/>
                      <w:lang w:val="en-US" w:eastAsia="zh-CN"/>
                    </w:rPr>
                    <w:t>960</w:t>
                  </w:r>
                </w:p>
              </w:tc>
              <w:tc>
                <w:tcPr>
                  <w:tcW w:w="81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SA"/>
                      <w14:ligatures w14:val="none"/>
                    </w:rPr>
                  </w:pPr>
                  <w:r>
                    <w:rPr>
                      <w:rFonts w:hint="eastAsia" w:cs="Times New Roman"/>
                      <w:i w:val="0"/>
                      <w:iCs w:val="0"/>
                      <w:snapToGrid w:val="0"/>
                      <w:color w:val="auto"/>
                      <w:kern w:val="0"/>
                      <w:sz w:val="21"/>
                      <w:szCs w:val="21"/>
                      <w:u w:val="none"/>
                      <w:lang w:val="en-US" w:eastAsia="zh-CN" w:bidi="ar-SA"/>
                      <w14:ligatures w14:val="none"/>
                    </w:rPr>
                    <w:t>1.25</w:t>
                  </w:r>
                </w:p>
              </w:tc>
              <w:tc>
                <w:tcPr>
                  <w:tcW w:w="71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SA"/>
                      <w14:ligatures w14:val="none"/>
                    </w:rPr>
                  </w:pPr>
                  <w:r>
                    <w:rPr>
                      <w:rFonts w:hint="eastAsia" w:cs="Times New Roman"/>
                      <w:i w:val="0"/>
                      <w:iCs w:val="0"/>
                      <w:snapToGrid w:val="0"/>
                      <w:color w:val="auto"/>
                      <w:kern w:val="0"/>
                      <w:sz w:val="21"/>
                      <w:szCs w:val="21"/>
                      <w:u w:val="none"/>
                      <w:lang w:val="en-US" w:eastAsia="zh-CN" w:bidi="ar"/>
                      <w14:ligatures w14:val="none"/>
                    </w:rPr>
                    <w:t>1.2</w:t>
                  </w:r>
                </w:p>
              </w:tc>
              <w:tc>
                <w:tcPr>
                  <w:tcW w:w="636" w:type="dxa"/>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SA"/>
                      <w14:ligatures w14:val="none"/>
                    </w:rPr>
                  </w:pPr>
                </w:p>
              </w:tc>
              <w:tc>
                <w:tcPr>
                  <w:tcW w:w="33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SA"/>
                      <w14:ligatures w14:val="none"/>
                    </w:rPr>
                  </w:pPr>
                  <w:r>
                    <w:rPr>
                      <w:rFonts w:hint="default" w:ascii="Times New Roman" w:hAnsi="Times New Roman" w:eastAsia="宋体" w:cs="Times New Roman"/>
                      <w:i w:val="0"/>
                      <w:iCs w:val="0"/>
                      <w:snapToGrid w:val="0"/>
                      <w:color w:val="auto"/>
                      <w:kern w:val="0"/>
                      <w:sz w:val="21"/>
                      <w:szCs w:val="21"/>
                      <w:u w:val="none"/>
                      <w:lang w:val="en-US" w:eastAsia="zh-CN" w:bidi="ar"/>
                      <w14:ligatures w14:val="none"/>
                    </w:rPr>
                    <w:t>是</w:t>
                  </w:r>
                </w:p>
              </w:tc>
              <w:tc>
                <w:tcPr>
                  <w:tcW w:w="32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SA"/>
                      <w14:ligatures w14:val="none"/>
                    </w:rPr>
                  </w:pPr>
                  <w:r>
                    <w:rPr>
                      <w:rFonts w:hint="default" w:ascii="Times New Roman" w:hAnsi="Times New Roman" w:eastAsia="宋体" w:cs="Times New Roman"/>
                      <w:i w:val="0"/>
                      <w:iCs w:val="0"/>
                      <w:snapToGrid w:val="0"/>
                      <w:color w:val="auto"/>
                      <w:kern w:val="0"/>
                      <w:sz w:val="21"/>
                      <w:szCs w:val="21"/>
                      <w:u w:val="none"/>
                      <w:lang w:val="en-US" w:eastAsia="zh-CN" w:bidi="ar"/>
                      <w14:ligatures w14:val="none"/>
                    </w:rPr>
                    <w:t>90%</w:t>
                  </w:r>
                </w:p>
              </w:tc>
              <w:tc>
                <w:tcPr>
                  <w:tcW w:w="39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SA"/>
                      <w14:ligatures w14:val="none"/>
                    </w:rPr>
                  </w:pPr>
                  <w:r>
                    <w:rPr>
                      <w:rFonts w:hint="default" w:ascii="Times New Roman" w:hAnsi="Times New Roman" w:eastAsia="宋体" w:cs="Times New Roman"/>
                      <w:i w:val="0"/>
                      <w:iCs w:val="0"/>
                      <w:snapToGrid w:val="0"/>
                      <w:color w:val="auto"/>
                      <w:kern w:val="0"/>
                      <w:sz w:val="21"/>
                      <w:szCs w:val="21"/>
                      <w:u w:val="none"/>
                      <w:lang w:val="en-US" w:eastAsia="zh-CN" w:bidi="ar"/>
                      <w14:ligatures w14:val="none"/>
                    </w:rPr>
                    <w:t>99%</w:t>
                  </w:r>
                </w:p>
              </w:tc>
              <w:tc>
                <w:tcPr>
                  <w:tcW w:w="594" w:type="dxa"/>
                  <w:vMerge w:val="continue"/>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i w:val="0"/>
                      <w:iCs w:val="0"/>
                      <w:snapToGrid w:val="0"/>
                      <w:color w:val="auto"/>
                      <w:kern w:val="0"/>
                      <w:sz w:val="21"/>
                      <w:szCs w:val="21"/>
                      <w:u w:val="none"/>
                      <w:lang w:val="en-US" w:eastAsia="zh-CN" w:bidi="ar-SA"/>
                      <w14:ligatures w14:val="none"/>
                    </w:rPr>
                  </w:pPr>
                </w:p>
              </w:tc>
              <w:tc>
                <w:tcPr>
                  <w:tcW w:w="565" w:type="dxa"/>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SA"/>
                      <w14:ligatures w14:val="none"/>
                    </w:rPr>
                  </w:pPr>
                </w:p>
              </w:tc>
              <w:tc>
                <w:tcPr>
                  <w:tcW w:w="499" w:type="dxa"/>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SA"/>
                      <w14:ligatures w14:val="none"/>
                    </w:rPr>
                  </w:pPr>
                </w:p>
              </w:tc>
              <w:tc>
                <w:tcPr>
                  <w:tcW w:w="594" w:type="dxa"/>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SA"/>
                      <w14:ligatures w14: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4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造粒</w:t>
                  </w:r>
                </w:p>
              </w:tc>
              <w:tc>
                <w:tcPr>
                  <w:tcW w:w="59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cs="Times New Roman"/>
                      <w:i w:val="0"/>
                      <w:iCs w:val="0"/>
                      <w:snapToGrid w:val="0"/>
                      <w:color w:val="auto"/>
                      <w:kern w:val="0"/>
                      <w:sz w:val="21"/>
                      <w:szCs w:val="21"/>
                      <w:u w:val="none"/>
                      <w:lang w:val="en-US" w:eastAsia="zh-CN" w:bidi="ar"/>
                      <w14:ligatures w14:val="none"/>
                    </w:rPr>
                  </w:pPr>
                  <w:r>
                    <w:rPr>
                      <w:rFonts w:hint="eastAsia" w:cs="Times New Roman"/>
                      <w:i w:val="0"/>
                      <w:iCs w:val="0"/>
                      <w:snapToGrid w:val="0"/>
                      <w:color w:val="auto"/>
                      <w:kern w:val="0"/>
                      <w:sz w:val="21"/>
                      <w:szCs w:val="21"/>
                      <w:u w:val="none"/>
                      <w:lang w:val="en-US" w:eastAsia="zh-CN" w:bidi="ar"/>
                      <w14:ligatures w14:val="none"/>
                    </w:rPr>
                    <w:t>20</w:t>
                  </w:r>
                  <w:r>
                    <w:rPr>
                      <w:rFonts w:hint="default" w:ascii="Times New Roman" w:hAnsi="Times New Roman" w:eastAsia="宋体" w:cs="Times New Roman"/>
                      <w:i w:val="0"/>
                      <w:iCs w:val="0"/>
                      <w:snapToGrid w:val="0"/>
                      <w:color w:val="auto"/>
                      <w:kern w:val="0"/>
                      <w:sz w:val="21"/>
                      <w:szCs w:val="21"/>
                      <w:u w:val="none"/>
                      <w:lang w:val="en-US" w:eastAsia="zh-CN" w:bidi="ar"/>
                      <w14:ligatures w14:val="none"/>
                    </w:rPr>
                    <w:t>000</w:t>
                  </w:r>
                </w:p>
              </w:tc>
              <w:tc>
                <w:tcPr>
                  <w:tcW w:w="59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14:ligatures w14:val="none"/>
                    </w:rPr>
                  </w:pPr>
                  <w:r>
                    <w:rPr>
                      <w:rFonts w:hint="default" w:ascii="Times New Roman" w:hAnsi="Times New Roman" w:eastAsia="宋体" w:cs="Times New Roman"/>
                      <w:i w:val="0"/>
                      <w:iCs w:val="0"/>
                      <w:snapToGrid w:val="0"/>
                      <w:color w:val="auto"/>
                      <w:kern w:val="0"/>
                      <w:sz w:val="21"/>
                      <w:szCs w:val="21"/>
                      <w:u w:val="none"/>
                      <w:lang w:val="en-US" w:eastAsia="zh-CN" w:bidi="ar"/>
                      <w14:ligatures w14:val="none"/>
                    </w:rPr>
                    <w:t>颗粒物</w:t>
                  </w:r>
                </w:p>
              </w:tc>
              <w:tc>
                <w:tcPr>
                  <w:tcW w:w="73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960</w:t>
                  </w:r>
                </w:p>
              </w:tc>
              <w:tc>
                <w:tcPr>
                  <w:tcW w:w="81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cs="Times New Roman"/>
                      <w:i w:val="0"/>
                      <w:iCs w:val="0"/>
                      <w:snapToGrid w:val="0"/>
                      <w:color w:val="auto"/>
                      <w:kern w:val="0"/>
                      <w:sz w:val="21"/>
                      <w:szCs w:val="21"/>
                      <w:u w:val="none"/>
                      <w:lang w:val="en-US" w:eastAsia="zh-CN" w:bidi="ar"/>
                      <w14:ligatures w14:val="none"/>
                    </w:rPr>
                  </w:pPr>
                  <w:r>
                    <w:rPr>
                      <w:rFonts w:hint="eastAsia" w:cs="Times New Roman"/>
                      <w:i w:val="0"/>
                      <w:iCs w:val="0"/>
                      <w:snapToGrid w:val="0"/>
                      <w:color w:val="auto"/>
                      <w:kern w:val="0"/>
                      <w:sz w:val="21"/>
                      <w:szCs w:val="21"/>
                      <w:u w:val="none"/>
                      <w:lang w:val="en-US" w:eastAsia="zh-CN" w:bidi="ar"/>
                      <w14:ligatures w14:val="none"/>
                    </w:rPr>
                    <w:t>1.25</w:t>
                  </w:r>
                </w:p>
              </w:tc>
              <w:tc>
                <w:tcPr>
                  <w:tcW w:w="71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cs="Times New Roman"/>
                      <w:i w:val="0"/>
                      <w:iCs w:val="0"/>
                      <w:snapToGrid w:val="0"/>
                      <w:color w:val="auto"/>
                      <w:kern w:val="0"/>
                      <w:sz w:val="21"/>
                      <w:szCs w:val="21"/>
                      <w:u w:val="none"/>
                      <w:lang w:val="en-US" w:eastAsia="zh-CN" w:bidi="ar"/>
                      <w14:ligatures w14:val="none"/>
                    </w:rPr>
                  </w:pPr>
                  <w:r>
                    <w:rPr>
                      <w:rFonts w:hint="eastAsia" w:cs="Times New Roman"/>
                      <w:i w:val="0"/>
                      <w:iCs w:val="0"/>
                      <w:snapToGrid w:val="0"/>
                      <w:color w:val="auto"/>
                      <w:kern w:val="0"/>
                      <w:sz w:val="21"/>
                      <w:szCs w:val="21"/>
                      <w:u w:val="none"/>
                      <w:lang w:val="en-US" w:eastAsia="zh-CN" w:bidi="ar"/>
                      <w14:ligatures w14:val="none"/>
                    </w:rPr>
                    <w:t>1.2</w:t>
                  </w:r>
                </w:p>
              </w:tc>
              <w:tc>
                <w:tcPr>
                  <w:tcW w:w="636" w:type="dxa"/>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SA"/>
                      <w14:ligatures w14:val="none"/>
                    </w:rPr>
                  </w:pPr>
                </w:p>
              </w:tc>
              <w:tc>
                <w:tcPr>
                  <w:tcW w:w="33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14:ligatures w14:val="none"/>
                    </w:rPr>
                  </w:pPr>
                  <w:r>
                    <w:rPr>
                      <w:rFonts w:hint="default" w:ascii="Times New Roman" w:hAnsi="Times New Roman" w:eastAsia="宋体" w:cs="Times New Roman"/>
                      <w:i w:val="0"/>
                      <w:iCs w:val="0"/>
                      <w:snapToGrid w:val="0"/>
                      <w:color w:val="auto"/>
                      <w:kern w:val="0"/>
                      <w:sz w:val="21"/>
                      <w:szCs w:val="21"/>
                      <w:u w:val="none"/>
                      <w:lang w:val="en-US" w:eastAsia="zh-CN" w:bidi="ar"/>
                      <w14:ligatures w14:val="none"/>
                    </w:rPr>
                    <w:t>是</w:t>
                  </w:r>
                </w:p>
              </w:tc>
              <w:tc>
                <w:tcPr>
                  <w:tcW w:w="32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14:ligatures w14:val="none"/>
                    </w:rPr>
                  </w:pPr>
                  <w:r>
                    <w:rPr>
                      <w:rFonts w:hint="default" w:ascii="Times New Roman" w:hAnsi="Times New Roman" w:eastAsia="宋体" w:cs="Times New Roman"/>
                      <w:i w:val="0"/>
                      <w:iCs w:val="0"/>
                      <w:snapToGrid w:val="0"/>
                      <w:color w:val="auto"/>
                      <w:kern w:val="0"/>
                      <w:sz w:val="21"/>
                      <w:szCs w:val="21"/>
                      <w:u w:val="none"/>
                      <w:lang w:val="en-US" w:eastAsia="zh-CN" w:bidi="ar"/>
                      <w14:ligatures w14:val="none"/>
                    </w:rPr>
                    <w:t>90%</w:t>
                  </w:r>
                </w:p>
              </w:tc>
              <w:tc>
                <w:tcPr>
                  <w:tcW w:w="39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14:ligatures w14:val="none"/>
                    </w:rPr>
                  </w:pPr>
                  <w:r>
                    <w:rPr>
                      <w:rFonts w:hint="default" w:ascii="Times New Roman" w:hAnsi="Times New Roman" w:eastAsia="宋体" w:cs="Times New Roman"/>
                      <w:i w:val="0"/>
                      <w:iCs w:val="0"/>
                      <w:snapToGrid w:val="0"/>
                      <w:color w:val="auto"/>
                      <w:kern w:val="0"/>
                      <w:sz w:val="21"/>
                      <w:szCs w:val="21"/>
                      <w:u w:val="none"/>
                      <w:lang w:val="en-US" w:eastAsia="zh-CN" w:bidi="ar"/>
                      <w14:ligatures w14:val="none"/>
                    </w:rPr>
                    <w:t>99%</w:t>
                  </w:r>
                </w:p>
              </w:tc>
              <w:tc>
                <w:tcPr>
                  <w:tcW w:w="594" w:type="dxa"/>
                  <w:vMerge w:val="continue"/>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i w:val="0"/>
                      <w:iCs w:val="0"/>
                      <w:snapToGrid w:val="0"/>
                      <w:color w:val="auto"/>
                      <w:kern w:val="0"/>
                      <w:sz w:val="21"/>
                      <w:szCs w:val="21"/>
                      <w:u w:val="none"/>
                      <w:lang w:val="en-US" w:eastAsia="zh-CN" w:bidi="ar-SA"/>
                      <w14:ligatures w14:val="none"/>
                    </w:rPr>
                  </w:pPr>
                </w:p>
              </w:tc>
              <w:tc>
                <w:tcPr>
                  <w:tcW w:w="565" w:type="dxa"/>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cs="Times New Roman"/>
                      <w:i w:val="0"/>
                      <w:iCs w:val="0"/>
                      <w:snapToGrid w:val="0"/>
                      <w:color w:val="auto"/>
                      <w:kern w:val="0"/>
                      <w:sz w:val="21"/>
                      <w:szCs w:val="21"/>
                      <w:u w:val="none"/>
                      <w:lang w:val="en-US" w:eastAsia="zh-CN" w:bidi="ar"/>
                      <w14:ligatures w14:val="none"/>
                    </w:rPr>
                  </w:pPr>
                </w:p>
              </w:tc>
              <w:tc>
                <w:tcPr>
                  <w:tcW w:w="499" w:type="dxa"/>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14:ligatures w14:val="none"/>
                    </w:rPr>
                  </w:pPr>
                </w:p>
              </w:tc>
              <w:tc>
                <w:tcPr>
                  <w:tcW w:w="594" w:type="dxa"/>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SA"/>
                      <w14:ligatures w14: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4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14:ligatures w14:val="none"/>
                    </w:rPr>
                  </w:pPr>
                  <w:r>
                    <w:rPr>
                      <w:rFonts w:hint="default" w:ascii="Times New Roman" w:hAnsi="Times New Roman" w:eastAsia="宋体" w:cs="Times New Roman"/>
                      <w:i w:val="0"/>
                      <w:iCs w:val="0"/>
                      <w:snapToGrid w:val="0"/>
                      <w:color w:val="auto"/>
                      <w:kern w:val="0"/>
                      <w:sz w:val="21"/>
                      <w:szCs w:val="21"/>
                      <w:u w:val="none"/>
                      <w:lang w:val="en-US" w:eastAsia="zh-CN" w:bidi="ar"/>
                      <w14:ligatures w14:val="none"/>
                    </w:rPr>
                    <w:t>食堂</w:t>
                  </w:r>
                </w:p>
              </w:tc>
              <w:tc>
                <w:tcPr>
                  <w:tcW w:w="591"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14:ligatures w14:val="none"/>
                    </w:rPr>
                  </w:pPr>
                  <w:r>
                    <w:rPr>
                      <w:rFonts w:hint="default" w:ascii="Times New Roman" w:hAnsi="Times New Roman" w:eastAsia="宋体" w:cs="Times New Roman"/>
                      <w:i w:val="0"/>
                      <w:iCs w:val="0"/>
                      <w:snapToGrid w:val="0"/>
                      <w:color w:val="auto"/>
                      <w:kern w:val="0"/>
                      <w:sz w:val="21"/>
                      <w:szCs w:val="21"/>
                      <w:u w:val="none"/>
                      <w:lang w:val="en-US" w:eastAsia="zh-CN" w:bidi="ar"/>
                      <w14:ligatures w14:val="none"/>
                    </w:rPr>
                    <w:t>1500</w:t>
                  </w:r>
                </w:p>
              </w:tc>
              <w:tc>
                <w:tcPr>
                  <w:tcW w:w="594"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14:ligatures w14:val="none"/>
                    </w:rPr>
                  </w:pPr>
                  <w:r>
                    <w:rPr>
                      <w:rFonts w:hint="default" w:ascii="Times New Roman" w:hAnsi="Times New Roman" w:eastAsia="宋体" w:cs="Times New Roman"/>
                      <w:i w:val="0"/>
                      <w:iCs w:val="0"/>
                      <w:snapToGrid w:val="0"/>
                      <w:color w:val="auto"/>
                      <w:kern w:val="0"/>
                      <w:sz w:val="21"/>
                      <w:szCs w:val="21"/>
                      <w:u w:val="none"/>
                      <w:lang w:val="en-US" w:eastAsia="zh-CN" w:bidi="ar"/>
                      <w14:ligatures w14:val="none"/>
                    </w:rPr>
                    <w:t>厨房油烟</w:t>
                  </w:r>
                </w:p>
              </w:tc>
              <w:tc>
                <w:tcPr>
                  <w:tcW w:w="738"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14:ligatures w14:val="none"/>
                    </w:rPr>
                  </w:pPr>
                  <w:r>
                    <w:rPr>
                      <w:rFonts w:hint="eastAsia" w:cs="Times New Roman"/>
                      <w:i w:val="0"/>
                      <w:iCs w:val="0"/>
                      <w:snapToGrid w:val="0"/>
                      <w:color w:val="auto"/>
                      <w:kern w:val="0"/>
                      <w:sz w:val="21"/>
                      <w:szCs w:val="21"/>
                      <w:u w:val="none"/>
                      <w:lang w:val="en-US" w:eastAsia="zh-CN" w:bidi="ar"/>
                      <w14:ligatures w14:val="none"/>
                    </w:rPr>
                    <w:t>480</w:t>
                  </w:r>
                </w:p>
              </w:tc>
              <w:tc>
                <w:tcPr>
                  <w:tcW w:w="815"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14:ligatures w14:val="none"/>
                    </w:rPr>
                  </w:pPr>
                  <w:r>
                    <w:rPr>
                      <w:rFonts w:hint="eastAsia" w:cs="Times New Roman"/>
                      <w:i w:val="0"/>
                      <w:iCs w:val="0"/>
                      <w:snapToGrid w:val="0"/>
                      <w:color w:val="auto"/>
                      <w:kern w:val="0"/>
                      <w:sz w:val="21"/>
                      <w:szCs w:val="21"/>
                      <w:u w:val="none"/>
                      <w:lang w:val="en-US" w:eastAsia="zh-CN" w:bidi="ar"/>
                      <w14:ligatures w14:val="none"/>
                    </w:rPr>
                    <w:t>0.0011</w:t>
                  </w:r>
                </w:p>
              </w:tc>
              <w:tc>
                <w:tcPr>
                  <w:tcW w:w="716"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14:ligatures w14:val="none"/>
                    </w:rPr>
                  </w:pPr>
                  <w:r>
                    <w:rPr>
                      <w:rFonts w:hint="eastAsia" w:cs="Times New Roman"/>
                      <w:i w:val="0"/>
                      <w:iCs w:val="0"/>
                      <w:snapToGrid w:val="0"/>
                      <w:color w:val="auto"/>
                      <w:kern w:val="0"/>
                      <w:sz w:val="21"/>
                      <w:szCs w:val="21"/>
                      <w:u w:val="none"/>
                      <w:lang w:val="en-US" w:eastAsia="zh-CN" w:bidi="ar"/>
                      <w14:ligatures w14:val="none"/>
                    </w:rPr>
                    <w:t>0.00054</w:t>
                  </w:r>
                </w:p>
              </w:tc>
              <w:tc>
                <w:tcPr>
                  <w:tcW w:w="636"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14:ligatures w14:val="none"/>
                    </w:rPr>
                  </w:pPr>
                  <w:r>
                    <w:rPr>
                      <w:rFonts w:hint="eastAsia" w:ascii="Times New Roman" w:hAnsi="Times New Roman" w:eastAsia="宋体" w:cs="Times New Roman"/>
                      <w:i w:val="0"/>
                      <w:iCs w:val="0"/>
                      <w:snapToGrid w:val="0"/>
                      <w:color w:val="auto"/>
                      <w:kern w:val="0"/>
                      <w:sz w:val="21"/>
                      <w:szCs w:val="21"/>
                      <w:u w:val="none"/>
                      <w:lang w:val="en-US" w:eastAsia="zh-CN" w:bidi="ar"/>
                      <w14:ligatures w14:val="none"/>
                    </w:rPr>
                    <w:t>油烟净化系统</w:t>
                  </w:r>
                </w:p>
              </w:tc>
              <w:tc>
                <w:tcPr>
                  <w:tcW w:w="338"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14:ligatures w14:val="none"/>
                    </w:rPr>
                  </w:pPr>
                  <w:r>
                    <w:rPr>
                      <w:rFonts w:hint="eastAsia" w:ascii="Times New Roman" w:hAnsi="Times New Roman" w:eastAsia="宋体" w:cs="Times New Roman"/>
                      <w:i w:val="0"/>
                      <w:iCs w:val="0"/>
                      <w:snapToGrid w:val="0"/>
                      <w:color w:val="auto"/>
                      <w:kern w:val="0"/>
                      <w:sz w:val="21"/>
                      <w:szCs w:val="21"/>
                      <w:u w:val="none"/>
                      <w:lang w:val="en-US" w:eastAsia="zh-CN" w:bidi="ar"/>
                      <w14:ligatures w14:val="none"/>
                    </w:rPr>
                    <w:t>是</w:t>
                  </w:r>
                </w:p>
              </w:tc>
              <w:tc>
                <w:tcPr>
                  <w:tcW w:w="325"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14:ligatures w14:val="none"/>
                    </w:rPr>
                  </w:pPr>
                  <w:r>
                    <w:rPr>
                      <w:rFonts w:hint="default" w:ascii="Times New Roman" w:hAnsi="Times New Roman" w:eastAsia="宋体" w:cs="Times New Roman"/>
                      <w:i w:val="0"/>
                      <w:iCs w:val="0"/>
                      <w:snapToGrid w:val="0"/>
                      <w:color w:val="auto"/>
                      <w:kern w:val="0"/>
                      <w:sz w:val="21"/>
                      <w:szCs w:val="21"/>
                      <w:u w:val="none"/>
                      <w:lang w:val="en-US" w:eastAsia="zh-CN" w:bidi="ar"/>
                      <w14:ligatures w14:val="none"/>
                    </w:rPr>
                    <w:t>/</w:t>
                  </w:r>
                </w:p>
              </w:tc>
              <w:tc>
                <w:tcPr>
                  <w:tcW w:w="39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14:ligatures w14:val="none"/>
                    </w:rPr>
                  </w:pPr>
                  <w:r>
                    <w:rPr>
                      <w:rFonts w:hint="default" w:ascii="Times New Roman" w:hAnsi="Times New Roman" w:eastAsia="宋体" w:cs="Times New Roman"/>
                      <w:i w:val="0"/>
                      <w:iCs w:val="0"/>
                      <w:snapToGrid w:val="0"/>
                      <w:color w:val="auto"/>
                      <w:kern w:val="0"/>
                      <w:sz w:val="21"/>
                      <w:szCs w:val="21"/>
                      <w:u w:val="none"/>
                      <w:lang w:val="en-US" w:eastAsia="zh-CN" w:bidi="ar"/>
                      <w14:ligatures w14:val="none"/>
                    </w:rPr>
                    <w:t>60%</w:t>
                  </w:r>
                </w:p>
              </w:tc>
              <w:tc>
                <w:tcPr>
                  <w:tcW w:w="594"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14:ligatures w14:val="none"/>
                    </w:rPr>
                  </w:pPr>
                  <w:r>
                    <w:rPr>
                      <w:rFonts w:hint="eastAsia" w:cs="Times New Roman"/>
                      <w:i w:val="0"/>
                      <w:iCs w:val="0"/>
                      <w:snapToGrid w:val="0"/>
                      <w:color w:val="auto"/>
                      <w:kern w:val="0"/>
                      <w:sz w:val="21"/>
                      <w:szCs w:val="21"/>
                      <w:u w:val="none"/>
                      <w:lang w:val="en-US" w:eastAsia="zh-CN" w:bidi="ar"/>
                      <w14:ligatures w14:val="none"/>
                    </w:rPr>
                    <w:t>0.3</w:t>
                  </w:r>
                </w:p>
              </w:tc>
              <w:tc>
                <w:tcPr>
                  <w:tcW w:w="565"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14:ligatures w14:val="none"/>
                    </w:rPr>
                  </w:pPr>
                  <w:r>
                    <w:rPr>
                      <w:rFonts w:hint="eastAsia" w:cs="Times New Roman"/>
                      <w:i w:val="0"/>
                      <w:iCs w:val="0"/>
                      <w:snapToGrid w:val="0"/>
                      <w:color w:val="auto"/>
                      <w:kern w:val="0"/>
                      <w:sz w:val="21"/>
                      <w:szCs w:val="21"/>
                      <w:u w:val="none"/>
                      <w:lang w:val="en-US" w:eastAsia="zh-CN" w:bidi="ar"/>
                      <w14:ligatures w14:val="none"/>
                    </w:rPr>
                    <w:t>0.00045</w:t>
                  </w:r>
                </w:p>
              </w:tc>
              <w:tc>
                <w:tcPr>
                  <w:tcW w:w="499"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14:ligatures w14:val="none"/>
                    </w:rPr>
                  </w:pPr>
                  <w:r>
                    <w:rPr>
                      <w:rFonts w:hint="eastAsia" w:cs="Times New Roman"/>
                      <w:i w:val="0"/>
                      <w:iCs w:val="0"/>
                      <w:snapToGrid w:val="0"/>
                      <w:color w:val="auto"/>
                      <w:kern w:val="0"/>
                      <w:sz w:val="21"/>
                      <w:szCs w:val="21"/>
                      <w:u w:val="none"/>
                      <w:lang w:val="en-US" w:eastAsia="zh-CN" w:bidi="ar"/>
                      <w14:ligatures w14:val="none"/>
                    </w:rPr>
                    <w:t>0.000216</w:t>
                  </w:r>
                </w:p>
              </w:tc>
              <w:tc>
                <w:tcPr>
                  <w:tcW w:w="594"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14:ligatures w14:val="none"/>
                    </w:rPr>
                  </w:pPr>
                  <w:r>
                    <w:rPr>
                      <w:rFonts w:hint="eastAsia" w:cs="Times New Roman"/>
                      <w:i w:val="0"/>
                      <w:iCs w:val="0"/>
                      <w:snapToGrid w:val="0"/>
                      <w:color w:val="auto"/>
                      <w:kern w:val="0"/>
                      <w:sz w:val="21"/>
                      <w:szCs w:val="21"/>
                      <w:u w:val="none"/>
                      <w:lang w:val="en-US" w:eastAsia="zh-CN" w:bidi="ar"/>
                      <w14:ligatures w14:val="none"/>
                    </w:rPr>
                    <w:t>/</w:t>
                  </w:r>
                </w:p>
              </w:tc>
            </w:tr>
          </w:tbl>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rPr>
            </w:pPr>
            <w:r>
              <w:rPr>
                <w:rFonts w:hint="default" w:ascii="Times New Roman" w:hAnsi="Times New Roman" w:eastAsia="宋体" w:cs="Times New Roman"/>
                <w:b/>
                <w:color w:val="auto"/>
              </w:rPr>
              <w:t>4.</w:t>
            </w:r>
            <w:r>
              <w:rPr>
                <w:rFonts w:hint="eastAsia" w:ascii="Times New Roman" w:hAnsi="Times New Roman" w:eastAsia="宋体" w:cs="Times New Roman"/>
                <w:b/>
                <w:color w:val="auto"/>
                <w:lang w:val="en-US" w:eastAsia="zh-CN"/>
              </w:rPr>
              <w:t>7</w:t>
            </w:r>
            <w:r>
              <w:rPr>
                <w:rFonts w:hint="default" w:ascii="Times New Roman" w:hAnsi="Times New Roman" w:eastAsia="宋体" w:cs="Times New Roman"/>
                <w:b/>
                <w:color w:val="auto"/>
              </w:rPr>
              <w:t>.1废气源强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snapToGrid w:val="0"/>
                <w:color w:val="auto"/>
                <w:kern w:val="0"/>
                <w:sz w:val="24"/>
                <w:szCs w:val="24"/>
                <w:lang w:val="en-US" w:eastAsia="zh-CN" w:bidi="ar-SA"/>
                <w14:ligatures w14:val="none"/>
              </w:rPr>
              <w:t>（1）</w:t>
            </w:r>
            <w:r>
              <w:rPr>
                <w:rFonts w:hint="default" w:ascii="Times New Roman" w:hAnsi="Times New Roman" w:eastAsia="宋体" w:cs="Times New Roman"/>
                <w:b/>
                <w:bCs/>
                <w:color w:val="auto"/>
              </w:rPr>
              <w:t>车辆运输</w:t>
            </w:r>
            <w:r>
              <w:rPr>
                <w:rFonts w:hint="default" w:ascii="Times New Roman" w:hAnsi="Times New Roman" w:eastAsia="宋体" w:cs="Times New Roman"/>
                <w:b/>
                <w:bCs/>
                <w:color w:val="auto"/>
                <w:lang w:val="en-US" w:eastAsia="zh-CN"/>
              </w:rPr>
              <w:t>扬尘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b/>
                <w:bCs/>
                <w:color w:val="auto"/>
                <w:lang w:val="en-US" w:eastAsia="zh-CN"/>
              </w:rPr>
            </w:pPr>
            <w:r>
              <w:rPr>
                <w:rFonts w:hint="default" w:ascii="Times New Roman" w:hAnsi="Times New Roman" w:eastAsia="宋体" w:cs="Times New Roman"/>
                <w:color w:val="auto"/>
                <w:sz w:val="24"/>
                <w:szCs w:val="24"/>
                <w:lang w:val="en-US" w:eastAsia="zh-CN"/>
              </w:rPr>
              <w:t>项目生产上料过程会产生粉尘，参照《逸散性工业粉尘控制技术》</w:t>
            </w:r>
            <w:r>
              <w:rPr>
                <w:rFonts w:hint="eastAsia" w:asci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表</w:t>
            </w:r>
            <w:r>
              <w:rPr>
                <w:rFonts w:hint="eastAsia" w:ascii="Times New Roman" w:cs="Times New Roman"/>
                <w:color w:val="auto"/>
                <w:sz w:val="24"/>
                <w:szCs w:val="24"/>
                <w:lang w:val="en-US" w:eastAsia="zh-CN"/>
              </w:rPr>
              <w:t>18</w:t>
            </w:r>
            <w:r>
              <w:rPr>
                <w:rFonts w:hint="default" w:ascii="Times New Roman" w:hAnsi="Times New Roman" w:eastAsia="宋体" w:cs="Times New Roman"/>
                <w:color w:val="auto"/>
                <w:sz w:val="24"/>
                <w:szCs w:val="24"/>
                <w:lang w:val="en-US" w:eastAsia="zh-CN"/>
              </w:rPr>
              <w:t>-1</w:t>
            </w:r>
            <w:r>
              <w:rPr>
                <w:rFonts w:hint="eastAsia" w:ascii="Times New Roman" w:cs="Times New Roman"/>
                <w:color w:val="auto"/>
                <w:sz w:val="24"/>
                <w:szCs w:val="24"/>
                <w:lang w:val="en-US" w:eastAsia="zh-CN"/>
              </w:rPr>
              <w:t>粒料加工厂</w:t>
            </w:r>
            <w:r>
              <w:rPr>
                <w:rFonts w:hint="default" w:ascii="Times New Roman" w:hAnsi="Times New Roman" w:eastAsia="宋体" w:cs="Times New Roman"/>
                <w:color w:val="auto"/>
                <w:sz w:val="24"/>
                <w:szCs w:val="24"/>
                <w:lang w:val="en-US" w:eastAsia="zh-CN"/>
              </w:rPr>
              <w:t>的逸散尘排放因子</w:t>
            </w:r>
            <w:r>
              <w:rPr>
                <w:rFonts w:hint="eastAsia" w:asci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中</w:t>
            </w:r>
            <w:r>
              <w:rPr>
                <w:rFonts w:hint="eastAsia" w:asci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送料上堆</w:t>
            </w:r>
            <w:r>
              <w:rPr>
                <w:rFonts w:hint="eastAsia" w:asci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的产污系数进行核算，粉尘产污系数为0.00</w:t>
            </w:r>
            <w:r>
              <w:rPr>
                <w:rFonts w:hint="eastAsia" w:ascii="Times New Roman" w:cs="Times New Roman"/>
                <w:color w:val="auto"/>
                <w:sz w:val="24"/>
                <w:szCs w:val="24"/>
                <w:lang w:val="en-US" w:eastAsia="zh-CN"/>
              </w:rPr>
              <w:t>29</w:t>
            </w:r>
            <w:r>
              <w:rPr>
                <w:rFonts w:hint="default" w:ascii="Times New Roman" w:hAnsi="Times New Roman" w:eastAsia="宋体" w:cs="Times New Roman"/>
                <w:color w:val="auto"/>
                <w:sz w:val="24"/>
                <w:szCs w:val="24"/>
                <w:lang w:val="en-US" w:eastAsia="zh-CN"/>
              </w:rPr>
              <w:t>kg/t-</w:t>
            </w:r>
            <w:r>
              <w:rPr>
                <w:rFonts w:hint="eastAsia" w:ascii="Times New Roman" w:cs="Times New Roman"/>
                <w:color w:val="auto"/>
                <w:sz w:val="24"/>
                <w:szCs w:val="24"/>
                <w:lang w:val="en-US" w:eastAsia="zh-CN"/>
              </w:rPr>
              <w:t>进料</w:t>
            </w:r>
            <w:r>
              <w:rPr>
                <w:rFonts w:hint="default" w:ascii="Times New Roman" w:hAnsi="Times New Roman" w:eastAsia="宋体" w:cs="Times New Roman"/>
                <w:color w:val="auto"/>
                <w:sz w:val="24"/>
                <w:szCs w:val="24"/>
                <w:lang w:val="en-US" w:eastAsia="zh-CN"/>
              </w:rPr>
              <w:t>，项目原料用量为</w:t>
            </w:r>
            <w:r>
              <w:rPr>
                <w:rFonts w:hint="eastAsia" w:cs="Times New Roman"/>
                <w:color w:val="auto"/>
                <w:sz w:val="24"/>
                <w:szCs w:val="24"/>
                <w:lang w:val="en-US" w:eastAsia="zh-CN"/>
              </w:rPr>
              <w:t>285</w:t>
            </w:r>
            <w:r>
              <w:rPr>
                <w:rFonts w:hint="eastAsia" w:ascii="Times New Roman" w:cs="Times New Roman"/>
                <w:color w:val="auto"/>
                <w:sz w:val="24"/>
                <w:szCs w:val="24"/>
                <w:lang w:val="en-US" w:eastAsia="zh-CN"/>
              </w:rPr>
              <w:t>00</w:t>
            </w:r>
            <w:r>
              <w:rPr>
                <w:rFonts w:hint="default" w:ascii="Times New Roman" w:hAnsi="Times New Roman" w:eastAsia="宋体" w:cs="Times New Roman"/>
                <w:color w:val="auto"/>
                <w:sz w:val="24"/>
                <w:szCs w:val="24"/>
                <w:lang w:val="en-US" w:eastAsia="zh-CN"/>
              </w:rPr>
              <w:t>t/a，则粉尘产生量为0.</w:t>
            </w:r>
            <w:r>
              <w:rPr>
                <w:rFonts w:hint="eastAsia" w:cs="Times New Roman"/>
                <w:color w:val="auto"/>
                <w:sz w:val="24"/>
                <w:szCs w:val="24"/>
                <w:lang w:val="en-US" w:eastAsia="zh-CN"/>
              </w:rPr>
              <w:t>083</w:t>
            </w:r>
            <w:r>
              <w:rPr>
                <w:rFonts w:hint="default" w:ascii="Times New Roman" w:hAnsi="Times New Roman" w:eastAsia="宋体" w:cs="Times New Roman"/>
                <w:color w:val="auto"/>
                <w:sz w:val="24"/>
                <w:szCs w:val="24"/>
                <w:lang w:val="en-US" w:eastAsia="zh-CN"/>
              </w:rPr>
              <w:t>t/a。进料设置集气罩对进料口粉尘收集，连接布袋除尘器，将进料过程中产生的粉尘处理，则项目原料投料排放量为0.0</w:t>
            </w:r>
            <w:r>
              <w:rPr>
                <w:rFonts w:hint="eastAsia" w:ascii="Times New Roman" w:cs="Times New Roman"/>
                <w:color w:val="auto"/>
                <w:sz w:val="24"/>
                <w:szCs w:val="24"/>
                <w:lang w:val="en-US" w:eastAsia="zh-CN"/>
              </w:rPr>
              <w:t>0</w:t>
            </w:r>
            <w:r>
              <w:rPr>
                <w:rFonts w:hint="eastAsia" w:cs="Times New Roman"/>
                <w:color w:val="auto"/>
                <w:sz w:val="24"/>
                <w:szCs w:val="24"/>
                <w:lang w:val="en-US" w:eastAsia="zh-CN"/>
              </w:rPr>
              <w:t>07</w:t>
            </w:r>
            <w:r>
              <w:rPr>
                <w:rFonts w:hint="default" w:ascii="Times New Roman" w:hAnsi="Times New Roman" w:eastAsia="宋体" w:cs="Times New Roman"/>
                <w:color w:val="auto"/>
                <w:sz w:val="24"/>
                <w:szCs w:val="24"/>
                <w:lang w:val="en-US" w:eastAsia="zh-CN"/>
              </w:rPr>
              <w:t>t/a。</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color w:val="auto"/>
                <w:lang w:val="en-US" w:eastAsia="zh-CN"/>
              </w:rPr>
            </w:pPr>
            <w:r>
              <w:rPr>
                <w:rFonts w:hint="eastAsia" w:cs="Times New Roman"/>
                <w:b/>
                <w:bCs/>
                <w:color w:val="auto"/>
                <w:lang w:val="en-US" w:eastAsia="zh-CN"/>
              </w:rPr>
              <w:t>（2）</w:t>
            </w:r>
            <w:r>
              <w:rPr>
                <w:rFonts w:hint="default" w:ascii="Times New Roman" w:hAnsi="Times New Roman" w:eastAsia="宋体" w:cs="Times New Roman"/>
                <w:b/>
                <w:bCs/>
                <w:color w:val="auto"/>
              </w:rPr>
              <w:t>车辆运输</w:t>
            </w:r>
            <w:r>
              <w:rPr>
                <w:rFonts w:hint="default" w:ascii="Times New Roman" w:hAnsi="Times New Roman" w:eastAsia="宋体" w:cs="Times New Roman"/>
                <w:b/>
                <w:bCs/>
                <w:color w:val="auto"/>
                <w:lang w:val="en-US" w:eastAsia="zh-CN"/>
              </w:rPr>
              <w:t>扬尘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车辆运输过程中会带起扬尘，运输线路上的起尘量按下式计算：</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Q=0.123(V/5)(W/6.8)</w:t>
            </w:r>
            <w:r>
              <w:rPr>
                <w:rFonts w:hint="default" w:ascii="Times New Roman" w:hAnsi="Times New Roman" w:eastAsia="宋体" w:cs="Times New Roman"/>
                <w:color w:val="auto"/>
                <w:vertAlign w:val="superscript"/>
              </w:rPr>
              <w:t>0.85</w:t>
            </w:r>
            <w:r>
              <w:rPr>
                <w:rFonts w:hint="default" w:ascii="Times New Roman" w:hAnsi="Times New Roman" w:eastAsia="宋体" w:cs="Times New Roman"/>
                <w:color w:val="auto"/>
              </w:rPr>
              <w:t>(P/0.5)</w:t>
            </w:r>
            <w:r>
              <w:rPr>
                <w:rFonts w:hint="default" w:ascii="Times New Roman" w:hAnsi="Times New Roman" w:eastAsia="宋体" w:cs="Times New Roman"/>
                <w:color w:val="auto"/>
                <w:vertAlign w:val="superscript"/>
              </w:rPr>
              <w:t>0.72</w:t>
            </w:r>
            <w:r>
              <w:rPr>
                <w:rFonts w:hint="default" w:ascii="Times New Roman" w:hAnsi="Times New Roman" w:eastAsia="宋体" w:cs="Times New Roman"/>
                <w:color w:val="auto"/>
              </w:rPr>
              <w:t>·L</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式中：Q——汽车行驶时的扬尘，kg/辆；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 xml:space="preserve">      V——汽车速度，取15km/h；</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 xml:space="preserve">      W——汽车载重量，空车取10吨，满载取30吨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 xml:space="preserve">      P——道路表面粉尘量，取0.1kg/m</w:t>
            </w:r>
            <w:r>
              <w:rPr>
                <w:rFonts w:hint="default" w:ascii="Times New Roman" w:hAnsi="Times New Roman" w:eastAsia="宋体" w:cs="Times New Roman"/>
                <w:color w:val="auto"/>
                <w:vertAlign w:val="superscript"/>
              </w:rPr>
              <w:t>2</w:t>
            </w:r>
            <w:r>
              <w:rPr>
                <w:rFonts w:hint="default" w:ascii="Times New Roman" w:hAnsi="Times New Roman" w:eastAsia="宋体" w:cs="Times New Roman"/>
                <w:color w:val="auto"/>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 xml:space="preserve">      L——道路长度，</w:t>
            </w:r>
            <w:r>
              <w:rPr>
                <w:rFonts w:hint="default" w:ascii="Times New Roman" w:hAnsi="Times New Roman" w:eastAsia="宋体" w:cs="Times New Roman"/>
                <w:color w:val="auto"/>
                <w:lang w:val="en-US" w:eastAsia="zh-CN"/>
              </w:rPr>
              <w:t>0.</w:t>
            </w:r>
            <w:r>
              <w:rPr>
                <w:rFonts w:hint="eastAsia" w:cs="Times New Roman"/>
                <w:color w:val="auto"/>
                <w:lang w:val="en-US" w:eastAsia="zh-CN"/>
              </w:rPr>
              <w:t>1</w:t>
            </w:r>
            <w:r>
              <w:rPr>
                <w:rFonts w:hint="default" w:ascii="Times New Roman" w:hAnsi="Times New Roman" w:eastAsia="宋体" w:cs="Times New Roman"/>
                <w:color w:val="auto"/>
                <w:lang w:val="en-US" w:eastAsia="zh-CN"/>
              </w:rPr>
              <w:t>k</w:t>
            </w:r>
            <w:r>
              <w:rPr>
                <w:rFonts w:hint="default" w:ascii="Times New Roman" w:hAnsi="Times New Roman" w:eastAsia="宋体" w:cs="Times New Roman"/>
                <w:color w:val="auto"/>
              </w:rPr>
              <w:t>m</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本项目厂区大门至加工区的平均运输距离按</w:t>
            </w:r>
            <w:r>
              <w:rPr>
                <w:rFonts w:hint="eastAsia" w:cs="Times New Roman"/>
                <w:color w:val="auto"/>
                <w:lang w:val="en-US" w:eastAsia="zh-CN"/>
              </w:rPr>
              <w:t>1</w:t>
            </w:r>
            <w:r>
              <w:rPr>
                <w:rFonts w:hint="default" w:ascii="Times New Roman" w:hAnsi="Times New Roman" w:eastAsia="宋体" w:cs="Times New Roman"/>
                <w:color w:val="auto"/>
                <w:lang w:val="en-US" w:eastAsia="zh-CN"/>
              </w:rPr>
              <w:t>00</w:t>
            </w:r>
            <w:r>
              <w:rPr>
                <w:rFonts w:hint="default" w:ascii="Times New Roman" w:hAnsi="Times New Roman" w:eastAsia="宋体" w:cs="Times New Roman"/>
                <w:color w:val="auto"/>
              </w:rPr>
              <w:t>m计，运输车辆速度按15km/h计，</w:t>
            </w:r>
            <w:r>
              <w:rPr>
                <w:rFonts w:hint="eastAsia" w:cs="Times New Roman"/>
                <w:color w:val="auto"/>
                <w:lang w:val="en-US" w:eastAsia="zh-CN"/>
              </w:rPr>
              <w:t>平均</w:t>
            </w:r>
            <w:r>
              <w:rPr>
                <w:rFonts w:hint="default" w:ascii="Times New Roman" w:hAnsi="Times New Roman" w:eastAsia="宋体" w:cs="Times New Roman"/>
                <w:color w:val="auto"/>
              </w:rPr>
              <w:t>每年运载次数约</w:t>
            </w:r>
            <w:r>
              <w:rPr>
                <w:rFonts w:hint="eastAsia" w:cs="Times New Roman"/>
                <w:color w:val="auto"/>
                <w:lang w:val="en-US" w:eastAsia="zh-CN"/>
              </w:rPr>
              <w:t>1400</w:t>
            </w:r>
            <w:r>
              <w:rPr>
                <w:rFonts w:hint="default" w:ascii="Times New Roman" w:hAnsi="Times New Roman" w:eastAsia="宋体" w:cs="Times New Roman"/>
                <w:color w:val="auto"/>
              </w:rPr>
              <w:t>次</w:t>
            </w:r>
            <w:r>
              <w:rPr>
                <w:rFonts w:hint="eastAsia" w:cs="Times New Roman"/>
                <w:color w:val="auto"/>
                <w:lang w:eastAsia="zh-CN"/>
              </w:rPr>
              <w:t>，</w:t>
            </w:r>
            <w:r>
              <w:rPr>
                <w:rFonts w:hint="default" w:ascii="Times New Roman" w:hAnsi="Times New Roman" w:eastAsia="宋体" w:cs="Times New Roman"/>
                <w:color w:val="auto"/>
              </w:rPr>
              <w:t>采取洒水抑尘</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扬尘控制率约</w:t>
            </w:r>
            <w:r>
              <w:rPr>
                <w:rFonts w:hint="default" w:ascii="Times New Roman" w:hAnsi="Times New Roman" w:eastAsia="宋体" w:cs="Times New Roman"/>
                <w:color w:val="auto"/>
                <w:lang w:val="en-US" w:eastAsia="zh-CN"/>
              </w:rPr>
              <w:t>74</w:t>
            </w:r>
            <w:r>
              <w:rPr>
                <w:rFonts w:hint="default" w:ascii="Times New Roman" w:hAnsi="Times New Roman" w:eastAsia="宋体" w:cs="Times New Roman"/>
                <w:color w:val="auto"/>
              </w:rPr>
              <w:t>%</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，道路表面粉尘量按0.1kg/m</w:t>
            </w:r>
            <w:r>
              <w:rPr>
                <w:rFonts w:hint="default" w:ascii="Times New Roman" w:hAnsi="Times New Roman" w:eastAsia="宋体" w:cs="Times New Roman"/>
                <w:color w:val="auto"/>
                <w:vertAlign w:val="superscript"/>
              </w:rPr>
              <w:t>2</w:t>
            </w:r>
            <w:r>
              <w:rPr>
                <w:rFonts w:hint="default" w:ascii="Times New Roman" w:hAnsi="Times New Roman" w:eastAsia="宋体" w:cs="Times New Roman"/>
                <w:color w:val="auto"/>
              </w:rPr>
              <w:t>计算。则汽车空车行驶扬尘强度为</w:t>
            </w:r>
            <w:r>
              <w:rPr>
                <w:rFonts w:hint="eastAsia" w:cs="Times New Roman"/>
                <w:color w:val="auto"/>
                <w:lang w:val="en-US" w:eastAsia="zh-CN"/>
              </w:rPr>
              <w:t>0.016</w:t>
            </w:r>
            <w:r>
              <w:rPr>
                <w:rFonts w:hint="default" w:ascii="Times New Roman" w:hAnsi="Times New Roman" w:eastAsia="宋体" w:cs="Times New Roman"/>
                <w:color w:val="auto"/>
              </w:rPr>
              <w:t>kg/辆，满载行驶扬尘强度为</w:t>
            </w:r>
            <w:r>
              <w:rPr>
                <w:rFonts w:hint="eastAsia" w:cs="Times New Roman"/>
                <w:color w:val="auto"/>
                <w:lang w:val="en-US" w:eastAsia="zh-CN"/>
              </w:rPr>
              <w:t>0.041</w:t>
            </w:r>
            <w:r>
              <w:rPr>
                <w:rFonts w:hint="default" w:ascii="Times New Roman" w:hAnsi="Times New Roman" w:eastAsia="宋体" w:cs="Times New Roman"/>
                <w:color w:val="auto"/>
              </w:rPr>
              <w:t>kg/辆，运营期车辆运输起尘量计算结果见下表：</w:t>
            </w:r>
          </w:p>
          <w:p>
            <w:pPr>
              <w:pStyle w:val="20"/>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napToGrid w:val="0"/>
                <w:color w:val="auto"/>
                <w:kern w:val="0"/>
                <w:sz w:val="21"/>
                <w:szCs w:val="21"/>
                <w:lang w:val="en-US" w:eastAsia="zh-CN" w:bidi="ar-SA"/>
                <w14:ligatures w14:val="none"/>
              </w:rPr>
            </w:pPr>
            <w:r>
              <w:rPr>
                <w:rFonts w:hint="default" w:ascii="Times New Roman" w:hAnsi="Times New Roman" w:eastAsia="宋体" w:cs="Times New Roman"/>
                <w:b/>
                <w:bCs/>
                <w:snapToGrid w:val="0"/>
                <w:color w:val="auto"/>
                <w:kern w:val="0"/>
                <w:sz w:val="21"/>
                <w:szCs w:val="21"/>
                <w:lang w:val="en-US" w:eastAsia="zh-CN" w:bidi="ar-SA"/>
                <w14:ligatures w14:val="none"/>
              </w:rPr>
              <w:t>表4</w:t>
            </w:r>
            <w:r>
              <w:rPr>
                <w:rFonts w:hint="eastAsia" w:ascii="Times New Roman" w:hAnsi="Times New Roman" w:eastAsia="宋体" w:cs="Times New Roman"/>
                <w:b/>
                <w:bCs/>
                <w:snapToGrid w:val="0"/>
                <w:color w:val="auto"/>
                <w:kern w:val="0"/>
                <w:sz w:val="21"/>
                <w:szCs w:val="21"/>
                <w:lang w:val="en-US" w:eastAsia="zh-CN" w:bidi="ar-SA"/>
                <w14:ligatures w14:val="none"/>
              </w:rPr>
              <w:t>.7</w:t>
            </w:r>
            <w:r>
              <w:rPr>
                <w:rFonts w:hint="default" w:ascii="Times New Roman" w:hAnsi="Times New Roman" w:eastAsia="宋体" w:cs="Times New Roman"/>
                <w:b/>
                <w:bCs/>
                <w:snapToGrid w:val="0"/>
                <w:color w:val="auto"/>
                <w:kern w:val="0"/>
                <w:sz w:val="21"/>
                <w:szCs w:val="21"/>
                <w:lang w:val="en-US" w:eastAsia="zh-CN" w:bidi="ar-SA"/>
                <w14:ligatures w14:val="none"/>
              </w:rPr>
              <w:t>-</w:t>
            </w:r>
            <w:r>
              <w:rPr>
                <w:rFonts w:hint="eastAsia" w:ascii="Times New Roman" w:hAnsi="Times New Roman" w:eastAsia="宋体" w:cs="Times New Roman"/>
                <w:b/>
                <w:bCs/>
                <w:snapToGrid w:val="0"/>
                <w:color w:val="auto"/>
                <w:kern w:val="0"/>
                <w:sz w:val="21"/>
                <w:szCs w:val="21"/>
                <w:lang w:val="en-US" w:eastAsia="zh-CN" w:bidi="ar-SA"/>
                <w14:ligatures w14:val="none"/>
              </w:rPr>
              <w:t xml:space="preserve">2   </w:t>
            </w:r>
            <w:r>
              <w:rPr>
                <w:rFonts w:hint="default" w:ascii="Times New Roman" w:hAnsi="Times New Roman" w:eastAsia="宋体" w:cs="Times New Roman"/>
                <w:b/>
                <w:bCs/>
                <w:snapToGrid w:val="0"/>
                <w:color w:val="auto"/>
                <w:kern w:val="0"/>
                <w:sz w:val="21"/>
                <w:szCs w:val="21"/>
                <w:lang w:val="en-US" w:eastAsia="zh-CN" w:bidi="ar-SA"/>
                <w14:ligatures w14:val="none"/>
              </w:rPr>
              <w:t>车辆运输过程颗粒物排放情况一览表</w:t>
            </w:r>
          </w:p>
          <w:tbl>
            <w:tblPr>
              <w:tblStyle w:val="26"/>
              <w:tblW w:w="78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908"/>
              <w:gridCol w:w="1163"/>
              <w:gridCol w:w="1012"/>
              <w:gridCol w:w="2158"/>
              <w:gridCol w:w="13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09" w:type="dxa"/>
                  <w:tcBorders>
                    <w:tl2br w:val="nil"/>
                    <w:tr2bl w:val="nil"/>
                  </w:tcBorders>
                  <w:vAlign w:val="center"/>
                </w:tcPr>
                <w:p>
                  <w:pPr>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产污环节</w:t>
                  </w:r>
                </w:p>
              </w:tc>
              <w:tc>
                <w:tcPr>
                  <w:tcW w:w="908" w:type="dxa"/>
                  <w:tcBorders>
                    <w:tl2br w:val="nil"/>
                    <w:tr2bl w:val="nil"/>
                  </w:tcBorders>
                  <w:vAlign w:val="center"/>
                </w:tcPr>
                <w:p>
                  <w:pPr>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平均运距（</w:t>
                  </w:r>
                  <w:r>
                    <w:rPr>
                      <w:rFonts w:hint="default" w:ascii="Times New Roman" w:hAnsi="Times New Roman" w:eastAsia="宋体" w:cs="Times New Roman"/>
                      <w:b/>
                      <w:bCs/>
                      <w:color w:val="auto"/>
                      <w:sz w:val="21"/>
                      <w:szCs w:val="21"/>
                      <w:lang w:val="en-US" w:eastAsia="zh-CN"/>
                    </w:rPr>
                    <w:t>k</w:t>
                  </w:r>
                  <w:r>
                    <w:rPr>
                      <w:rFonts w:hint="default" w:ascii="Times New Roman" w:hAnsi="Times New Roman" w:eastAsia="宋体" w:cs="Times New Roman"/>
                      <w:b/>
                      <w:bCs/>
                      <w:color w:val="auto"/>
                      <w:sz w:val="21"/>
                      <w:szCs w:val="21"/>
                    </w:rPr>
                    <w:t>m）</w:t>
                  </w:r>
                </w:p>
              </w:tc>
              <w:tc>
                <w:tcPr>
                  <w:tcW w:w="1163" w:type="dxa"/>
                  <w:tcBorders>
                    <w:tl2br w:val="nil"/>
                    <w:tr2bl w:val="nil"/>
                  </w:tcBorders>
                  <w:vAlign w:val="center"/>
                </w:tcPr>
                <w:p>
                  <w:pPr>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运输车次（辆/a）</w:t>
                  </w:r>
                </w:p>
              </w:tc>
              <w:tc>
                <w:tcPr>
                  <w:tcW w:w="1012" w:type="dxa"/>
                  <w:tcBorders>
                    <w:tl2br w:val="nil"/>
                    <w:tr2bl w:val="nil"/>
                  </w:tcBorders>
                  <w:vAlign w:val="center"/>
                </w:tcPr>
                <w:p>
                  <w:pPr>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产尘量（t/a）</w:t>
                  </w:r>
                </w:p>
              </w:tc>
              <w:tc>
                <w:tcPr>
                  <w:tcW w:w="2158" w:type="dxa"/>
                  <w:tcBorders>
                    <w:tl2br w:val="nil"/>
                    <w:tr2bl w:val="nil"/>
                  </w:tcBorders>
                  <w:vAlign w:val="center"/>
                </w:tcPr>
                <w:p>
                  <w:pPr>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治理措施</w:t>
                  </w:r>
                </w:p>
              </w:tc>
              <w:tc>
                <w:tcPr>
                  <w:tcW w:w="1311" w:type="dxa"/>
                  <w:tcBorders>
                    <w:tl2br w:val="nil"/>
                    <w:tr2bl w:val="nil"/>
                  </w:tcBorders>
                  <w:vAlign w:val="center"/>
                </w:tcPr>
                <w:p>
                  <w:pPr>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排放量（t/a）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9"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空车</w:t>
                  </w:r>
                </w:p>
              </w:tc>
              <w:tc>
                <w:tcPr>
                  <w:tcW w:w="908"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w:t>
                  </w:r>
                  <w:r>
                    <w:rPr>
                      <w:rFonts w:hint="eastAsia" w:cs="Times New Roman"/>
                      <w:color w:val="auto"/>
                      <w:sz w:val="21"/>
                      <w:szCs w:val="21"/>
                      <w:lang w:val="en-US" w:eastAsia="zh-CN"/>
                    </w:rPr>
                    <w:t>1</w:t>
                  </w:r>
                </w:p>
              </w:tc>
              <w:tc>
                <w:tcPr>
                  <w:tcW w:w="1163"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1400</w:t>
                  </w:r>
                </w:p>
              </w:tc>
              <w:tc>
                <w:tcPr>
                  <w:tcW w:w="1012"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0.022</w:t>
                  </w:r>
                </w:p>
              </w:tc>
              <w:tc>
                <w:tcPr>
                  <w:tcW w:w="2158" w:type="dxa"/>
                  <w:vMerge w:val="restar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洒水抑尘、篷布遮盖、严禁超载、控制车速</w:t>
                  </w:r>
                </w:p>
              </w:tc>
              <w:tc>
                <w:tcPr>
                  <w:tcW w:w="1311"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09"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满载</w:t>
                  </w:r>
                </w:p>
              </w:tc>
              <w:tc>
                <w:tcPr>
                  <w:tcW w:w="908"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w:t>
                  </w:r>
                  <w:r>
                    <w:rPr>
                      <w:rFonts w:hint="eastAsia" w:cs="Times New Roman"/>
                      <w:color w:val="auto"/>
                      <w:sz w:val="21"/>
                      <w:szCs w:val="21"/>
                      <w:lang w:val="en-US" w:eastAsia="zh-CN"/>
                    </w:rPr>
                    <w:t>1</w:t>
                  </w:r>
                </w:p>
              </w:tc>
              <w:tc>
                <w:tcPr>
                  <w:tcW w:w="1163"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1400</w:t>
                  </w:r>
                </w:p>
              </w:tc>
              <w:tc>
                <w:tcPr>
                  <w:tcW w:w="1012"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0.057</w:t>
                  </w:r>
                </w:p>
              </w:tc>
              <w:tc>
                <w:tcPr>
                  <w:tcW w:w="2158" w:type="dxa"/>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311"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09"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合计</w:t>
                  </w:r>
                </w:p>
              </w:tc>
              <w:tc>
                <w:tcPr>
                  <w:tcW w:w="908"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1163"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1012"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0.079</w:t>
                  </w:r>
                </w:p>
              </w:tc>
              <w:tc>
                <w:tcPr>
                  <w:tcW w:w="2158"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1311"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0.021</w:t>
                  </w:r>
                </w:p>
              </w:tc>
            </w:tr>
          </w:tbl>
          <w:p>
            <w:pPr>
              <w:pStyle w:val="57"/>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宋体" w:cs="Times New Roman"/>
                <w:color w:val="auto"/>
                <w:sz w:val="24"/>
                <w:szCs w:val="24"/>
                <w:lang w:val="en-US" w:eastAsia="zh-CN"/>
              </w:rPr>
            </w:pPr>
            <w:r>
              <w:rPr>
                <w:rFonts w:hint="eastAsia" w:cs="Times New Roman"/>
                <w:b/>
                <w:bCs/>
                <w:color w:val="auto"/>
                <w:sz w:val="24"/>
                <w:szCs w:val="24"/>
                <w:lang w:val="en-US" w:eastAsia="zh-CN"/>
              </w:rPr>
              <w:t>（3）磨粉工序</w:t>
            </w:r>
            <w:r>
              <w:rPr>
                <w:rFonts w:hint="default" w:ascii="Times New Roman" w:hAnsi="Times New Roman" w:eastAsia="宋体" w:cs="Times New Roman"/>
                <w:b/>
                <w:bCs/>
                <w:color w:val="auto"/>
                <w:sz w:val="24"/>
                <w:szCs w:val="24"/>
                <w:lang w:val="en-US" w:eastAsia="zh-CN"/>
              </w:rPr>
              <w:t>废气</w:t>
            </w:r>
          </w:p>
          <w:p>
            <w:pPr>
              <w:pStyle w:val="2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项目</w:t>
            </w:r>
            <w:r>
              <w:rPr>
                <w:rFonts w:hint="default" w:ascii="Times New Roman" w:hAnsi="Times New Roman" w:eastAsia="宋体" w:cs="Times New Roman"/>
                <w:color w:val="auto"/>
                <w:sz w:val="24"/>
                <w:szCs w:val="24"/>
                <w:lang w:val="en-US" w:eastAsia="zh-CN"/>
              </w:rPr>
              <w:t>进行磨粉工序</w:t>
            </w:r>
            <w:r>
              <w:rPr>
                <w:rFonts w:hint="default" w:ascii="Times New Roman" w:hAnsi="Times New Roman" w:cs="Times New Roman"/>
                <w:color w:val="auto"/>
                <w:sz w:val="24"/>
                <w:szCs w:val="24"/>
                <w:lang w:val="en-US" w:eastAsia="zh-CN"/>
              </w:rPr>
              <w:t>将</w:t>
            </w:r>
            <w:r>
              <w:rPr>
                <w:rFonts w:hint="default" w:ascii="Times New Roman" w:hAnsi="Times New Roman" w:eastAsia="宋体" w:cs="Times New Roman"/>
                <w:color w:val="auto"/>
                <w:sz w:val="24"/>
                <w:szCs w:val="24"/>
                <w:lang w:eastAsia="zh-CN"/>
              </w:rPr>
              <w:t>产生一定量的粉尘。</w:t>
            </w:r>
            <w:r>
              <w:rPr>
                <w:rFonts w:hint="default" w:ascii="Times New Roman" w:hAnsi="Times New Roman" w:cs="Times New Roman"/>
                <w:color w:val="auto"/>
                <w:highlight w:val="none"/>
                <w:lang w:val="en-US" w:eastAsia="zh-CN"/>
              </w:rPr>
              <w:t>根据</w:t>
            </w:r>
            <w:r>
              <w:rPr>
                <w:rFonts w:hint="default" w:ascii="Times New Roman" w:hAnsi="Times New Roman" w:cs="Times New Roman"/>
                <w:color w:val="auto"/>
                <w:highlight w:val="none"/>
              </w:rPr>
              <w:t>《排放源统计调查产排污核算方法和系数手册》中</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工业源产排污核算方法和系数手册</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的</w:t>
            </w:r>
            <w:r>
              <w:rPr>
                <w:rFonts w:hint="default" w:ascii="Times New Roman" w:hAnsi="Times New Roman" w:cs="Times New Roman"/>
                <w:color w:val="auto"/>
                <w:highlight w:val="none"/>
                <w:lang w:eastAsia="zh-CN"/>
              </w:rPr>
              <w:t>“137蔬菜、菌类、水果和坚果加工行业系数手册”，</w:t>
            </w:r>
            <w:r>
              <w:rPr>
                <w:rFonts w:hint="default" w:ascii="Times New Roman" w:hAnsi="Times New Roman" w:cs="Times New Roman"/>
                <w:color w:val="auto"/>
                <w:highlight w:val="none"/>
                <w:lang w:val="en-US" w:eastAsia="zh-CN"/>
              </w:rPr>
              <w:t>在磨粉工序环节颗粒物</w:t>
            </w:r>
            <w:r>
              <w:rPr>
                <w:rFonts w:hint="default" w:ascii="Times New Roman" w:hAnsi="Times New Roman" w:cs="Times New Roman"/>
                <w:color w:val="auto"/>
                <w:highlight w:val="none"/>
              </w:rPr>
              <w:t>产污系数</w:t>
            </w:r>
            <w:r>
              <w:rPr>
                <w:rFonts w:hint="default" w:ascii="Times New Roman" w:hAnsi="Times New Roman" w:cs="Times New Roman"/>
                <w:color w:val="auto"/>
                <w:highlight w:val="none"/>
                <w:lang w:val="en-US" w:eastAsia="zh-CN"/>
              </w:rPr>
              <w:t>为3.6kg/t-产品，</w:t>
            </w:r>
            <w:r>
              <w:rPr>
                <w:rFonts w:hint="default" w:ascii="Times New Roman" w:hAnsi="Times New Roman" w:cs="Times New Roman"/>
                <w:color w:val="auto"/>
                <w:sz w:val="24"/>
                <w:szCs w:val="24"/>
                <w:highlight w:val="none"/>
              </w:rPr>
              <w:t>则本项目</w:t>
            </w:r>
            <w:r>
              <w:rPr>
                <w:rFonts w:hint="default" w:ascii="Times New Roman" w:hAnsi="Times New Roman" w:eastAsia="宋体" w:cs="Times New Roman"/>
                <w:color w:val="auto"/>
                <w:sz w:val="24"/>
                <w:szCs w:val="24"/>
                <w:lang w:val="en-US" w:eastAsia="zh-CN"/>
              </w:rPr>
              <w:t>磨粉工序</w:t>
            </w:r>
            <w:r>
              <w:rPr>
                <w:rFonts w:hint="default" w:ascii="Times New Roman" w:hAnsi="Times New Roman" w:cs="Times New Roman"/>
                <w:color w:val="auto"/>
                <w:sz w:val="24"/>
                <w:szCs w:val="24"/>
                <w:highlight w:val="none"/>
                <w:lang w:val="en-US" w:eastAsia="zh-CN"/>
              </w:rPr>
              <w:t>产尘量100.8t/a</w:t>
            </w:r>
            <w:r>
              <w:rPr>
                <w:rFonts w:hint="default" w:ascii="Times New Roman" w:hAnsi="Times New Roman" w:cs="Times New Roman"/>
                <w:color w:val="auto"/>
                <w:sz w:val="24"/>
                <w:szCs w:val="24"/>
                <w:highlight w:val="none"/>
              </w:rPr>
              <w:t>。项目采用布袋除尘器+15m高排气筒进行废气处理，设置</w:t>
            </w:r>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rPr>
              <w:t>个集气罩（顶吸），风机风量</w:t>
            </w:r>
            <w:r>
              <w:rPr>
                <w:rFonts w:hint="default" w:ascii="Times New Roman" w:hAnsi="Times New Roman" w:cs="Times New Roman"/>
                <w:color w:val="auto"/>
                <w:sz w:val="24"/>
                <w:szCs w:val="24"/>
                <w:highlight w:val="none"/>
                <w:lang w:val="en-US" w:eastAsia="zh-CN"/>
              </w:rPr>
              <w:t>20</w:t>
            </w:r>
            <w:r>
              <w:rPr>
                <w:rFonts w:hint="default" w:ascii="Times New Roman" w:hAnsi="Times New Roman" w:cs="Times New Roman"/>
                <w:color w:val="auto"/>
                <w:sz w:val="24"/>
                <w:szCs w:val="24"/>
                <w:highlight w:val="none"/>
              </w:rPr>
              <w:t>000m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/h考虑，废气收集率按90%</w:t>
            </w:r>
            <w:r>
              <w:rPr>
                <w:rFonts w:hint="default" w:ascii="Times New Roman" w:hAnsi="Times New Roman" w:cs="Times New Roman"/>
                <w:color w:val="auto"/>
                <w:sz w:val="24"/>
                <w:szCs w:val="24"/>
                <w:highlight w:val="none"/>
                <w:lang w:eastAsia="zh-CN"/>
              </w:rPr>
              <w:t>计算</w:t>
            </w:r>
            <w:r>
              <w:rPr>
                <w:rFonts w:hint="default" w:ascii="Times New Roman" w:hAnsi="Times New Roman" w:cs="Times New Roman"/>
                <w:color w:val="auto"/>
                <w:sz w:val="24"/>
                <w:szCs w:val="24"/>
                <w:highlight w:val="none"/>
              </w:rPr>
              <w:t>，产生的废气通过布袋除尘系统+15m高排气筒后进行排放，布袋除尘器处理率以99%计算，粉尘</w:t>
            </w:r>
            <w:r>
              <w:rPr>
                <w:rFonts w:hint="default" w:ascii="Times New Roman" w:hAnsi="Times New Roman" w:cs="Times New Roman"/>
                <w:color w:val="auto"/>
                <w:sz w:val="24"/>
                <w:szCs w:val="24"/>
                <w:highlight w:val="none"/>
                <w:lang w:val="en-US" w:eastAsia="zh-CN"/>
              </w:rPr>
              <w:t>排放</w:t>
            </w:r>
            <w:r>
              <w:rPr>
                <w:rFonts w:hint="default" w:ascii="Times New Roman" w:hAnsi="Times New Roman" w:cs="Times New Roman"/>
                <w:color w:val="auto"/>
                <w:sz w:val="24"/>
                <w:szCs w:val="24"/>
                <w:highlight w:val="none"/>
              </w:rPr>
              <w:t>量约为</w:t>
            </w:r>
            <w:r>
              <w:rPr>
                <w:rFonts w:hint="default" w:ascii="Times New Roman" w:hAnsi="Times New Roman" w:cs="Times New Roman"/>
                <w:color w:val="auto"/>
                <w:sz w:val="24"/>
                <w:szCs w:val="24"/>
                <w:highlight w:val="none"/>
                <w:lang w:val="en-US" w:eastAsia="zh-CN"/>
              </w:rPr>
              <w:t>0.91</w:t>
            </w:r>
            <w:r>
              <w:rPr>
                <w:rFonts w:hint="default" w:ascii="Times New Roman" w:hAnsi="Times New Roman" w:cs="Times New Roman"/>
                <w:color w:val="auto"/>
                <w:sz w:val="24"/>
                <w:szCs w:val="24"/>
                <w:highlight w:val="none"/>
              </w:rPr>
              <w:t>t/a。</w:t>
            </w:r>
          </w:p>
          <w:p>
            <w:pPr>
              <w:pStyle w:val="57"/>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宋体" w:cs="Times New Roman"/>
                <w:b/>
                <w:bCs/>
                <w:color w:val="auto"/>
                <w:sz w:val="24"/>
                <w:szCs w:val="24"/>
                <w:lang w:eastAsia="zh-CN"/>
              </w:rPr>
            </w:pPr>
            <w:r>
              <w:rPr>
                <w:rFonts w:hint="eastAsia" w:cs="Times New Roman"/>
                <w:b/>
                <w:bCs/>
                <w:color w:val="auto"/>
                <w:sz w:val="24"/>
                <w:szCs w:val="24"/>
                <w:lang w:eastAsia="zh-CN"/>
              </w:rPr>
              <w:t>（</w:t>
            </w:r>
            <w:r>
              <w:rPr>
                <w:rFonts w:hint="eastAsia" w:cs="Times New Roman"/>
                <w:b/>
                <w:bCs/>
                <w:color w:val="auto"/>
                <w:sz w:val="24"/>
                <w:szCs w:val="24"/>
                <w:lang w:val="en-US" w:eastAsia="zh-CN"/>
              </w:rPr>
              <w:t>4</w:t>
            </w:r>
            <w:r>
              <w:rPr>
                <w:rFonts w:hint="eastAsia" w:cs="Times New Roman"/>
                <w:b/>
                <w:bCs/>
                <w:color w:val="auto"/>
                <w:sz w:val="24"/>
                <w:szCs w:val="24"/>
                <w:lang w:eastAsia="zh-CN"/>
              </w:rPr>
              <w:t>）筛分工序</w:t>
            </w:r>
            <w:r>
              <w:rPr>
                <w:rFonts w:hint="eastAsia" w:cs="Times New Roman"/>
                <w:b/>
                <w:bCs/>
                <w:color w:val="auto"/>
                <w:sz w:val="24"/>
                <w:szCs w:val="24"/>
                <w:lang w:val="en-US" w:eastAsia="zh-CN"/>
              </w:rPr>
              <w:t>废气</w:t>
            </w:r>
          </w:p>
          <w:p>
            <w:pPr>
              <w:pStyle w:val="37"/>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snapToGrid w:val="0"/>
                <w:color w:val="auto"/>
                <w:kern w:val="0"/>
                <w:sz w:val="24"/>
                <w:szCs w:val="24"/>
                <w:highlight w:val="none"/>
                <w:lang w:val="en-US" w:eastAsia="zh-CN" w:bidi="ar-SA"/>
                <w14:ligatures w14:val="none"/>
              </w:rPr>
              <w:t>本项目筛分工序会产生粉尘，参照《逸散性工业粉尘控制技术》（本书原著由美国俄亥俄州环境保护局和污染工程分公司编著，张良壁，刘敬严编译，中国环境科学出版社，1989年12月），</w:t>
            </w:r>
            <w:r>
              <w:rPr>
                <w:rFonts w:hint="eastAsia" w:eastAsia="宋体" w:cs="Times New Roman"/>
                <w:snapToGrid w:val="0"/>
                <w:color w:val="auto"/>
                <w:kern w:val="0"/>
                <w:sz w:val="24"/>
                <w:szCs w:val="24"/>
                <w:highlight w:val="none"/>
                <w:lang w:val="en-US" w:eastAsia="zh-CN" w:bidi="ar-SA"/>
                <w14:ligatures w14:val="none"/>
              </w:rPr>
              <w:t>第六章乡村谷物仓库，</w:t>
            </w:r>
            <w:r>
              <w:rPr>
                <w:rFonts w:hint="default" w:ascii="Times New Roman" w:hAnsi="Times New Roman" w:eastAsia="宋体" w:cs="Times New Roman"/>
                <w:snapToGrid w:val="0"/>
                <w:color w:val="auto"/>
                <w:kern w:val="0"/>
                <w:sz w:val="24"/>
                <w:szCs w:val="24"/>
                <w:highlight w:val="none"/>
                <w:lang w:val="en-US" w:eastAsia="zh-CN" w:bidi="ar-SA"/>
                <w14:ligatures w14:val="none"/>
              </w:rPr>
              <w:t>表</w:t>
            </w:r>
            <w:r>
              <w:rPr>
                <w:rFonts w:hint="eastAsia" w:eastAsia="宋体" w:cs="Times New Roman"/>
                <w:snapToGrid w:val="0"/>
                <w:color w:val="auto"/>
                <w:kern w:val="0"/>
                <w:sz w:val="24"/>
                <w:szCs w:val="24"/>
                <w:highlight w:val="none"/>
                <w:lang w:val="en-US" w:eastAsia="zh-CN" w:bidi="ar-SA"/>
                <w14:ligatures w14:val="none"/>
              </w:rPr>
              <w:t>6</w:t>
            </w:r>
            <w:r>
              <w:rPr>
                <w:rFonts w:hint="default" w:ascii="Times New Roman" w:hAnsi="Times New Roman" w:eastAsia="宋体" w:cs="Times New Roman"/>
                <w:snapToGrid w:val="0"/>
                <w:color w:val="auto"/>
                <w:kern w:val="0"/>
                <w:sz w:val="24"/>
                <w:szCs w:val="24"/>
                <w:highlight w:val="none"/>
                <w:lang w:val="en-US" w:eastAsia="zh-CN" w:bidi="ar-SA"/>
                <w14:ligatures w14:val="none"/>
              </w:rPr>
              <w:t>-1</w:t>
            </w:r>
            <w:r>
              <w:rPr>
                <w:rFonts w:hint="eastAsia" w:eastAsia="宋体" w:cs="Times New Roman"/>
                <w:snapToGrid w:val="0"/>
                <w:color w:val="auto"/>
                <w:kern w:val="0"/>
                <w:sz w:val="24"/>
                <w:szCs w:val="24"/>
                <w:highlight w:val="none"/>
                <w:lang w:val="en-US" w:eastAsia="zh-CN" w:bidi="ar-SA"/>
                <w14:ligatures w14:val="none"/>
              </w:rPr>
              <w:t>乡村谷物贮仓的</w:t>
            </w:r>
            <w:r>
              <w:rPr>
                <w:rFonts w:hint="default" w:ascii="Times New Roman" w:hAnsi="Times New Roman" w:eastAsia="宋体" w:cs="Times New Roman"/>
                <w:snapToGrid w:val="0"/>
                <w:color w:val="auto"/>
                <w:kern w:val="0"/>
                <w:sz w:val="24"/>
                <w:szCs w:val="24"/>
                <w:highlight w:val="none"/>
                <w:lang w:val="en-US" w:eastAsia="zh-CN" w:bidi="ar-SA"/>
                <w14:ligatures w14:val="none"/>
              </w:rPr>
              <w:t>逸散尘排放因子可知，筛分工序粉尘产生量为</w:t>
            </w:r>
            <w:r>
              <w:rPr>
                <w:rFonts w:hint="eastAsia" w:eastAsia="宋体" w:cs="Times New Roman"/>
                <w:snapToGrid w:val="0"/>
                <w:color w:val="auto"/>
                <w:kern w:val="0"/>
                <w:sz w:val="24"/>
                <w:szCs w:val="24"/>
                <w:highlight w:val="none"/>
                <w:lang w:val="en-US" w:eastAsia="zh-CN" w:bidi="ar-SA"/>
                <w14:ligatures w14:val="none"/>
              </w:rPr>
              <w:t>1.5</w:t>
            </w:r>
            <w:r>
              <w:rPr>
                <w:rFonts w:hint="default" w:ascii="Times New Roman" w:hAnsi="Times New Roman" w:eastAsia="宋体" w:cs="Times New Roman"/>
                <w:snapToGrid w:val="0"/>
                <w:color w:val="auto"/>
                <w:kern w:val="0"/>
                <w:sz w:val="24"/>
                <w:szCs w:val="24"/>
                <w:highlight w:val="none"/>
                <w:lang w:val="en-US" w:eastAsia="zh-CN" w:bidi="ar-SA"/>
                <w14:ligatures w14:val="none"/>
              </w:rPr>
              <w:t>kg/t（</w:t>
            </w:r>
            <w:r>
              <w:rPr>
                <w:rFonts w:hint="eastAsia" w:eastAsia="宋体" w:cs="Times New Roman"/>
                <w:snapToGrid w:val="0"/>
                <w:color w:val="auto"/>
                <w:kern w:val="0"/>
                <w:sz w:val="24"/>
                <w:szCs w:val="24"/>
                <w:highlight w:val="none"/>
                <w:lang w:val="en-US" w:eastAsia="zh-CN" w:bidi="ar-SA"/>
                <w14:ligatures w14:val="none"/>
              </w:rPr>
              <w:t>破碎料</w:t>
            </w:r>
            <w:r>
              <w:rPr>
                <w:rFonts w:hint="default" w:ascii="Times New Roman" w:hAnsi="Times New Roman" w:eastAsia="宋体" w:cs="Times New Roman"/>
                <w:snapToGrid w:val="0"/>
                <w:color w:val="auto"/>
                <w:kern w:val="0"/>
                <w:sz w:val="24"/>
                <w:szCs w:val="24"/>
                <w:highlight w:val="none"/>
                <w:lang w:val="en-US" w:eastAsia="zh-CN" w:bidi="ar-SA"/>
                <w14:ligatures w14:val="none"/>
              </w:rPr>
              <w:t>）。本项目年产</w:t>
            </w:r>
            <w:r>
              <w:rPr>
                <w:rFonts w:hint="eastAsia" w:eastAsia="宋体" w:cs="Times New Roman"/>
                <w:snapToGrid w:val="0"/>
                <w:color w:val="auto"/>
                <w:kern w:val="0"/>
                <w:sz w:val="24"/>
                <w:szCs w:val="24"/>
                <w:highlight w:val="none"/>
                <w:lang w:val="en-US" w:eastAsia="zh-CN" w:bidi="ar-SA"/>
                <w14:ligatures w14:val="none"/>
              </w:rPr>
              <w:t>辣椒颗粒2.8</w:t>
            </w:r>
            <w:r>
              <w:rPr>
                <w:rFonts w:hint="default" w:ascii="Times New Roman" w:hAnsi="Times New Roman" w:eastAsia="宋体" w:cs="Times New Roman"/>
                <w:snapToGrid w:val="0"/>
                <w:color w:val="auto"/>
                <w:kern w:val="0"/>
                <w:sz w:val="24"/>
                <w:szCs w:val="24"/>
                <w:highlight w:val="none"/>
                <w:lang w:val="en-US" w:eastAsia="zh-CN" w:bidi="ar-SA"/>
                <w14:ligatures w14:val="none"/>
              </w:rPr>
              <w:t>万t，则筛分工序产生的逸散粉尘量为</w:t>
            </w:r>
            <w:r>
              <w:rPr>
                <w:rFonts w:hint="eastAsia" w:eastAsia="宋体" w:cs="Times New Roman"/>
                <w:snapToGrid w:val="0"/>
                <w:color w:val="auto"/>
                <w:kern w:val="0"/>
                <w:sz w:val="24"/>
                <w:szCs w:val="24"/>
                <w:highlight w:val="none"/>
                <w:lang w:val="en-US" w:eastAsia="zh-CN" w:bidi="ar-SA"/>
                <w14:ligatures w14:val="none"/>
              </w:rPr>
              <w:t>42</w:t>
            </w:r>
            <w:r>
              <w:rPr>
                <w:rFonts w:hint="default" w:ascii="Times New Roman" w:hAnsi="Times New Roman" w:eastAsia="宋体" w:cs="Times New Roman"/>
                <w:snapToGrid w:val="0"/>
                <w:color w:val="auto"/>
                <w:kern w:val="0"/>
                <w:sz w:val="24"/>
                <w:szCs w:val="24"/>
                <w:highlight w:val="none"/>
                <w:lang w:val="en-US" w:eastAsia="zh-CN" w:bidi="ar-SA"/>
                <w14:ligatures w14:val="none"/>
              </w:rPr>
              <w:t>t/a。项目采用布袋除尘器+15m高排气筒进行废气处理，设置1个集气罩（顶吸），风机风量</w:t>
            </w:r>
            <w:r>
              <w:rPr>
                <w:rFonts w:hint="eastAsia" w:eastAsia="宋体" w:cs="Times New Roman"/>
                <w:snapToGrid w:val="0"/>
                <w:color w:val="auto"/>
                <w:kern w:val="0"/>
                <w:sz w:val="24"/>
                <w:szCs w:val="24"/>
                <w:highlight w:val="none"/>
                <w:lang w:val="en-US" w:eastAsia="zh-CN" w:bidi="ar-SA"/>
                <w14:ligatures w14:val="none"/>
              </w:rPr>
              <w:t>20</w:t>
            </w:r>
            <w:r>
              <w:rPr>
                <w:rFonts w:hint="default" w:ascii="Times New Roman" w:hAnsi="Times New Roman" w:eastAsia="宋体" w:cs="Times New Roman"/>
                <w:snapToGrid w:val="0"/>
                <w:color w:val="auto"/>
                <w:kern w:val="0"/>
                <w:sz w:val="24"/>
                <w:szCs w:val="24"/>
                <w:highlight w:val="none"/>
                <w:lang w:val="en-US" w:eastAsia="zh-CN" w:bidi="ar-SA"/>
                <w14:ligatures w14:val="none"/>
              </w:rPr>
              <w:t>000m</w:t>
            </w:r>
            <w:r>
              <w:rPr>
                <w:rFonts w:hint="default" w:ascii="Times New Roman" w:hAnsi="Times New Roman" w:eastAsia="宋体" w:cs="Times New Roman"/>
                <w:snapToGrid w:val="0"/>
                <w:color w:val="auto"/>
                <w:kern w:val="0"/>
                <w:sz w:val="24"/>
                <w:szCs w:val="24"/>
                <w:highlight w:val="none"/>
                <w:vertAlign w:val="superscript"/>
                <w:lang w:val="en-US" w:eastAsia="zh-CN" w:bidi="ar-SA"/>
                <w14:ligatures w14:val="none"/>
              </w:rPr>
              <w:t>3</w:t>
            </w:r>
            <w:r>
              <w:rPr>
                <w:rFonts w:hint="default" w:ascii="Times New Roman" w:hAnsi="Times New Roman" w:eastAsia="宋体" w:cs="Times New Roman"/>
                <w:snapToGrid w:val="0"/>
                <w:color w:val="auto"/>
                <w:kern w:val="0"/>
                <w:sz w:val="24"/>
                <w:szCs w:val="24"/>
                <w:highlight w:val="none"/>
                <w:lang w:val="en-US" w:eastAsia="zh-CN" w:bidi="ar-SA"/>
                <w14:ligatures w14:val="none"/>
              </w:rPr>
              <w:t>/h考虑，废气收集率按90%</w:t>
            </w:r>
            <w:r>
              <w:rPr>
                <w:rFonts w:hint="eastAsia" w:eastAsia="宋体" w:cs="Times New Roman"/>
                <w:snapToGrid w:val="0"/>
                <w:color w:val="auto"/>
                <w:kern w:val="0"/>
                <w:sz w:val="24"/>
                <w:szCs w:val="24"/>
                <w:highlight w:val="none"/>
                <w:lang w:val="en-US" w:eastAsia="zh-CN" w:bidi="ar-SA"/>
                <w14:ligatures w14:val="none"/>
              </w:rPr>
              <w:t>计算</w:t>
            </w:r>
            <w:r>
              <w:rPr>
                <w:rFonts w:hint="default" w:ascii="Times New Roman" w:hAnsi="Times New Roman" w:eastAsia="宋体" w:cs="Times New Roman"/>
                <w:snapToGrid w:val="0"/>
                <w:color w:val="auto"/>
                <w:kern w:val="0"/>
                <w:sz w:val="24"/>
                <w:szCs w:val="24"/>
                <w:highlight w:val="none"/>
                <w:lang w:val="en-US" w:eastAsia="zh-CN" w:bidi="ar-SA"/>
                <w14:ligatures w14:val="none"/>
              </w:rPr>
              <w:t>，产生的废气通过布袋除尘系统+15m高排气筒后进行排放，布袋除尘器处理率以99%计算，粉尘排放量约为</w:t>
            </w:r>
            <w:r>
              <w:rPr>
                <w:rFonts w:hint="eastAsia" w:ascii="Times New Roman" w:hAnsi="Times New Roman" w:eastAsia="宋体" w:cs="Times New Roman"/>
                <w:snapToGrid w:val="0"/>
                <w:color w:val="auto"/>
                <w:kern w:val="0"/>
                <w:sz w:val="24"/>
                <w:szCs w:val="24"/>
                <w:highlight w:val="none"/>
                <w:lang w:val="en-US" w:eastAsia="zh-CN" w:bidi="ar-SA"/>
                <w14:ligatures w14:val="none"/>
              </w:rPr>
              <w:t>0.</w:t>
            </w:r>
            <w:r>
              <w:rPr>
                <w:rFonts w:hint="eastAsia" w:eastAsia="宋体" w:cs="Times New Roman"/>
                <w:snapToGrid w:val="0"/>
                <w:color w:val="auto"/>
                <w:kern w:val="0"/>
                <w:sz w:val="24"/>
                <w:szCs w:val="24"/>
                <w:highlight w:val="none"/>
                <w:lang w:val="en-US" w:eastAsia="zh-CN" w:bidi="ar-SA"/>
                <w14:ligatures w14:val="none"/>
              </w:rPr>
              <w:t>38</w:t>
            </w:r>
            <w:r>
              <w:rPr>
                <w:rFonts w:hint="default" w:ascii="Times New Roman" w:hAnsi="Times New Roman" w:eastAsia="宋体" w:cs="Times New Roman"/>
                <w:snapToGrid w:val="0"/>
                <w:color w:val="auto"/>
                <w:kern w:val="0"/>
                <w:sz w:val="24"/>
                <w:szCs w:val="24"/>
                <w:highlight w:val="none"/>
                <w:lang w:val="en-US" w:eastAsia="zh-CN" w:bidi="ar-SA"/>
                <w14:ligatures w14:val="none"/>
              </w:rPr>
              <w:t>t/a。</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kern w:val="2"/>
                <w:sz w:val="24"/>
                <w:szCs w:val="24"/>
                <w:highlight w:val="none"/>
                <w:lang w:val="en-US" w:eastAsia="zh-CN" w:bidi="ar-SA"/>
              </w:rPr>
              <w:t>（</w:t>
            </w:r>
            <w:r>
              <w:rPr>
                <w:rFonts w:hint="eastAsia" w:eastAsia="宋体" w:cs="Times New Roman"/>
                <w:b/>
                <w:bCs/>
                <w:color w:val="auto"/>
                <w:kern w:val="2"/>
                <w:sz w:val="24"/>
                <w:szCs w:val="24"/>
                <w:highlight w:val="none"/>
                <w:lang w:val="en-US" w:eastAsia="zh-CN" w:bidi="ar-SA"/>
              </w:rPr>
              <w:t>5</w:t>
            </w:r>
            <w:r>
              <w:rPr>
                <w:rFonts w:hint="default" w:ascii="Times New Roman" w:hAnsi="Times New Roman" w:eastAsia="宋体" w:cs="Times New Roman"/>
                <w:b/>
                <w:bCs/>
                <w:color w:val="auto"/>
                <w:kern w:val="2"/>
                <w:sz w:val="24"/>
                <w:szCs w:val="24"/>
                <w:highlight w:val="none"/>
                <w:lang w:val="en-US" w:eastAsia="zh-CN" w:bidi="ar-SA"/>
              </w:rPr>
              <w:t>）混合工序</w:t>
            </w:r>
            <w:r>
              <w:rPr>
                <w:rFonts w:hint="default" w:ascii="Times New Roman" w:hAnsi="Times New Roman" w:eastAsia="宋体" w:cs="Times New Roman"/>
                <w:b/>
                <w:bCs/>
                <w:color w:val="auto"/>
                <w:sz w:val="24"/>
                <w:szCs w:val="24"/>
                <w:highlight w:val="none"/>
                <w:lang w:val="en-US" w:eastAsia="zh-CN"/>
              </w:rPr>
              <w:t>废气</w:t>
            </w:r>
          </w:p>
          <w:p>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w:t>
            </w:r>
            <w:r>
              <w:rPr>
                <w:rFonts w:hint="default" w:ascii="Times New Roman" w:hAnsi="Times New Roman" w:eastAsia="宋体" w:cs="Times New Roman"/>
                <w:b w:val="0"/>
                <w:bCs w:val="0"/>
                <w:color w:val="auto"/>
                <w:kern w:val="2"/>
                <w:sz w:val="24"/>
                <w:szCs w:val="24"/>
                <w:highlight w:val="none"/>
                <w:lang w:val="en-US" w:eastAsia="zh-CN" w:bidi="ar-SA"/>
              </w:rPr>
              <w:t>混合工序</w:t>
            </w:r>
            <w:r>
              <w:rPr>
                <w:rFonts w:hint="default" w:ascii="Times New Roman" w:hAnsi="Times New Roman" w:eastAsia="宋体" w:cs="Times New Roman"/>
                <w:color w:val="auto"/>
                <w:sz w:val="24"/>
                <w:szCs w:val="24"/>
                <w:highlight w:val="none"/>
                <w:lang w:val="en-US" w:eastAsia="zh-CN"/>
              </w:rPr>
              <w:t>会产生粉尘，《排放源统计调查产排污核算方法和系数手册》中</w:t>
            </w:r>
            <w:r>
              <w:rPr>
                <w:rFonts w:hint="eastAsia"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工业源产排污核算方法和系数手册</w:t>
            </w:r>
            <w:r>
              <w:rPr>
                <w:rFonts w:hint="eastAsia"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的</w:t>
            </w:r>
            <w:r>
              <w:rPr>
                <w:rFonts w:hint="eastAsia"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13</w:t>
            </w:r>
            <w:r>
              <w:rPr>
                <w:rFonts w:hint="eastAsia" w:eastAsia="宋体" w:cs="Times New Roman"/>
                <w:color w:val="auto"/>
                <w:sz w:val="24"/>
                <w:szCs w:val="24"/>
                <w:highlight w:val="none"/>
                <w:lang w:val="en-US" w:eastAsia="zh-CN"/>
              </w:rPr>
              <w:t>2饲料</w:t>
            </w:r>
            <w:r>
              <w:rPr>
                <w:rFonts w:hint="default" w:ascii="Times New Roman" w:hAnsi="Times New Roman" w:eastAsia="宋体" w:cs="Times New Roman"/>
                <w:color w:val="auto"/>
                <w:sz w:val="24"/>
                <w:szCs w:val="24"/>
                <w:highlight w:val="none"/>
                <w:lang w:val="en-US" w:eastAsia="zh-CN"/>
              </w:rPr>
              <w:t>加工行业系数手册</w:t>
            </w:r>
            <w:r>
              <w:rPr>
                <w:rFonts w:hint="eastAsia"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，在</w:t>
            </w:r>
            <w:r>
              <w:rPr>
                <w:rFonts w:hint="eastAsia" w:eastAsia="宋体" w:cs="Times New Roman"/>
                <w:color w:val="auto"/>
                <w:sz w:val="24"/>
                <w:szCs w:val="24"/>
                <w:highlight w:val="none"/>
                <w:lang w:val="en-US" w:eastAsia="zh-CN"/>
              </w:rPr>
              <w:t>混合</w:t>
            </w:r>
            <w:r>
              <w:rPr>
                <w:rFonts w:hint="default" w:ascii="Times New Roman" w:hAnsi="Times New Roman" w:eastAsia="宋体" w:cs="Times New Roman"/>
                <w:color w:val="auto"/>
                <w:sz w:val="24"/>
                <w:szCs w:val="24"/>
                <w:highlight w:val="none"/>
                <w:lang w:val="en-US" w:eastAsia="zh-CN"/>
              </w:rPr>
              <w:t>工序环节颗粒物产污系数为</w:t>
            </w:r>
            <w:r>
              <w:rPr>
                <w:rFonts w:hint="eastAsia" w:eastAsia="宋体" w:cs="Times New Roman"/>
                <w:color w:val="auto"/>
                <w:sz w:val="24"/>
                <w:szCs w:val="24"/>
                <w:highlight w:val="none"/>
                <w:lang w:val="en-US" w:eastAsia="zh-CN"/>
              </w:rPr>
              <w:t>0.043</w:t>
            </w:r>
            <w:r>
              <w:rPr>
                <w:rFonts w:hint="default" w:ascii="Times New Roman" w:hAnsi="Times New Roman" w:eastAsia="宋体" w:cs="Times New Roman"/>
                <w:color w:val="auto"/>
                <w:sz w:val="24"/>
                <w:szCs w:val="24"/>
                <w:highlight w:val="none"/>
                <w:lang w:val="en-US" w:eastAsia="zh-CN"/>
              </w:rPr>
              <w:t>kg/t-产品。本项目年产辣椒</w:t>
            </w:r>
            <w:r>
              <w:rPr>
                <w:rFonts w:hint="eastAsia" w:eastAsia="宋体" w:cs="Times New Roman"/>
                <w:color w:val="auto"/>
                <w:sz w:val="24"/>
                <w:szCs w:val="24"/>
                <w:highlight w:val="none"/>
                <w:lang w:val="en-US" w:eastAsia="zh-CN"/>
              </w:rPr>
              <w:t>颗粒2.8</w:t>
            </w:r>
            <w:r>
              <w:rPr>
                <w:rFonts w:hint="default" w:ascii="Times New Roman" w:hAnsi="Times New Roman" w:eastAsia="宋体" w:cs="Times New Roman"/>
                <w:color w:val="auto"/>
                <w:sz w:val="24"/>
                <w:szCs w:val="24"/>
                <w:highlight w:val="none"/>
                <w:lang w:val="en-US" w:eastAsia="zh-CN"/>
              </w:rPr>
              <w:t>万t，则混合工序产生的逸散粉尘量为</w:t>
            </w:r>
            <w:r>
              <w:rPr>
                <w:rFonts w:hint="eastAsia" w:eastAsia="宋体" w:cs="Times New Roman"/>
                <w:color w:val="auto"/>
                <w:sz w:val="24"/>
                <w:szCs w:val="24"/>
                <w:highlight w:val="none"/>
                <w:lang w:val="en-US" w:eastAsia="zh-CN"/>
              </w:rPr>
              <w:t>1.2</w:t>
            </w:r>
            <w:r>
              <w:rPr>
                <w:rFonts w:hint="default" w:ascii="Times New Roman" w:hAnsi="Times New Roman" w:eastAsia="宋体" w:cs="Times New Roman"/>
                <w:color w:val="auto"/>
                <w:sz w:val="24"/>
                <w:szCs w:val="24"/>
                <w:highlight w:val="none"/>
                <w:lang w:val="en-US" w:eastAsia="zh-CN"/>
              </w:rPr>
              <w:t>t/a。项目采用布袋除尘器+15m高排气筒进行废气处理，设置1个集气罩（顶吸），风机风量</w:t>
            </w:r>
            <w:r>
              <w:rPr>
                <w:rFonts w:hint="eastAsia" w:eastAsia="宋体"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lang w:val="en-US" w:eastAsia="zh-CN"/>
              </w:rPr>
              <w:t>000m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/h考虑，废气收集率按90%</w:t>
            </w:r>
            <w:r>
              <w:rPr>
                <w:rFonts w:hint="eastAsia" w:eastAsia="宋体" w:cs="Times New Roman"/>
                <w:color w:val="auto"/>
                <w:sz w:val="24"/>
                <w:szCs w:val="24"/>
                <w:highlight w:val="none"/>
                <w:lang w:val="en-US" w:eastAsia="zh-CN"/>
              </w:rPr>
              <w:t>计算</w:t>
            </w:r>
            <w:r>
              <w:rPr>
                <w:rFonts w:hint="default" w:ascii="Times New Roman" w:hAnsi="Times New Roman" w:eastAsia="宋体" w:cs="Times New Roman"/>
                <w:color w:val="auto"/>
                <w:sz w:val="24"/>
                <w:szCs w:val="24"/>
                <w:highlight w:val="none"/>
                <w:lang w:val="en-US" w:eastAsia="zh-CN"/>
              </w:rPr>
              <w:t>，产生的废气通过布袋除尘系统+15m高排气筒后进行排放，布袋除尘器处理率以99%计算，粉尘排放量约为0.</w:t>
            </w:r>
            <w:r>
              <w:rPr>
                <w:rFonts w:hint="eastAsia" w:eastAsia="宋体" w:cs="Times New Roman"/>
                <w:color w:val="auto"/>
                <w:sz w:val="24"/>
                <w:szCs w:val="24"/>
                <w:highlight w:val="none"/>
                <w:lang w:val="en-US" w:eastAsia="zh-CN"/>
              </w:rPr>
              <w:t>01</w:t>
            </w:r>
            <w:r>
              <w:rPr>
                <w:rFonts w:hint="default" w:ascii="Times New Roman" w:hAnsi="Times New Roman" w:eastAsia="宋体" w:cs="Times New Roman"/>
                <w:color w:val="auto"/>
                <w:sz w:val="24"/>
                <w:szCs w:val="24"/>
                <w:highlight w:val="none"/>
                <w:lang w:val="en-US" w:eastAsia="zh-CN"/>
              </w:rPr>
              <w:t>t/a。</w:t>
            </w:r>
          </w:p>
          <w:p>
            <w:pPr>
              <w:pStyle w:val="57"/>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宋体" w:cs="Times New Roman"/>
                <w:b/>
                <w:bCs/>
                <w:color w:val="auto"/>
                <w:sz w:val="24"/>
                <w:szCs w:val="24"/>
                <w:lang w:eastAsia="zh-CN"/>
              </w:rPr>
            </w:pPr>
            <w:r>
              <w:rPr>
                <w:rFonts w:hint="eastAsia" w:cs="Times New Roman"/>
                <w:b/>
                <w:bCs/>
                <w:color w:val="auto"/>
                <w:sz w:val="24"/>
                <w:szCs w:val="24"/>
                <w:lang w:eastAsia="zh-CN"/>
              </w:rPr>
              <w:t>（</w:t>
            </w:r>
            <w:r>
              <w:rPr>
                <w:rFonts w:hint="eastAsia" w:cs="Times New Roman"/>
                <w:b/>
                <w:bCs/>
                <w:color w:val="auto"/>
                <w:sz w:val="24"/>
                <w:szCs w:val="24"/>
                <w:lang w:val="en-US" w:eastAsia="zh-CN"/>
              </w:rPr>
              <w:t>6</w:t>
            </w:r>
            <w:r>
              <w:rPr>
                <w:rFonts w:hint="eastAsia" w:cs="Times New Roman"/>
                <w:b/>
                <w:bCs/>
                <w:color w:val="auto"/>
                <w:sz w:val="24"/>
                <w:szCs w:val="24"/>
                <w:lang w:eastAsia="zh-CN"/>
              </w:rPr>
              <w:t>）</w:t>
            </w:r>
            <w:r>
              <w:rPr>
                <w:rFonts w:hint="eastAsia" w:cs="Times New Roman"/>
                <w:b/>
                <w:bCs/>
                <w:color w:val="auto"/>
                <w:sz w:val="24"/>
                <w:szCs w:val="24"/>
                <w:lang w:val="en-US" w:eastAsia="zh-CN"/>
              </w:rPr>
              <w:t>造粒废气</w:t>
            </w:r>
          </w:p>
          <w:p>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w:t>
            </w:r>
            <w:r>
              <w:rPr>
                <w:rFonts w:hint="eastAsia" w:eastAsia="宋体" w:cs="Times New Roman"/>
                <w:b w:val="0"/>
                <w:bCs w:val="0"/>
                <w:color w:val="auto"/>
                <w:kern w:val="2"/>
                <w:sz w:val="24"/>
                <w:szCs w:val="24"/>
                <w:highlight w:val="none"/>
                <w:lang w:val="en-US" w:eastAsia="zh-CN" w:bidi="ar-SA"/>
              </w:rPr>
              <w:t>造粒</w:t>
            </w:r>
            <w:r>
              <w:rPr>
                <w:rFonts w:hint="default" w:ascii="Times New Roman" w:hAnsi="Times New Roman" w:eastAsia="宋体" w:cs="Times New Roman"/>
                <w:b w:val="0"/>
                <w:bCs w:val="0"/>
                <w:color w:val="auto"/>
                <w:kern w:val="2"/>
                <w:sz w:val="24"/>
                <w:szCs w:val="24"/>
                <w:highlight w:val="none"/>
                <w:lang w:val="en-US" w:eastAsia="zh-CN" w:bidi="ar-SA"/>
              </w:rPr>
              <w:t>工序</w:t>
            </w:r>
            <w:r>
              <w:rPr>
                <w:rFonts w:hint="default" w:ascii="Times New Roman" w:hAnsi="Times New Roman" w:eastAsia="宋体" w:cs="Times New Roman"/>
                <w:color w:val="auto"/>
                <w:sz w:val="24"/>
                <w:szCs w:val="24"/>
                <w:highlight w:val="none"/>
                <w:lang w:val="en-US" w:eastAsia="zh-CN"/>
              </w:rPr>
              <w:t>会产生粉尘，《排放源统计调查产排污核算方法和系数手册》中</w:t>
            </w:r>
            <w:r>
              <w:rPr>
                <w:rFonts w:hint="eastAsia"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工业源产排污核算方法和系数手册</w:t>
            </w:r>
            <w:r>
              <w:rPr>
                <w:rFonts w:hint="eastAsia"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的</w:t>
            </w:r>
            <w:r>
              <w:rPr>
                <w:rFonts w:hint="eastAsia"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13</w:t>
            </w:r>
            <w:r>
              <w:rPr>
                <w:rFonts w:hint="eastAsia" w:eastAsia="宋体" w:cs="Times New Roman"/>
                <w:color w:val="auto"/>
                <w:sz w:val="24"/>
                <w:szCs w:val="24"/>
                <w:highlight w:val="none"/>
                <w:lang w:val="en-US" w:eastAsia="zh-CN"/>
              </w:rPr>
              <w:t>2饲料</w:t>
            </w:r>
            <w:r>
              <w:rPr>
                <w:rFonts w:hint="default" w:ascii="Times New Roman" w:hAnsi="Times New Roman" w:eastAsia="宋体" w:cs="Times New Roman"/>
                <w:color w:val="auto"/>
                <w:sz w:val="24"/>
                <w:szCs w:val="24"/>
                <w:highlight w:val="none"/>
                <w:lang w:val="en-US" w:eastAsia="zh-CN"/>
              </w:rPr>
              <w:t>加工行业系数手册</w:t>
            </w:r>
            <w:r>
              <w:rPr>
                <w:rFonts w:hint="eastAsia"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，在</w:t>
            </w:r>
            <w:r>
              <w:rPr>
                <w:rFonts w:hint="eastAsia" w:eastAsia="宋体" w:cs="Times New Roman"/>
                <w:color w:val="auto"/>
                <w:sz w:val="24"/>
                <w:szCs w:val="24"/>
                <w:highlight w:val="none"/>
                <w:lang w:val="en-US" w:eastAsia="zh-CN"/>
              </w:rPr>
              <w:t>造粒</w:t>
            </w:r>
            <w:r>
              <w:rPr>
                <w:rFonts w:hint="default" w:ascii="Times New Roman" w:hAnsi="Times New Roman" w:eastAsia="宋体" w:cs="Times New Roman"/>
                <w:color w:val="auto"/>
                <w:sz w:val="24"/>
                <w:szCs w:val="24"/>
                <w:highlight w:val="none"/>
                <w:lang w:val="en-US" w:eastAsia="zh-CN"/>
              </w:rPr>
              <w:t>工序环节颗粒物产污系数为</w:t>
            </w:r>
            <w:r>
              <w:rPr>
                <w:rFonts w:hint="eastAsia" w:eastAsia="宋体" w:cs="Times New Roman"/>
                <w:color w:val="auto"/>
                <w:sz w:val="24"/>
                <w:szCs w:val="24"/>
                <w:highlight w:val="none"/>
                <w:lang w:val="en-US" w:eastAsia="zh-CN"/>
              </w:rPr>
              <w:t>0.043</w:t>
            </w:r>
            <w:r>
              <w:rPr>
                <w:rFonts w:hint="default" w:ascii="Times New Roman" w:hAnsi="Times New Roman" w:eastAsia="宋体" w:cs="Times New Roman"/>
                <w:color w:val="auto"/>
                <w:sz w:val="24"/>
                <w:szCs w:val="24"/>
                <w:highlight w:val="none"/>
                <w:lang w:val="en-US" w:eastAsia="zh-CN"/>
              </w:rPr>
              <w:t>kg/t-产品。本项目年产辣椒</w:t>
            </w:r>
            <w:r>
              <w:rPr>
                <w:rFonts w:hint="eastAsia" w:eastAsia="宋体" w:cs="Times New Roman"/>
                <w:color w:val="auto"/>
                <w:sz w:val="24"/>
                <w:szCs w:val="24"/>
                <w:highlight w:val="none"/>
                <w:lang w:val="en-US" w:eastAsia="zh-CN"/>
              </w:rPr>
              <w:t>颗粒2.8</w:t>
            </w:r>
            <w:r>
              <w:rPr>
                <w:rFonts w:hint="default" w:ascii="Times New Roman" w:hAnsi="Times New Roman" w:eastAsia="宋体" w:cs="Times New Roman"/>
                <w:color w:val="auto"/>
                <w:sz w:val="24"/>
                <w:szCs w:val="24"/>
                <w:highlight w:val="none"/>
                <w:lang w:val="en-US" w:eastAsia="zh-CN"/>
              </w:rPr>
              <w:t>万t，则</w:t>
            </w:r>
            <w:r>
              <w:rPr>
                <w:rFonts w:hint="eastAsia" w:eastAsia="宋体" w:cs="Times New Roman"/>
                <w:color w:val="auto"/>
                <w:sz w:val="24"/>
                <w:szCs w:val="24"/>
                <w:highlight w:val="none"/>
                <w:lang w:val="en-US" w:eastAsia="zh-CN"/>
              </w:rPr>
              <w:t>造粒</w:t>
            </w:r>
            <w:r>
              <w:rPr>
                <w:rFonts w:hint="default" w:ascii="Times New Roman" w:hAnsi="Times New Roman" w:eastAsia="宋体" w:cs="Times New Roman"/>
                <w:color w:val="auto"/>
                <w:sz w:val="24"/>
                <w:szCs w:val="24"/>
                <w:highlight w:val="none"/>
                <w:lang w:val="en-US" w:eastAsia="zh-CN"/>
              </w:rPr>
              <w:t>工序产生的逸散粉尘量为</w:t>
            </w:r>
            <w:r>
              <w:rPr>
                <w:rFonts w:hint="eastAsia" w:eastAsia="宋体" w:cs="Times New Roman"/>
                <w:color w:val="auto"/>
                <w:sz w:val="24"/>
                <w:szCs w:val="24"/>
                <w:highlight w:val="none"/>
                <w:lang w:val="en-US" w:eastAsia="zh-CN"/>
              </w:rPr>
              <w:t>1.2</w:t>
            </w:r>
            <w:r>
              <w:rPr>
                <w:rFonts w:hint="default" w:ascii="Times New Roman" w:hAnsi="Times New Roman" w:eastAsia="宋体" w:cs="Times New Roman"/>
                <w:color w:val="auto"/>
                <w:sz w:val="24"/>
                <w:szCs w:val="24"/>
                <w:highlight w:val="none"/>
                <w:lang w:val="en-US" w:eastAsia="zh-CN"/>
              </w:rPr>
              <w:t>t/a。项目采用布袋除尘器+15m高排气筒进行废气处理，设置1个集气罩（顶吸），风机风量</w:t>
            </w:r>
            <w:r>
              <w:rPr>
                <w:rFonts w:hint="eastAsia" w:eastAsia="宋体"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lang w:val="en-US" w:eastAsia="zh-CN"/>
              </w:rPr>
              <w:t>000m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/h考虑，废气收集率按90%</w:t>
            </w:r>
            <w:r>
              <w:rPr>
                <w:rFonts w:hint="eastAsia" w:eastAsia="宋体" w:cs="Times New Roman"/>
                <w:color w:val="auto"/>
                <w:sz w:val="24"/>
                <w:szCs w:val="24"/>
                <w:highlight w:val="none"/>
                <w:lang w:val="en-US" w:eastAsia="zh-CN"/>
              </w:rPr>
              <w:t>计算</w:t>
            </w:r>
            <w:r>
              <w:rPr>
                <w:rFonts w:hint="default" w:ascii="Times New Roman" w:hAnsi="Times New Roman" w:eastAsia="宋体" w:cs="Times New Roman"/>
                <w:color w:val="auto"/>
                <w:sz w:val="24"/>
                <w:szCs w:val="24"/>
                <w:highlight w:val="none"/>
                <w:lang w:val="en-US" w:eastAsia="zh-CN"/>
              </w:rPr>
              <w:t>，产生的废气通过布袋除尘系统+15m高排气筒后进行排放，布袋除尘器处理率以99%计算，粉尘排放量约为0.</w:t>
            </w:r>
            <w:r>
              <w:rPr>
                <w:rFonts w:hint="eastAsia" w:eastAsia="宋体" w:cs="Times New Roman"/>
                <w:color w:val="auto"/>
                <w:sz w:val="24"/>
                <w:szCs w:val="24"/>
                <w:highlight w:val="none"/>
                <w:lang w:val="en-US" w:eastAsia="zh-CN"/>
              </w:rPr>
              <w:t>01</w:t>
            </w:r>
            <w:r>
              <w:rPr>
                <w:rFonts w:hint="default" w:ascii="Times New Roman" w:hAnsi="Times New Roman" w:eastAsia="宋体" w:cs="Times New Roman"/>
                <w:color w:val="auto"/>
                <w:sz w:val="24"/>
                <w:szCs w:val="24"/>
                <w:highlight w:val="none"/>
                <w:lang w:val="en-US" w:eastAsia="zh-CN"/>
              </w:rPr>
              <w:t>t/a。</w:t>
            </w:r>
          </w:p>
          <w:p>
            <w:pPr>
              <w:pStyle w:val="20"/>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napToGrid w:val="0"/>
                <w:color w:val="auto"/>
                <w:kern w:val="0"/>
                <w:sz w:val="21"/>
                <w:szCs w:val="21"/>
                <w:lang w:val="en-US" w:eastAsia="zh-CN" w:bidi="ar-SA"/>
                <w14:ligatures w14:val="none"/>
              </w:rPr>
            </w:pPr>
            <w:r>
              <w:rPr>
                <w:rFonts w:hint="default" w:ascii="Times New Roman" w:hAnsi="Times New Roman" w:eastAsia="宋体" w:cs="Times New Roman"/>
                <w:b/>
                <w:bCs/>
                <w:snapToGrid w:val="0"/>
                <w:color w:val="auto"/>
                <w:kern w:val="0"/>
                <w:sz w:val="21"/>
                <w:szCs w:val="21"/>
                <w:lang w:val="en-US" w:eastAsia="zh-CN" w:bidi="ar-SA"/>
                <w14:ligatures w14:val="none"/>
              </w:rPr>
              <w:t>表4</w:t>
            </w:r>
            <w:r>
              <w:rPr>
                <w:rFonts w:hint="eastAsia" w:ascii="Times New Roman" w:hAnsi="Times New Roman" w:eastAsia="宋体" w:cs="Times New Roman"/>
                <w:b/>
                <w:bCs/>
                <w:snapToGrid w:val="0"/>
                <w:color w:val="auto"/>
                <w:kern w:val="0"/>
                <w:sz w:val="21"/>
                <w:szCs w:val="21"/>
                <w:lang w:val="en-US" w:eastAsia="zh-CN" w:bidi="ar-SA"/>
                <w14:ligatures w14:val="none"/>
              </w:rPr>
              <w:t>.7</w:t>
            </w:r>
            <w:r>
              <w:rPr>
                <w:rFonts w:hint="default" w:ascii="Times New Roman" w:hAnsi="Times New Roman" w:eastAsia="宋体" w:cs="Times New Roman"/>
                <w:b/>
                <w:bCs/>
                <w:snapToGrid w:val="0"/>
                <w:color w:val="auto"/>
                <w:kern w:val="0"/>
                <w:sz w:val="21"/>
                <w:szCs w:val="21"/>
                <w:lang w:val="en-US" w:eastAsia="zh-CN" w:bidi="ar-SA"/>
                <w14:ligatures w14:val="none"/>
              </w:rPr>
              <w:t>-</w:t>
            </w:r>
            <w:r>
              <w:rPr>
                <w:rFonts w:hint="eastAsia" w:ascii="Times New Roman" w:hAnsi="Times New Roman" w:eastAsia="宋体" w:cs="Times New Roman"/>
                <w:b/>
                <w:bCs/>
                <w:snapToGrid w:val="0"/>
                <w:color w:val="auto"/>
                <w:kern w:val="0"/>
                <w:sz w:val="21"/>
                <w:szCs w:val="21"/>
                <w:lang w:val="en-US" w:eastAsia="zh-CN" w:bidi="ar-SA"/>
                <w14:ligatures w14:val="none"/>
              </w:rPr>
              <w:t>3</w:t>
            </w:r>
            <w:r>
              <w:rPr>
                <w:rFonts w:hint="default" w:ascii="Times New Roman" w:hAnsi="Times New Roman" w:eastAsia="宋体" w:cs="Times New Roman"/>
                <w:b/>
                <w:bCs/>
                <w:snapToGrid w:val="0"/>
                <w:color w:val="auto"/>
                <w:kern w:val="0"/>
                <w:sz w:val="21"/>
                <w:szCs w:val="21"/>
                <w:lang w:val="en-US" w:eastAsia="zh-CN" w:bidi="ar-SA"/>
                <w14:ligatures w14:val="none"/>
              </w:rPr>
              <w:t xml:space="preserve">  </w:t>
            </w:r>
            <w:r>
              <w:rPr>
                <w:rFonts w:hint="eastAsia" w:ascii="Times New Roman" w:hAnsi="Times New Roman" w:eastAsia="宋体" w:cs="Times New Roman"/>
                <w:b/>
                <w:bCs/>
                <w:snapToGrid w:val="0"/>
                <w:color w:val="auto"/>
                <w:kern w:val="0"/>
                <w:sz w:val="21"/>
                <w:szCs w:val="21"/>
                <w:lang w:val="en-US" w:eastAsia="zh-CN" w:bidi="ar-SA"/>
                <w14:ligatures w14:val="none"/>
              </w:rPr>
              <w:t xml:space="preserve"> </w:t>
            </w:r>
            <w:r>
              <w:rPr>
                <w:rFonts w:hint="default" w:ascii="Times New Roman" w:hAnsi="Times New Roman" w:eastAsia="宋体" w:cs="Times New Roman"/>
                <w:b/>
                <w:bCs/>
                <w:snapToGrid w:val="0"/>
                <w:color w:val="auto"/>
                <w:kern w:val="0"/>
                <w:sz w:val="21"/>
                <w:szCs w:val="21"/>
                <w:lang w:val="en-US" w:eastAsia="zh-CN" w:bidi="ar-SA"/>
                <w14:ligatures w14:val="none"/>
              </w:rPr>
              <w:t>有组织排放口基本情况</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0"/>
              <w:gridCol w:w="637"/>
              <w:gridCol w:w="863"/>
              <w:gridCol w:w="731"/>
              <w:gridCol w:w="656"/>
              <w:gridCol w:w="825"/>
              <w:gridCol w:w="844"/>
              <w:gridCol w:w="731"/>
              <w:gridCol w:w="16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tcBorders>
                    <w:tl2br w:val="nil"/>
                    <w:tr2bl w:val="nil"/>
                  </w:tcBorders>
                  <w:vAlign w:val="center"/>
                </w:tcPr>
                <w:p>
                  <w:pPr>
                    <w:spacing w:line="240" w:lineRule="auto"/>
                    <w:jc w:val="center"/>
                    <w:textAlignment w:val="center"/>
                    <w:rPr>
                      <w:rFonts w:hint="default" w:ascii="Times New Roman" w:hAnsi="Times New Roman" w:eastAsia="宋体" w:cs="Times New Roman"/>
                      <w:b/>
                      <w:bCs/>
                      <w:color w:val="auto"/>
                      <w:sz w:val="21"/>
                      <w:szCs w:val="21"/>
                      <w:lang w:val="en-GB"/>
                    </w:rPr>
                  </w:pPr>
                  <w:r>
                    <w:rPr>
                      <w:rFonts w:hint="default" w:ascii="Times New Roman" w:hAnsi="Times New Roman" w:eastAsia="宋体" w:cs="Times New Roman"/>
                      <w:b/>
                      <w:bCs/>
                      <w:color w:val="auto"/>
                      <w:sz w:val="21"/>
                      <w:szCs w:val="21"/>
                      <w:lang w:val="en-GB"/>
                    </w:rPr>
                    <w:t>污染源</w:t>
                  </w:r>
                </w:p>
              </w:tc>
              <w:tc>
                <w:tcPr>
                  <w:tcW w:w="637" w:type="dxa"/>
                  <w:vMerge w:val="restart"/>
                  <w:tcBorders>
                    <w:tl2br w:val="nil"/>
                    <w:tr2bl w:val="nil"/>
                  </w:tcBorders>
                  <w:vAlign w:val="center"/>
                </w:tcPr>
                <w:p>
                  <w:pPr>
                    <w:spacing w:line="240" w:lineRule="auto"/>
                    <w:jc w:val="center"/>
                    <w:textAlignment w:val="center"/>
                    <w:rPr>
                      <w:rFonts w:hint="default" w:ascii="Times New Roman" w:hAnsi="Times New Roman" w:eastAsia="宋体" w:cs="Times New Roman"/>
                      <w:b/>
                      <w:bCs/>
                      <w:color w:val="auto"/>
                      <w:sz w:val="21"/>
                      <w:szCs w:val="21"/>
                      <w:lang w:val="en-GB"/>
                    </w:rPr>
                  </w:pPr>
                  <w:r>
                    <w:rPr>
                      <w:rFonts w:hint="default" w:ascii="Times New Roman" w:hAnsi="Times New Roman" w:eastAsia="宋体" w:cs="Times New Roman"/>
                      <w:b/>
                      <w:bCs/>
                      <w:color w:val="auto"/>
                      <w:sz w:val="21"/>
                      <w:szCs w:val="21"/>
                      <w:lang w:val="en-GB"/>
                    </w:rPr>
                    <w:t>污染物</w:t>
                  </w:r>
                </w:p>
              </w:tc>
              <w:tc>
                <w:tcPr>
                  <w:tcW w:w="863" w:type="dxa"/>
                  <w:vMerge w:val="restart"/>
                  <w:tcBorders>
                    <w:tl2br w:val="nil"/>
                    <w:tr2bl w:val="nil"/>
                  </w:tcBorders>
                  <w:vAlign w:val="center"/>
                </w:tcPr>
                <w:p>
                  <w:pPr>
                    <w:spacing w:line="240" w:lineRule="auto"/>
                    <w:jc w:val="center"/>
                    <w:textAlignment w:val="center"/>
                    <w:rPr>
                      <w:rFonts w:hint="default" w:ascii="Times New Roman" w:hAnsi="Times New Roman" w:eastAsia="宋体" w:cs="Times New Roman"/>
                      <w:b/>
                      <w:bCs/>
                      <w:color w:val="auto"/>
                      <w:sz w:val="21"/>
                      <w:szCs w:val="21"/>
                      <w:lang w:val="en-GB"/>
                    </w:rPr>
                  </w:pPr>
                  <w:r>
                    <w:rPr>
                      <w:rFonts w:hint="default" w:ascii="Times New Roman" w:hAnsi="Times New Roman" w:eastAsia="宋体" w:cs="Times New Roman"/>
                      <w:b/>
                      <w:bCs/>
                      <w:color w:val="auto"/>
                      <w:sz w:val="21"/>
                      <w:szCs w:val="21"/>
                      <w:lang w:val="en-GB"/>
                    </w:rPr>
                    <w:t>排放</w:t>
                  </w:r>
                </w:p>
                <w:p>
                  <w:pPr>
                    <w:spacing w:line="240" w:lineRule="auto"/>
                    <w:jc w:val="center"/>
                    <w:textAlignment w:val="center"/>
                    <w:rPr>
                      <w:rFonts w:hint="default" w:ascii="Times New Roman" w:hAnsi="Times New Roman" w:eastAsia="宋体" w:cs="Times New Roman"/>
                      <w:b/>
                      <w:bCs/>
                      <w:color w:val="auto"/>
                      <w:sz w:val="21"/>
                      <w:szCs w:val="21"/>
                      <w:lang w:val="en-GB"/>
                    </w:rPr>
                  </w:pPr>
                  <w:r>
                    <w:rPr>
                      <w:rFonts w:hint="default" w:ascii="Times New Roman" w:hAnsi="Times New Roman" w:eastAsia="宋体" w:cs="Times New Roman"/>
                      <w:b/>
                      <w:bCs/>
                      <w:color w:val="auto"/>
                      <w:sz w:val="21"/>
                      <w:szCs w:val="21"/>
                      <w:lang w:val="en-GB"/>
                    </w:rPr>
                    <w:t>标准（</w:t>
                  </w:r>
                  <w:r>
                    <w:rPr>
                      <w:rFonts w:hint="default" w:ascii="Times New Roman" w:hAnsi="Times New Roman" w:eastAsia="宋体" w:cs="Times New Roman"/>
                      <w:b/>
                      <w:bCs/>
                      <w:color w:val="auto"/>
                      <w:sz w:val="21"/>
                      <w:szCs w:val="21"/>
                    </w:rPr>
                    <w:t>mg/m</w:t>
                  </w:r>
                  <w:r>
                    <w:rPr>
                      <w:rFonts w:hint="default" w:ascii="Times New Roman" w:hAnsi="Times New Roman" w:eastAsia="宋体" w:cs="Times New Roman"/>
                      <w:b/>
                      <w:bCs/>
                      <w:color w:val="auto"/>
                      <w:sz w:val="21"/>
                      <w:szCs w:val="21"/>
                      <w:vertAlign w:val="superscript"/>
                    </w:rPr>
                    <w:t>3</w:t>
                  </w:r>
                  <w:r>
                    <w:rPr>
                      <w:rFonts w:hint="default" w:ascii="Times New Roman" w:hAnsi="Times New Roman" w:eastAsia="宋体" w:cs="Times New Roman"/>
                      <w:b/>
                      <w:bCs/>
                      <w:color w:val="auto"/>
                      <w:sz w:val="21"/>
                      <w:szCs w:val="21"/>
                      <w:lang w:val="en-GB"/>
                    </w:rPr>
                    <w:t>）</w:t>
                  </w:r>
                </w:p>
              </w:tc>
              <w:tc>
                <w:tcPr>
                  <w:tcW w:w="731" w:type="dxa"/>
                  <w:vMerge w:val="restart"/>
                  <w:tcBorders>
                    <w:tl2br w:val="nil"/>
                    <w:tr2bl w:val="nil"/>
                  </w:tcBorders>
                  <w:vAlign w:val="center"/>
                </w:tcPr>
                <w:p>
                  <w:pPr>
                    <w:spacing w:line="240" w:lineRule="auto"/>
                    <w:jc w:val="center"/>
                    <w:textAlignment w:val="center"/>
                    <w:rPr>
                      <w:rFonts w:hint="default" w:ascii="Times New Roman" w:hAnsi="Times New Roman" w:eastAsia="宋体" w:cs="Times New Roman"/>
                      <w:b/>
                      <w:bCs/>
                      <w:color w:val="auto"/>
                      <w:sz w:val="21"/>
                      <w:szCs w:val="21"/>
                      <w:lang w:val="en-GB"/>
                    </w:rPr>
                  </w:pPr>
                  <w:r>
                    <w:rPr>
                      <w:rFonts w:hint="default" w:ascii="Times New Roman" w:hAnsi="Times New Roman" w:eastAsia="宋体" w:cs="Times New Roman"/>
                      <w:b/>
                      <w:bCs/>
                      <w:color w:val="auto"/>
                      <w:sz w:val="21"/>
                      <w:szCs w:val="21"/>
                      <w:lang w:val="en-GB"/>
                    </w:rPr>
                    <w:t>排放</w:t>
                  </w:r>
                </w:p>
                <w:p>
                  <w:pPr>
                    <w:spacing w:line="240" w:lineRule="auto"/>
                    <w:jc w:val="center"/>
                    <w:textAlignment w:val="center"/>
                    <w:rPr>
                      <w:rFonts w:hint="default" w:ascii="Times New Roman" w:hAnsi="Times New Roman" w:eastAsia="宋体" w:cs="Times New Roman"/>
                      <w:b/>
                      <w:bCs/>
                      <w:color w:val="auto"/>
                      <w:sz w:val="21"/>
                      <w:szCs w:val="21"/>
                      <w:lang w:val="en-GB"/>
                    </w:rPr>
                  </w:pPr>
                  <w:r>
                    <w:rPr>
                      <w:rFonts w:hint="default" w:ascii="Times New Roman" w:hAnsi="Times New Roman" w:eastAsia="宋体" w:cs="Times New Roman"/>
                      <w:b/>
                      <w:bCs/>
                      <w:color w:val="auto"/>
                      <w:sz w:val="21"/>
                      <w:szCs w:val="21"/>
                    </w:rPr>
                    <w:t>速率限值</w:t>
                  </w:r>
                  <w:r>
                    <w:rPr>
                      <w:rFonts w:hint="default" w:ascii="Times New Roman" w:hAnsi="Times New Roman" w:eastAsia="宋体" w:cs="Times New Roman"/>
                      <w:b/>
                      <w:bCs/>
                      <w:color w:val="auto"/>
                      <w:sz w:val="21"/>
                      <w:szCs w:val="21"/>
                      <w:lang w:val="en-GB"/>
                    </w:rPr>
                    <w:t>（</w:t>
                  </w:r>
                  <w:r>
                    <w:rPr>
                      <w:rFonts w:hint="default" w:ascii="Times New Roman" w:hAnsi="Times New Roman" w:eastAsia="宋体" w:cs="Times New Roman"/>
                      <w:b/>
                      <w:bCs/>
                      <w:color w:val="auto"/>
                      <w:sz w:val="21"/>
                      <w:szCs w:val="21"/>
                    </w:rPr>
                    <w:t>kg/h</w:t>
                  </w:r>
                  <w:r>
                    <w:rPr>
                      <w:rFonts w:hint="default" w:ascii="Times New Roman" w:hAnsi="Times New Roman" w:eastAsia="宋体" w:cs="Times New Roman"/>
                      <w:b/>
                      <w:bCs/>
                      <w:color w:val="auto"/>
                      <w:sz w:val="21"/>
                      <w:szCs w:val="21"/>
                      <w:lang w:val="en-GB"/>
                    </w:rPr>
                    <w:t>）</w:t>
                  </w:r>
                </w:p>
              </w:tc>
              <w:tc>
                <w:tcPr>
                  <w:tcW w:w="2325" w:type="dxa"/>
                  <w:gridSpan w:val="3"/>
                  <w:tcBorders>
                    <w:tl2br w:val="nil"/>
                    <w:tr2bl w:val="nil"/>
                  </w:tcBorders>
                  <w:vAlign w:val="center"/>
                </w:tcPr>
                <w:p>
                  <w:pPr>
                    <w:spacing w:line="240" w:lineRule="auto"/>
                    <w:jc w:val="center"/>
                    <w:textAlignment w:val="center"/>
                    <w:rPr>
                      <w:rFonts w:hint="default" w:ascii="Times New Roman" w:hAnsi="Times New Roman" w:eastAsia="宋体" w:cs="Times New Roman"/>
                      <w:b/>
                      <w:bCs/>
                      <w:color w:val="auto"/>
                      <w:sz w:val="21"/>
                      <w:szCs w:val="21"/>
                      <w:lang w:val="en-GB"/>
                    </w:rPr>
                  </w:pPr>
                  <w:r>
                    <w:rPr>
                      <w:rFonts w:hint="default" w:ascii="Times New Roman" w:hAnsi="Times New Roman" w:eastAsia="宋体" w:cs="Times New Roman"/>
                      <w:b/>
                      <w:bCs/>
                      <w:color w:val="auto"/>
                      <w:sz w:val="21"/>
                      <w:szCs w:val="21"/>
                      <w:lang w:val="en-GB"/>
                    </w:rPr>
                    <w:t>排气筒参数</w:t>
                  </w:r>
                </w:p>
              </w:tc>
              <w:tc>
                <w:tcPr>
                  <w:tcW w:w="731" w:type="dxa"/>
                  <w:vMerge w:val="restart"/>
                  <w:tcBorders>
                    <w:tl2br w:val="nil"/>
                    <w:tr2bl w:val="nil"/>
                  </w:tcBorders>
                  <w:vAlign w:val="center"/>
                </w:tcPr>
                <w:p>
                  <w:pPr>
                    <w:spacing w:line="240" w:lineRule="auto"/>
                    <w:jc w:val="center"/>
                    <w:textAlignment w:val="center"/>
                    <w:rPr>
                      <w:rFonts w:hint="default" w:ascii="Times New Roman" w:hAnsi="Times New Roman" w:eastAsia="宋体" w:cs="Times New Roman"/>
                      <w:b/>
                      <w:bCs/>
                      <w:color w:val="auto"/>
                      <w:sz w:val="21"/>
                      <w:szCs w:val="21"/>
                      <w:lang w:val="en-GB"/>
                    </w:rPr>
                  </w:pPr>
                  <w:r>
                    <w:rPr>
                      <w:rFonts w:hint="default" w:ascii="Times New Roman" w:hAnsi="Times New Roman" w:eastAsia="宋体" w:cs="Times New Roman"/>
                      <w:b/>
                      <w:bCs/>
                      <w:color w:val="auto"/>
                      <w:sz w:val="21"/>
                      <w:szCs w:val="21"/>
                      <w:lang w:val="en-GB" w:eastAsia="zh-CN"/>
                    </w:rPr>
                    <w:t>排放口</w:t>
                  </w:r>
                  <w:r>
                    <w:rPr>
                      <w:rFonts w:hint="default" w:ascii="Times New Roman" w:hAnsi="Times New Roman" w:eastAsia="宋体" w:cs="Times New Roman"/>
                      <w:b/>
                      <w:bCs/>
                      <w:color w:val="auto"/>
                      <w:sz w:val="21"/>
                      <w:szCs w:val="21"/>
                      <w:lang w:val="en-GB"/>
                    </w:rPr>
                    <w:t>类型</w:t>
                  </w:r>
                </w:p>
              </w:tc>
              <w:tc>
                <w:tcPr>
                  <w:tcW w:w="1692" w:type="dxa"/>
                  <w:vMerge w:val="restart"/>
                  <w:tcBorders>
                    <w:tl2br w:val="nil"/>
                    <w:tr2bl w:val="nil"/>
                  </w:tcBorders>
                  <w:vAlign w:val="center"/>
                </w:tcPr>
                <w:p>
                  <w:pPr>
                    <w:spacing w:line="240" w:lineRule="auto"/>
                    <w:jc w:val="center"/>
                    <w:textAlignment w:val="center"/>
                    <w:rPr>
                      <w:rFonts w:hint="default" w:ascii="Times New Roman" w:hAnsi="Times New Roman" w:eastAsia="宋体" w:cs="Times New Roman"/>
                      <w:b/>
                      <w:bCs/>
                      <w:color w:val="auto"/>
                      <w:sz w:val="21"/>
                      <w:szCs w:val="21"/>
                      <w:lang w:val="en-GB"/>
                    </w:rPr>
                  </w:pPr>
                  <w:r>
                    <w:rPr>
                      <w:rFonts w:hint="default" w:ascii="Times New Roman" w:hAnsi="Times New Roman" w:eastAsia="宋体" w:cs="Times New Roman"/>
                      <w:b/>
                      <w:bCs/>
                      <w:color w:val="auto"/>
                      <w:sz w:val="21"/>
                      <w:szCs w:val="21"/>
                      <w:lang w:val="en-GB"/>
                    </w:rPr>
                    <w:t>排气筒坐标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tcBorders>
                    <w:tl2br w:val="nil"/>
                    <w:tr2bl w:val="nil"/>
                  </w:tcBorders>
                  <w:vAlign w:val="center"/>
                </w:tcPr>
                <w:p>
                  <w:pPr>
                    <w:spacing w:line="240" w:lineRule="auto"/>
                    <w:jc w:val="center"/>
                    <w:textAlignment w:val="center"/>
                    <w:rPr>
                      <w:rFonts w:hint="default" w:ascii="Times New Roman" w:hAnsi="Times New Roman" w:eastAsia="宋体" w:cs="Times New Roman"/>
                      <w:b/>
                      <w:bCs/>
                      <w:color w:val="auto"/>
                      <w:sz w:val="21"/>
                      <w:szCs w:val="21"/>
                      <w:lang w:val="en-GB"/>
                    </w:rPr>
                  </w:pPr>
                  <w:r>
                    <w:rPr>
                      <w:rFonts w:hint="default" w:ascii="Times New Roman" w:hAnsi="Times New Roman" w:eastAsia="宋体" w:cs="Times New Roman"/>
                      <w:b/>
                      <w:bCs/>
                      <w:color w:val="auto"/>
                      <w:sz w:val="21"/>
                      <w:szCs w:val="21"/>
                      <w:lang w:val="en-GB"/>
                    </w:rPr>
                    <w:t>编号</w:t>
                  </w:r>
                </w:p>
              </w:tc>
              <w:tc>
                <w:tcPr>
                  <w:tcW w:w="637" w:type="dxa"/>
                  <w:vMerge w:val="continue"/>
                  <w:tcBorders>
                    <w:tl2br w:val="nil"/>
                    <w:tr2bl w:val="nil"/>
                  </w:tcBorders>
                  <w:vAlign w:val="center"/>
                </w:tcPr>
                <w:p>
                  <w:pPr>
                    <w:widowControl/>
                    <w:spacing w:line="240" w:lineRule="auto"/>
                    <w:rPr>
                      <w:rFonts w:hint="default" w:ascii="Times New Roman" w:hAnsi="Times New Roman" w:eastAsia="宋体" w:cs="Times New Roman"/>
                      <w:b/>
                      <w:bCs/>
                      <w:color w:val="auto"/>
                      <w:sz w:val="21"/>
                      <w:szCs w:val="21"/>
                      <w:lang w:val="en-GB"/>
                    </w:rPr>
                  </w:pPr>
                </w:p>
              </w:tc>
              <w:tc>
                <w:tcPr>
                  <w:tcW w:w="863" w:type="dxa"/>
                  <w:vMerge w:val="continue"/>
                  <w:tcBorders>
                    <w:tl2br w:val="nil"/>
                    <w:tr2bl w:val="nil"/>
                  </w:tcBorders>
                  <w:vAlign w:val="center"/>
                </w:tcPr>
                <w:p>
                  <w:pPr>
                    <w:widowControl/>
                    <w:spacing w:line="240" w:lineRule="auto"/>
                    <w:rPr>
                      <w:rFonts w:hint="default" w:ascii="Times New Roman" w:hAnsi="Times New Roman" w:eastAsia="宋体" w:cs="Times New Roman"/>
                      <w:b/>
                      <w:bCs/>
                      <w:color w:val="auto"/>
                      <w:sz w:val="21"/>
                      <w:szCs w:val="21"/>
                      <w:lang w:val="en-GB"/>
                    </w:rPr>
                  </w:pPr>
                </w:p>
              </w:tc>
              <w:tc>
                <w:tcPr>
                  <w:tcW w:w="731" w:type="dxa"/>
                  <w:vMerge w:val="continue"/>
                  <w:tcBorders>
                    <w:tl2br w:val="nil"/>
                    <w:tr2bl w:val="nil"/>
                  </w:tcBorders>
                  <w:vAlign w:val="center"/>
                </w:tcPr>
                <w:p>
                  <w:pPr>
                    <w:widowControl/>
                    <w:spacing w:line="240" w:lineRule="auto"/>
                    <w:rPr>
                      <w:rFonts w:hint="default" w:ascii="Times New Roman" w:hAnsi="Times New Roman" w:eastAsia="宋体" w:cs="Times New Roman"/>
                      <w:b/>
                      <w:bCs/>
                      <w:color w:val="auto"/>
                      <w:sz w:val="21"/>
                      <w:szCs w:val="21"/>
                      <w:lang w:val="en-GB"/>
                    </w:rPr>
                  </w:pPr>
                </w:p>
              </w:tc>
              <w:tc>
                <w:tcPr>
                  <w:tcW w:w="656" w:type="dxa"/>
                  <w:tcBorders>
                    <w:tl2br w:val="nil"/>
                    <w:tr2bl w:val="nil"/>
                  </w:tcBorders>
                  <w:vAlign w:val="center"/>
                </w:tcPr>
                <w:p>
                  <w:pPr>
                    <w:spacing w:line="240" w:lineRule="auto"/>
                    <w:jc w:val="center"/>
                    <w:textAlignment w:val="center"/>
                    <w:rPr>
                      <w:rFonts w:hint="default" w:ascii="Times New Roman" w:hAnsi="Times New Roman" w:eastAsia="宋体" w:cs="Times New Roman"/>
                      <w:b/>
                      <w:bCs/>
                      <w:color w:val="auto"/>
                      <w:sz w:val="21"/>
                      <w:szCs w:val="21"/>
                      <w:lang w:val="en-GB"/>
                    </w:rPr>
                  </w:pPr>
                  <w:r>
                    <w:rPr>
                      <w:rFonts w:hint="default" w:ascii="Times New Roman" w:hAnsi="Times New Roman" w:eastAsia="宋体" w:cs="Times New Roman"/>
                      <w:b/>
                      <w:bCs/>
                      <w:color w:val="auto"/>
                      <w:sz w:val="21"/>
                      <w:szCs w:val="21"/>
                      <w:lang w:val="en-GB"/>
                    </w:rPr>
                    <w:t>高（m）</w:t>
                  </w:r>
                </w:p>
              </w:tc>
              <w:tc>
                <w:tcPr>
                  <w:tcW w:w="825" w:type="dxa"/>
                  <w:tcBorders>
                    <w:tl2br w:val="nil"/>
                    <w:tr2bl w:val="nil"/>
                  </w:tcBorders>
                  <w:vAlign w:val="center"/>
                </w:tcPr>
                <w:p>
                  <w:pPr>
                    <w:spacing w:line="240" w:lineRule="auto"/>
                    <w:jc w:val="center"/>
                    <w:textAlignment w:val="center"/>
                    <w:rPr>
                      <w:rFonts w:hint="default" w:ascii="Times New Roman" w:hAnsi="Times New Roman" w:eastAsia="宋体" w:cs="Times New Roman"/>
                      <w:b/>
                      <w:bCs/>
                      <w:color w:val="auto"/>
                      <w:sz w:val="21"/>
                      <w:szCs w:val="21"/>
                      <w:lang w:val="en-GB"/>
                    </w:rPr>
                  </w:pPr>
                  <w:r>
                    <w:rPr>
                      <w:rFonts w:hint="default" w:ascii="Times New Roman" w:hAnsi="Times New Roman" w:eastAsia="宋体" w:cs="Times New Roman"/>
                      <w:b/>
                      <w:bCs/>
                      <w:color w:val="auto"/>
                      <w:sz w:val="21"/>
                      <w:szCs w:val="21"/>
                      <w:lang w:val="en-GB"/>
                    </w:rPr>
                    <w:t>内径（m）</w:t>
                  </w:r>
                </w:p>
              </w:tc>
              <w:tc>
                <w:tcPr>
                  <w:tcW w:w="844" w:type="dxa"/>
                  <w:tcBorders>
                    <w:tl2br w:val="nil"/>
                    <w:tr2bl w:val="nil"/>
                  </w:tcBorders>
                  <w:vAlign w:val="center"/>
                </w:tcPr>
                <w:p>
                  <w:pPr>
                    <w:spacing w:line="240" w:lineRule="auto"/>
                    <w:jc w:val="center"/>
                    <w:textAlignment w:val="center"/>
                    <w:rPr>
                      <w:rFonts w:hint="default" w:ascii="Times New Roman" w:hAnsi="Times New Roman" w:eastAsia="宋体" w:cs="Times New Roman"/>
                      <w:b/>
                      <w:bCs/>
                      <w:color w:val="auto"/>
                      <w:sz w:val="21"/>
                      <w:szCs w:val="21"/>
                      <w:lang w:val="en-GB"/>
                    </w:rPr>
                  </w:pPr>
                  <w:r>
                    <w:rPr>
                      <w:rFonts w:hint="default" w:ascii="Times New Roman" w:hAnsi="Times New Roman" w:eastAsia="宋体" w:cs="Times New Roman"/>
                      <w:b/>
                      <w:bCs/>
                      <w:color w:val="auto"/>
                      <w:sz w:val="21"/>
                      <w:szCs w:val="21"/>
                      <w:lang w:val="en-GB"/>
                    </w:rPr>
                    <w:t>温度（℃）</w:t>
                  </w:r>
                </w:p>
              </w:tc>
              <w:tc>
                <w:tcPr>
                  <w:tcW w:w="731" w:type="dxa"/>
                  <w:vMerge w:val="continue"/>
                  <w:tcBorders>
                    <w:tl2br w:val="nil"/>
                    <w:tr2bl w:val="nil"/>
                  </w:tcBorders>
                  <w:vAlign w:val="center"/>
                </w:tcPr>
                <w:p>
                  <w:pPr>
                    <w:widowControl/>
                    <w:spacing w:line="240" w:lineRule="auto"/>
                    <w:rPr>
                      <w:rFonts w:hint="default" w:ascii="Times New Roman" w:hAnsi="Times New Roman" w:eastAsia="宋体" w:cs="Times New Roman"/>
                      <w:color w:val="auto"/>
                      <w:sz w:val="21"/>
                      <w:szCs w:val="21"/>
                      <w:lang w:val="en-GB"/>
                    </w:rPr>
                  </w:pPr>
                </w:p>
              </w:tc>
              <w:tc>
                <w:tcPr>
                  <w:tcW w:w="1692" w:type="dxa"/>
                  <w:vMerge w:val="continue"/>
                  <w:tcBorders>
                    <w:tl2br w:val="nil"/>
                    <w:tr2bl w:val="nil"/>
                  </w:tcBorders>
                  <w:vAlign w:val="center"/>
                </w:tcPr>
                <w:p>
                  <w:pPr>
                    <w:widowControl/>
                    <w:spacing w:line="240" w:lineRule="auto"/>
                    <w:rPr>
                      <w:rFonts w:hint="default" w:ascii="Times New Roman" w:hAnsi="Times New Roman" w:eastAsia="宋体" w:cs="Times New Roman"/>
                      <w:color w:val="auto"/>
                      <w:sz w:val="21"/>
                      <w:szCs w:val="21"/>
                      <w:lang w:val="en-GB"/>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tcBorders>
                    <w:tl2br w:val="nil"/>
                    <w:tr2bl w:val="nil"/>
                  </w:tcBorders>
                  <w:shd w:val="clear" w:color="auto" w:fill="auto"/>
                  <w:vAlign w:val="center"/>
                </w:tcPr>
                <w:p>
                  <w:pPr>
                    <w:spacing w:line="240" w:lineRule="auto"/>
                    <w:jc w:val="center"/>
                    <w:textAlignment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default" w:ascii="Times New Roman" w:hAnsi="Times New Roman" w:eastAsia="宋体" w:cs="Times New Roman"/>
                      <w:color w:val="auto"/>
                      <w:sz w:val="21"/>
                      <w:szCs w:val="21"/>
                      <w:lang w:val="en-US" w:eastAsia="zh-CN"/>
                    </w:rPr>
                    <w:t>DA001</w:t>
                  </w:r>
                </w:p>
              </w:tc>
              <w:tc>
                <w:tcPr>
                  <w:tcW w:w="637" w:type="dxa"/>
                  <w:tcBorders>
                    <w:tl2br w:val="nil"/>
                    <w:tr2bl w:val="nil"/>
                  </w:tcBorders>
                  <w:shd w:val="clear" w:color="auto" w:fill="auto"/>
                  <w:vAlign w:val="center"/>
                </w:tcPr>
                <w:p>
                  <w:pPr>
                    <w:spacing w:line="240" w:lineRule="auto"/>
                    <w:jc w:val="center"/>
                    <w:textAlignment w:val="center"/>
                    <w:rPr>
                      <w:rFonts w:hint="default" w:ascii="Times New Roman" w:hAnsi="Times New Roman" w:eastAsia="宋体" w:cs="Times New Roman"/>
                      <w:bCs/>
                      <w:snapToGrid w:val="0"/>
                      <w:color w:val="auto"/>
                      <w:spacing w:val="-10"/>
                      <w:kern w:val="0"/>
                      <w:sz w:val="21"/>
                      <w:szCs w:val="21"/>
                      <w:lang w:val="en-US" w:eastAsia="zh-CN" w:bidi="ar-SA"/>
                      <w14:ligatures w14:val="none"/>
                    </w:rPr>
                  </w:pPr>
                  <w:r>
                    <w:rPr>
                      <w:rFonts w:hint="default" w:ascii="Times New Roman" w:hAnsi="Times New Roman" w:eastAsia="宋体" w:cs="Times New Roman"/>
                      <w:bCs/>
                      <w:color w:val="auto"/>
                      <w:spacing w:val="-10"/>
                      <w:sz w:val="21"/>
                      <w:szCs w:val="21"/>
                      <w:lang w:val="en-US" w:eastAsia="zh-CN"/>
                    </w:rPr>
                    <w:t>颗粒物</w:t>
                  </w:r>
                  <w:r>
                    <w:rPr>
                      <w:rFonts w:hint="eastAsia" w:cs="Times New Roman"/>
                      <w:bCs/>
                      <w:color w:val="auto"/>
                      <w:spacing w:val="-10"/>
                      <w:sz w:val="21"/>
                      <w:szCs w:val="21"/>
                      <w:lang w:val="en-US" w:eastAsia="zh-CN"/>
                    </w:rPr>
                    <w:t>、臭气浓度</w:t>
                  </w:r>
                </w:p>
              </w:tc>
              <w:tc>
                <w:tcPr>
                  <w:tcW w:w="863" w:type="dxa"/>
                  <w:tcBorders>
                    <w:tl2br w:val="nil"/>
                    <w:tr2bl w:val="nil"/>
                  </w:tcBorders>
                  <w:shd w:val="clear" w:color="auto" w:fill="auto"/>
                  <w:vAlign w:val="center"/>
                </w:tcPr>
                <w:p>
                  <w:pPr>
                    <w:spacing w:line="240" w:lineRule="auto"/>
                    <w:jc w:val="center"/>
                    <w:textAlignment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eastAsia"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20</w:t>
                  </w:r>
                </w:p>
              </w:tc>
              <w:tc>
                <w:tcPr>
                  <w:tcW w:w="731" w:type="dxa"/>
                  <w:tcBorders>
                    <w:tl2br w:val="nil"/>
                    <w:tr2bl w:val="nil"/>
                  </w:tcBorders>
                  <w:shd w:val="clear" w:color="auto" w:fill="auto"/>
                  <w:vAlign w:val="center"/>
                </w:tcPr>
                <w:p>
                  <w:pPr>
                    <w:spacing w:line="240" w:lineRule="auto"/>
                    <w:jc w:val="center"/>
                    <w:textAlignment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eastAsia" w:cs="Times New Roman"/>
                      <w:color w:val="auto"/>
                      <w:sz w:val="21"/>
                      <w:szCs w:val="21"/>
                      <w:lang w:val="en-US" w:eastAsia="zh-CN"/>
                    </w:rPr>
                    <w:t>3.5</w:t>
                  </w:r>
                </w:p>
              </w:tc>
              <w:tc>
                <w:tcPr>
                  <w:tcW w:w="656" w:type="dxa"/>
                  <w:tcBorders>
                    <w:tl2br w:val="nil"/>
                    <w:tr2bl w:val="nil"/>
                  </w:tcBorders>
                  <w:shd w:val="clear" w:color="auto" w:fill="auto"/>
                  <w:vAlign w:val="center"/>
                </w:tcPr>
                <w:p>
                  <w:pPr>
                    <w:spacing w:line="240" w:lineRule="auto"/>
                    <w:jc w:val="center"/>
                    <w:textAlignment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default" w:ascii="Times New Roman" w:hAnsi="Times New Roman" w:eastAsia="宋体" w:cs="Times New Roman"/>
                      <w:color w:val="auto"/>
                      <w:sz w:val="21"/>
                      <w:szCs w:val="21"/>
                      <w:lang w:val="en-US" w:eastAsia="zh-CN"/>
                    </w:rPr>
                    <w:t>15</w:t>
                  </w:r>
                </w:p>
              </w:tc>
              <w:tc>
                <w:tcPr>
                  <w:tcW w:w="825" w:type="dxa"/>
                  <w:tcBorders>
                    <w:tl2br w:val="nil"/>
                    <w:tr2bl w:val="nil"/>
                  </w:tcBorders>
                  <w:shd w:val="clear" w:color="auto" w:fill="auto"/>
                  <w:vAlign w:val="center"/>
                </w:tcPr>
                <w:p>
                  <w:pPr>
                    <w:spacing w:line="240" w:lineRule="auto"/>
                    <w:jc w:val="center"/>
                    <w:textAlignment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default" w:ascii="Times New Roman" w:hAnsi="Times New Roman" w:eastAsia="宋体" w:cs="Times New Roman"/>
                      <w:color w:val="auto"/>
                      <w:sz w:val="21"/>
                      <w:szCs w:val="21"/>
                      <w:lang w:val="en-US" w:eastAsia="zh-CN"/>
                    </w:rPr>
                    <w:t>0.3</w:t>
                  </w:r>
                </w:p>
              </w:tc>
              <w:tc>
                <w:tcPr>
                  <w:tcW w:w="844" w:type="dxa"/>
                  <w:tcBorders>
                    <w:tl2br w:val="nil"/>
                    <w:tr2bl w:val="nil"/>
                  </w:tcBorders>
                  <w:shd w:val="clear" w:color="auto" w:fill="auto"/>
                  <w:vAlign w:val="center"/>
                </w:tcPr>
                <w:p>
                  <w:pPr>
                    <w:spacing w:line="240" w:lineRule="auto"/>
                    <w:jc w:val="center"/>
                    <w:textAlignment w:val="center"/>
                    <w:rPr>
                      <w:rFonts w:hint="default" w:ascii="Times New Roman" w:hAnsi="Times New Roman" w:eastAsia="宋体" w:cs="Times New Roman"/>
                      <w:snapToGrid w:val="0"/>
                      <w:color w:val="auto"/>
                      <w:kern w:val="0"/>
                      <w:sz w:val="21"/>
                      <w:szCs w:val="21"/>
                      <w:lang w:val="en-GB" w:eastAsia="zh-CN" w:bidi="ar-SA"/>
                      <w14:ligatures w14:val="none"/>
                    </w:rPr>
                  </w:pPr>
                  <w:r>
                    <w:rPr>
                      <w:rFonts w:hint="default" w:ascii="Times New Roman" w:hAnsi="Times New Roman" w:eastAsia="宋体" w:cs="Times New Roman"/>
                      <w:color w:val="auto"/>
                      <w:sz w:val="21"/>
                      <w:szCs w:val="21"/>
                      <w:lang w:val="en-GB"/>
                    </w:rPr>
                    <w:t>常温</w:t>
                  </w:r>
                </w:p>
              </w:tc>
              <w:tc>
                <w:tcPr>
                  <w:tcW w:w="731" w:type="dxa"/>
                  <w:tcBorders>
                    <w:tl2br w:val="nil"/>
                    <w:tr2bl w:val="nil"/>
                  </w:tcBorders>
                  <w:shd w:val="clear" w:color="auto" w:fill="auto"/>
                  <w:vAlign w:val="center"/>
                </w:tcPr>
                <w:p>
                  <w:pPr>
                    <w:spacing w:line="240" w:lineRule="auto"/>
                    <w:jc w:val="center"/>
                    <w:textAlignment w:val="center"/>
                    <w:rPr>
                      <w:rFonts w:hint="default" w:ascii="Times New Roman" w:hAnsi="Times New Roman" w:eastAsia="宋体" w:cs="Times New Roman"/>
                      <w:snapToGrid w:val="0"/>
                      <w:color w:val="auto"/>
                      <w:kern w:val="0"/>
                      <w:sz w:val="21"/>
                      <w:szCs w:val="21"/>
                      <w:lang w:val="en-GB" w:eastAsia="zh-CN" w:bidi="ar-SA"/>
                      <w14:ligatures w14:val="none"/>
                    </w:rPr>
                  </w:pPr>
                  <w:r>
                    <w:rPr>
                      <w:rFonts w:hint="default" w:ascii="Times New Roman" w:hAnsi="Times New Roman" w:eastAsia="宋体" w:cs="Times New Roman"/>
                      <w:color w:val="auto"/>
                      <w:sz w:val="21"/>
                      <w:szCs w:val="21"/>
                      <w:lang w:val="en-GB"/>
                    </w:rPr>
                    <w:t>一般排放口</w:t>
                  </w:r>
                </w:p>
              </w:tc>
              <w:tc>
                <w:tcPr>
                  <w:tcW w:w="1692" w:type="dxa"/>
                  <w:tcBorders>
                    <w:tl2br w:val="nil"/>
                    <w:tr2bl w:val="nil"/>
                  </w:tcBorders>
                  <w:shd w:val="clear" w:color="auto" w:fill="auto"/>
                  <w:vAlign w:val="center"/>
                </w:tcPr>
                <w:p>
                  <w:pPr>
                    <w:spacing w:line="240" w:lineRule="auto"/>
                    <w:jc w:val="center"/>
                    <w:textAlignment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default" w:ascii="Times New Roman" w:hAnsi="Times New Roman" w:eastAsia="宋体" w:cs="Times New Roman"/>
                      <w:color w:val="auto"/>
                      <w:sz w:val="21"/>
                      <w:szCs w:val="21"/>
                      <w:lang w:val="en-US" w:eastAsia="zh-CN"/>
                    </w:rPr>
                    <w:t>E86°46′32.123″</w:t>
                  </w:r>
                  <w:r>
                    <w:rPr>
                      <w:rFonts w:hint="eastAsia" w:cs="Times New Roman"/>
                      <w:color w:val="auto"/>
                      <w:sz w:val="21"/>
                      <w:szCs w:val="21"/>
                      <w:lang w:val="en-GB" w:eastAsia="zh-CN"/>
                    </w:rPr>
                    <w:t>，</w:t>
                  </w:r>
                  <w:r>
                    <w:rPr>
                      <w:rFonts w:hint="default" w:ascii="Times New Roman" w:hAnsi="Times New Roman" w:eastAsia="宋体" w:cs="Times New Roman"/>
                      <w:color w:val="auto"/>
                      <w:sz w:val="21"/>
                      <w:szCs w:val="21"/>
                      <w:lang w:val="en-US" w:eastAsia="zh-CN"/>
                    </w:rPr>
                    <w:t>N</w:t>
                  </w:r>
                  <w:r>
                    <w:rPr>
                      <w:rFonts w:hint="default" w:ascii="Times New Roman" w:hAnsi="Times New Roman" w:eastAsia="宋体" w:cs="Times New Roman"/>
                      <w:color w:val="auto"/>
                      <w:sz w:val="21"/>
                      <w:szCs w:val="21"/>
                      <w:lang w:val="en-GB"/>
                    </w:rPr>
                    <w:t>42°19′15.577″</w:t>
                  </w:r>
                </w:p>
              </w:tc>
            </w:tr>
          </w:tbl>
          <w:p>
            <w:pPr>
              <w:pStyle w:val="57"/>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宋体" w:cs="Times New Roman"/>
                <w:color w:val="auto"/>
                <w:sz w:val="24"/>
                <w:szCs w:val="24"/>
                <w:highlight w:val="none"/>
                <w:lang w:val="en-US" w:eastAsia="zh-CN"/>
              </w:rPr>
            </w:pPr>
            <w:r>
              <w:rPr>
                <w:rFonts w:hint="eastAsia" w:cs="Times New Roman"/>
                <w:b/>
                <w:bCs/>
                <w:color w:val="auto"/>
                <w:sz w:val="24"/>
                <w:szCs w:val="24"/>
                <w:lang w:eastAsia="zh-CN"/>
              </w:rPr>
              <w:t>（</w:t>
            </w:r>
            <w:r>
              <w:rPr>
                <w:rFonts w:hint="eastAsia" w:cs="Times New Roman"/>
                <w:b/>
                <w:bCs/>
                <w:color w:val="auto"/>
                <w:sz w:val="24"/>
                <w:szCs w:val="24"/>
                <w:lang w:val="en-US" w:eastAsia="zh-CN"/>
              </w:rPr>
              <w:t>7</w:t>
            </w:r>
            <w:r>
              <w:rPr>
                <w:rFonts w:hint="eastAsia" w:cs="Times New Roman"/>
                <w:b/>
                <w:bCs/>
                <w:color w:val="auto"/>
                <w:sz w:val="24"/>
                <w:szCs w:val="24"/>
                <w:lang w:eastAsia="zh-CN"/>
              </w:rPr>
              <w:t>）</w:t>
            </w:r>
            <w:r>
              <w:rPr>
                <w:rFonts w:hint="eastAsia" w:cs="Times New Roman"/>
                <w:b/>
                <w:bCs/>
                <w:color w:val="auto"/>
                <w:sz w:val="24"/>
                <w:szCs w:val="24"/>
                <w:lang w:val="en-US" w:eastAsia="zh-CN"/>
              </w:rPr>
              <w:t>臭气浓度</w:t>
            </w:r>
          </w:p>
          <w:p>
            <w:pPr>
              <w:pStyle w:val="2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eastAsia="宋体"/>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臭气浓度参考北京环境监测中心在吸取国外经验的基础上提出了恶臭6级分级法，详见下表，该分级法以嗅觉的感觉和人的主观感觉特征两个</w:t>
            </w:r>
            <w:r>
              <w:rPr>
                <w:rFonts w:hint="eastAsia" w:eastAsia="宋体"/>
                <w:color w:val="auto"/>
                <w:sz w:val="24"/>
                <w:szCs w:val="24"/>
                <w:highlight w:val="none"/>
                <w:lang w:val="en-US" w:eastAsia="zh-CN"/>
              </w:rPr>
              <w:t>方面来描述各级特征，既明确了各级的差别，也提高了分级的准确程度。</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eastAsia="zh-CN"/>
              </w:rPr>
              <w:t>表</w:t>
            </w:r>
            <w:r>
              <w:rPr>
                <w:rFonts w:hint="eastAsia" w:ascii="Times New Roman" w:hAnsi="Times New Roman" w:eastAsia="宋体" w:cs="Times New Roman"/>
                <w:b/>
                <w:bCs/>
                <w:color w:val="auto"/>
                <w:sz w:val="21"/>
                <w:szCs w:val="21"/>
                <w:highlight w:val="none"/>
                <w:lang w:val="en-US" w:eastAsia="zh-CN"/>
              </w:rPr>
              <w:t>4.7</w:t>
            </w:r>
            <w:r>
              <w:rPr>
                <w:rFonts w:hint="default" w:ascii="Times New Roman" w:hAnsi="Times New Roman" w:eastAsia="宋体" w:cs="Times New Roman"/>
                <w:b/>
                <w:bCs/>
                <w:color w:val="auto"/>
                <w:sz w:val="21"/>
                <w:szCs w:val="21"/>
                <w:highlight w:val="none"/>
                <w:lang w:eastAsia="zh-CN"/>
              </w:rPr>
              <w:t>-</w:t>
            </w:r>
            <w:r>
              <w:rPr>
                <w:rFonts w:hint="eastAsia" w:ascii="Times New Roman" w:hAnsi="Times New Roman" w:eastAsia="宋体" w:cs="Times New Roman"/>
                <w:b/>
                <w:bCs/>
                <w:color w:val="auto"/>
                <w:sz w:val="21"/>
                <w:szCs w:val="21"/>
                <w:highlight w:val="none"/>
                <w:lang w:val="en-US" w:eastAsia="zh-CN"/>
              </w:rPr>
              <w:t>4</w:t>
            </w:r>
            <w:r>
              <w:rPr>
                <w:rFonts w:hint="eastAsia" w:ascii="Times New Roman" w:hAnsi="Times New Roman" w:cs="Times New Roman"/>
                <w:b/>
                <w:bCs/>
                <w:color w:val="auto"/>
                <w:sz w:val="21"/>
                <w:szCs w:val="21"/>
                <w:highlight w:val="none"/>
                <w:lang w:val="en-US" w:eastAsia="zh-CN"/>
              </w:rPr>
              <w:t xml:space="preserve">    </w:t>
            </w:r>
            <w:r>
              <w:rPr>
                <w:rFonts w:hint="eastAsia" w:ascii="Times New Roman" w:hAnsi="Times New Roman" w:eastAsia="宋体" w:cs="Times New Roman"/>
                <w:b/>
                <w:bCs/>
                <w:color w:val="auto"/>
                <w:sz w:val="21"/>
                <w:szCs w:val="21"/>
                <w:highlight w:val="none"/>
                <w:lang w:val="en-US" w:eastAsia="zh-CN"/>
              </w:rPr>
              <w:t>恶臭</w:t>
            </w:r>
            <w:r>
              <w:rPr>
                <w:rFonts w:hint="default" w:ascii="Times New Roman" w:hAnsi="Times New Roman" w:eastAsia="宋体" w:cs="Times New Roman"/>
                <w:b/>
                <w:bCs/>
                <w:color w:val="auto"/>
                <w:sz w:val="21"/>
                <w:szCs w:val="21"/>
                <w:highlight w:val="none"/>
                <w:lang w:val="en-US" w:eastAsia="zh-CN"/>
              </w:rPr>
              <w:t>6</w:t>
            </w:r>
            <w:r>
              <w:rPr>
                <w:rFonts w:hint="eastAsia" w:ascii="Times New Roman" w:hAnsi="Times New Roman" w:eastAsia="宋体" w:cs="Times New Roman"/>
                <w:b/>
                <w:bCs/>
                <w:color w:val="auto"/>
                <w:sz w:val="21"/>
                <w:szCs w:val="21"/>
                <w:highlight w:val="none"/>
                <w:lang w:val="en-US" w:eastAsia="zh-CN"/>
              </w:rPr>
              <w:t>级等级法</w:t>
            </w:r>
          </w:p>
          <w:p>
            <w:pPr>
              <w:pStyle w:val="23"/>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0"/>
              <w:jc w:val="center"/>
              <w:textAlignment w:val="auto"/>
              <w:rPr>
                <w:color w:val="auto"/>
                <w:highlight w:val="none"/>
              </w:rPr>
            </w:pPr>
            <w:r>
              <w:rPr>
                <w:color w:val="auto"/>
                <w:highlight w:val="none"/>
              </w:rPr>
              <w:drawing>
                <wp:inline distT="0" distB="0" distL="114300" distR="114300">
                  <wp:extent cx="3437255" cy="1325245"/>
                  <wp:effectExtent l="0" t="0" r="10795" b="825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9"/>
                          <a:stretch>
                            <a:fillRect/>
                          </a:stretch>
                        </pic:blipFill>
                        <pic:spPr>
                          <a:xfrm>
                            <a:off x="0" y="0"/>
                            <a:ext cx="3437255" cy="132524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bCs/>
                <w:color w:val="auto"/>
              </w:rPr>
            </w:pPr>
            <w:r>
              <w:rPr>
                <w:rFonts w:hint="eastAsia"/>
                <w:color w:val="auto"/>
                <w:highlight w:val="none"/>
                <w:lang w:val="en-US" w:eastAsia="zh-CN"/>
              </w:rPr>
              <w:t>根据上表判定，本项目恶臭等级为2-3级，在车间设集气罩收集，并采用布袋除尘器+15m高排气筒排放</w:t>
            </w:r>
            <w:r>
              <w:rPr>
                <w:rFonts w:hint="eastAsia" w:eastAsia="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4.</w:t>
            </w:r>
            <w:r>
              <w:rPr>
                <w:rFonts w:hint="eastAsia" w:ascii="Times New Roman" w:hAnsi="Times New Roman" w:eastAsia="宋体" w:cs="Times New Roman"/>
                <w:b/>
                <w:bCs/>
                <w:color w:val="auto"/>
                <w:lang w:val="en-US" w:eastAsia="zh-CN"/>
              </w:rPr>
              <w:t>7</w:t>
            </w:r>
            <w:r>
              <w:rPr>
                <w:rFonts w:hint="default" w:ascii="Times New Roman" w:hAnsi="Times New Roman" w:eastAsia="宋体" w:cs="Times New Roman"/>
                <w:b/>
                <w:bCs/>
                <w:color w:val="auto"/>
              </w:rPr>
              <w:t>.2非正常工况大气污染物产生与排放状况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本项目生产过程中产生的工艺废气收集后经废气处理系统处理达标后排放。本项目废气非正常排放主要为废气处理设施出现故障，非正常工况排放考虑气体处理效率为</w:t>
            </w:r>
            <w:r>
              <w:rPr>
                <w:rFonts w:hint="default" w:ascii="Times New Roman" w:hAnsi="Times New Roman" w:eastAsia="宋体" w:cs="Times New Roman"/>
                <w:color w:val="auto"/>
                <w:szCs w:val="21"/>
                <w:lang w:val="en-US" w:eastAsia="zh-CN"/>
              </w:rPr>
              <w:t>0</w:t>
            </w:r>
            <w:r>
              <w:rPr>
                <w:rFonts w:hint="default" w:ascii="Times New Roman" w:hAnsi="Times New Roman" w:eastAsia="宋体" w:cs="Times New Roman"/>
                <w:color w:val="auto"/>
                <w:szCs w:val="21"/>
              </w:rPr>
              <w:t>时的排放情况，一般来说，非正常排放历时不超过</w:t>
            </w:r>
            <w:r>
              <w:rPr>
                <w:rFonts w:hint="default" w:ascii="Times New Roman" w:hAnsi="Times New Roman" w:eastAsia="宋体" w:cs="Times New Roman"/>
                <w:color w:val="auto"/>
                <w:szCs w:val="21"/>
                <w:lang w:val="en-US" w:eastAsia="zh-CN"/>
              </w:rPr>
              <w:t>1h</w:t>
            </w:r>
            <w:r>
              <w:rPr>
                <w:rFonts w:hint="default" w:ascii="Times New Roman" w:hAnsi="Times New Roman" w:eastAsia="宋体" w:cs="Times New Roman"/>
                <w:color w:val="auto"/>
                <w:szCs w:val="21"/>
              </w:rPr>
              <w:t>。本项目非正常排放情况</w:t>
            </w:r>
            <w:r>
              <w:rPr>
                <w:rFonts w:hint="eastAsia" w:cs="Times New Roman"/>
                <w:color w:val="auto"/>
                <w:szCs w:val="21"/>
                <w:lang w:eastAsia="zh-CN"/>
              </w:rPr>
              <w:t>见下</w:t>
            </w:r>
            <w:r>
              <w:rPr>
                <w:rFonts w:hint="default" w:ascii="Times New Roman" w:hAnsi="Times New Roman" w:eastAsia="宋体" w:cs="Times New Roman"/>
                <w:color w:val="auto"/>
                <w:szCs w:val="21"/>
              </w:rPr>
              <w:t>表。</w:t>
            </w:r>
          </w:p>
          <w:p>
            <w:pPr>
              <w:pStyle w:val="20"/>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napToGrid w:val="0"/>
                <w:color w:val="auto"/>
                <w:kern w:val="0"/>
                <w:sz w:val="21"/>
                <w:szCs w:val="21"/>
                <w:lang w:val="en-US" w:eastAsia="zh-CN" w:bidi="ar-SA"/>
                <w14:ligatures w14:val="none"/>
              </w:rPr>
            </w:pPr>
            <w:r>
              <w:rPr>
                <w:rFonts w:hint="default" w:ascii="Times New Roman" w:hAnsi="Times New Roman" w:eastAsia="宋体" w:cs="Times New Roman"/>
                <w:b/>
                <w:bCs/>
                <w:snapToGrid w:val="0"/>
                <w:color w:val="auto"/>
                <w:kern w:val="0"/>
                <w:sz w:val="21"/>
                <w:szCs w:val="21"/>
                <w:lang w:val="en-US" w:eastAsia="zh-CN" w:bidi="ar-SA"/>
                <w14:ligatures w14:val="none"/>
              </w:rPr>
              <w:t>表4</w:t>
            </w:r>
            <w:r>
              <w:rPr>
                <w:rFonts w:hint="eastAsia" w:ascii="Times New Roman" w:hAnsi="Times New Roman" w:eastAsia="宋体" w:cs="Times New Roman"/>
                <w:b/>
                <w:bCs/>
                <w:snapToGrid w:val="0"/>
                <w:color w:val="auto"/>
                <w:kern w:val="0"/>
                <w:sz w:val="21"/>
                <w:szCs w:val="21"/>
                <w:lang w:val="en-US" w:eastAsia="zh-CN" w:bidi="ar-SA"/>
                <w14:ligatures w14:val="none"/>
              </w:rPr>
              <w:t>.7-</w:t>
            </w:r>
            <w:r>
              <w:rPr>
                <w:rFonts w:hint="eastAsia" w:cs="Times New Roman"/>
                <w:b/>
                <w:bCs/>
                <w:snapToGrid w:val="0"/>
                <w:color w:val="auto"/>
                <w:kern w:val="0"/>
                <w:sz w:val="21"/>
                <w:szCs w:val="21"/>
                <w:lang w:val="en-US" w:eastAsia="zh-CN" w:bidi="ar-SA"/>
                <w14:ligatures w14:val="none"/>
              </w:rPr>
              <w:t>5</w:t>
            </w:r>
            <w:r>
              <w:rPr>
                <w:rFonts w:hint="default" w:ascii="Times New Roman" w:hAnsi="Times New Roman" w:eastAsia="宋体" w:cs="Times New Roman"/>
                <w:b/>
                <w:bCs/>
                <w:snapToGrid w:val="0"/>
                <w:color w:val="auto"/>
                <w:kern w:val="0"/>
                <w:sz w:val="21"/>
                <w:szCs w:val="21"/>
                <w:lang w:val="en-US" w:eastAsia="zh-CN" w:bidi="ar-SA"/>
                <w14:ligatures w14:val="none"/>
              </w:rPr>
              <w:t xml:space="preserve"> </w:t>
            </w:r>
            <w:r>
              <w:rPr>
                <w:rFonts w:hint="eastAsia" w:ascii="Times New Roman" w:hAnsi="Times New Roman" w:eastAsia="宋体" w:cs="Times New Roman"/>
                <w:b/>
                <w:bCs/>
                <w:snapToGrid w:val="0"/>
                <w:color w:val="auto"/>
                <w:kern w:val="0"/>
                <w:sz w:val="21"/>
                <w:szCs w:val="21"/>
                <w:lang w:val="en-US" w:eastAsia="zh-CN" w:bidi="ar-SA"/>
                <w14:ligatures w14:val="none"/>
              </w:rPr>
              <w:t xml:space="preserve"> </w:t>
            </w:r>
            <w:r>
              <w:rPr>
                <w:rFonts w:hint="default" w:ascii="Times New Roman" w:hAnsi="Times New Roman" w:eastAsia="宋体" w:cs="Times New Roman"/>
                <w:b/>
                <w:bCs/>
                <w:snapToGrid w:val="0"/>
                <w:color w:val="auto"/>
                <w:kern w:val="0"/>
                <w:sz w:val="21"/>
                <w:szCs w:val="21"/>
                <w:lang w:val="en-US" w:eastAsia="zh-CN" w:bidi="ar-SA"/>
                <w14:ligatures w14:val="none"/>
              </w:rPr>
              <w:t xml:space="preserve"> 非正常排放情况</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691"/>
              <w:gridCol w:w="789"/>
              <w:gridCol w:w="721"/>
              <w:gridCol w:w="721"/>
              <w:gridCol w:w="1102"/>
              <w:gridCol w:w="967"/>
              <w:gridCol w:w="17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68" w:hRule="atLeast"/>
                <w:jc w:val="center"/>
              </w:trPr>
              <w:tc>
                <w:tcPr>
                  <w:tcW w:w="1098" w:type="dxa"/>
                  <w:tcBorders>
                    <w:tl2br w:val="nil"/>
                    <w:tr2bl w:val="nil"/>
                  </w:tcBorders>
                  <w:noWrap w:val="0"/>
                  <w:vAlign w:val="center"/>
                </w:tcPr>
                <w:p>
                  <w:pPr>
                    <w:spacing w:line="240" w:lineRule="auto"/>
                    <w:jc w:val="center"/>
                    <w:rPr>
                      <w:rFonts w:hint="default" w:ascii="Times New Roman" w:hAnsi="Times New Roman" w:eastAsia="宋体" w:cs="Times New Roman"/>
                      <w:b/>
                      <w:bCs/>
                      <w:color w:val="auto"/>
                      <w:sz w:val="21"/>
                      <w:szCs w:val="21"/>
                      <w:highlight w:val="none"/>
                      <w:lang w:val="en-GB"/>
                    </w:rPr>
                  </w:pPr>
                  <w:r>
                    <w:rPr>
                      <w:rFonts w:hint="default" w:ascii="Times New Roman" w:hAnsi="Times New Roman" w:eastAsia="宋体" w:cs="Times New Roman"/>
                      <w:b/>
                      <w:bCs/>
                      <w:color w:val="auto"/>
                      <w:sz w:val="21"/>
                      <w:szCs w:val="21"/>
                      <w:highlight w:val="none"/>
                      <w:lang w:val="en-GB"/>
                    </w:rPr>
                    <w:t>污染源</w:t>
                  </w:r>
                </w:p>
              </w:tc>
              <w:tc>
                <w:tcPr>
                  <w:tcW w:w="691" w:type="dxa"/>
                  <w:tcBorders>
                    <w:tl2br w:val="nil"/>
                    <w:tr2bl w:val="nil"/>
                  </w:tcBorders>
                  <w:noWrap w:val="0"/>
                  <w:vAlign w:val="center"/>
                </w:tcPr>
                <w:p>
                  <w:pPr>
                    <w:spacing w:line="240" w:lineRule="auto"/>
                    <w:jc w:val="center"/>
                    <w:rPr>
                      <w:rFonts w:hint="default" w:ascii="Times New Roman" w:hAnsi="Times New Roman" w:eastAsia="宋体" w:cs="Times New Roman"/>
                      <w:b/>
                      <w:bCs/>
                      <w:color w:val="auto"/>
                      <w:sz w:val="21"/>
                      <w:szCs w:val="21"/>
                      <w:highlight w:val="none"/>
                      <w:lang w:val="en-GB"/>
                    </w:rPr>
                  </w:pPr>
                  <w:r>
                    <w:rPr>
                      <w:rFonts w:hint="default" w:ascii="Times New Roman" w:hAnsi="Times New Roman" w:eastAsia="宋体" w:cs="Times New Roman"/>
                      <w:b/>
                      <w:bCs/>
                      <w:color w:val="auto"/>
                      <w:sz w:val="21"/>
                      <w:szCs w:val="21"/>
                      <w:highlight w:val="none"/>
                      <w:lang w:val="en-GB"/>
                    </w:rPr>
                    <w:t>频次</w:t>
                  </w:r>
                </w:p>
              </w:tc>
              <w:tc>
                <w:tcPr>
                  <w:tcW w:w="789" w:type="dxa"/>
                  <w:tcBorders>
                    <w:tl2br w:val="nil"/>
                    <w:tr2bl w:val="nil"/>
                  </w:tcBorders>
                  <w:noWrap w:val="0"/>
                  <w:vAlign w:val="center"/>
                </w:tcPr>
                <w:p>
                  <w:pPr>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污染物</w:t>
                  </w:r>
                </w:p>
              </w:tc>
              <w:tc>
                <w:tcPr>
                  <w:tcW w:w="721" w:type="dxa"/>
                  <w:tcBorders>
                    <w:tl2br w:val="nil"/>
                    <w:tr2bl w:val="nil"/>
                  </w:tcBorders>
                  <w:shd w:val="clear" w:color="auto" w:fill="auto"/>
                  <w:noWrap w:val="0"/>
                  <w:vAlign w:val="center"/>
                </w:tcPr>
                <w:p>
                  <w:pPr>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排放量</w:t>
                  </w:r>
                  <w:r>
                    <w:rPr>
                      <w:rFonts w:hint="default" w:ascii="Times New Roman" w:hAnsi="Times New Roman" w:eastAsia="宋体" w:cs="Times New Roman"/>
                      <w:b/>
                      <w:bCs/>
                      <w:color w:val="auto"/>
                      <w:sz w:val="21"/>
                      <w:szCs w:val="21"/>
                      <w:highlight w:val="none"/>
                      <w:lang w:val="en-GB"/>
                    </w:rPr>
                    <w:t>（t/</w:t>
                  </w:r>
                  <w:r>
                    <w:rPr>
                      <w:rFonts w:hint="default" w:ascii="Times New Roman" w:hAnsi="Times New Roman" w:eastAsia="宋体" w:cs="Times New Roman"/>
                      <w:b/>
                      <w:bCs/>
                      <w:color w:val="auto"/>
                      <w:sz w:val="21"/>
                      <w:szCs w:val="21"/>
                      <w:highlight w:val="none"/>
                      <w:lang w:val="en-US" w:eastAsia="zh-CN"/>
                    </w:rPr>
                    <w:t>a</w:t>
                  </w:r>
                  <w:r>
                    <w:rPr>
                      <w:rFonts w:hint="default" w:ascii="Times New Roman" w:hAnsi="Times New Roman" w:eastAsia="宋体" w:cs="Times New Roman"/>
                      <w:b/>
                      <w:bCs/>
                      <w:color w:val="auto"/>
                      <w:sz w:val="21"/>
                      <w:szCs w:val="21"/>
                      <w:highlight w:val="none"/>
                      <w:lang w:val="en-GB"/>
                    </w:rPr>
                    <w:t>）</w:t>
                  </w:r>
                </w:p>
              </w:tc>
              <w:tc>
                <w:tcPr>
                  <w:tcW w:w="721" w:type="dxa"/>
                  <w:tcBorders>
                    <w:tl2br w:val="nil"/>
                    <w:tr2bl w:val="nil"/>
                  </w:tcBorders>
                  <w:shd w:val="clear" w:color="auto" w:fill="auto"/>
                  <w:noWrap w:val="0"/>
                  <w:vAlign w:val="center"/>
                </w:tcPr>
                <w:p>
                  <w:pPr>
                    <w:spacing w:line="240" w:lineRule="auto"/>
                    <w:jc w:val="center"/>
                    <w:rPr>
                      <w:rFonts w:hint="default" w:ascii="Times New Roman" w:hAnsi="Times New Roman" w:eastAsia="宋体" w:cs="Times New Roman"/>
                      <w:b/>
                      <w:bCs/>
                      <w:color w:val="auto"/>
                      <w:sz w:val="21"/>
                      <w:szCs w:val="21"/>
                      <w:highlight w:val="none"/>
                      <w:lang w:val="en-US"/>
                    </w:rPr>
                  </w:pPr>
                  <w:r>
                    <w:rPr>
                      <w:rFonts w:hint="default" w:ascii="Times New Roman" w:hAnsi="Times New Roman" w:eastAsia="宋体" w:cs="Times New Roman"/>
                      <w:b/>
                      <w:bCs/>
                      <w:color w:val="auto"/>
                      <w:sz w:val="21"/>
                      <w:szCs w:val="21"/>
                      <w:highlight w:val="none"/>
                      <w:lang w:val="en-US" w:eastAsia="zh-CN"/>
                    </w:rPr>
                    <w:t>排放速率</w:t>
                  </w:r>
                </w:p>
                <w:p>
                  <w:pPr>
                    <w:spacing w:line="240" w:lineRule="auto"/>
                    <w:jc w:val="center"/>
                    <w:rPr>
                      <w:rFonts w:hint="default" w:ascii="Times New Roman" w:hAnsi="Times New Roman" w:eastAsia="宋体" w:cs="Times New Roman"/>
                      <w:b/>
                      <w:bCs/>
                      <w:snapToGrid w:val="0"/>
                      <w:color w:val="auto"/>
                      <w:kern w:val="0"/>
                      <w:sz w:val="21"/>
                      <w:szCs w:val="21"/>
                      <w:highlight w:val="none"/>
                      <w:lang w:val="en-GB" w:eastAsia="zh-CN" w:bidi="ar-SA"/>
                      <w14:ligatures w14:val="none"/>
                    </w:rPr>
                  </w:pPr>
                  <w:r>
                    <w:rPr>
                      <w:rFonts w:hint="default" w:ascii="Times New Roman" w:hAnsi="Times New Roman" w:eastAsia="宋体" w:cs="Times New Roman"/>
                      <w:b/>
                      <w:bCs/>
                      <w:color w:val="auto"/>
                      <w:sz w:val="21"/>
                      <w:szCs w:val="21"/>
                      <w:highlight w:val="none"/>
                      <w:lang w:val="en-GB"/>
                    </w:rPr>
                    <w:t>（</w:t>
                  </w:r>
                  <w:r>
                    <w:rPr>
                      <w:rFonts w:hint="default" w:ascii="Times New Roman" w:hAnsi="Times New Roman" w:eastAsia="宋体" w:cs="Times New Roman"/>
                      <w:b/>
                      <w:bCs/>
                      <w:color w:val="auto"/>
                      <w:sz w:val="21"/>
                      <w:szCs w:val="21"/>
                      <w:highlight w:val="none"/>
                      <w:lang w:val="en-US" w:eastAsia="zh-CN"/>
                    </w:rPr>
                    <w:t>kg/h</w:t>
                  </w:r>
                  <w:r>
                    <w:rPr>
                      <w:rFonts w:hint="default" w:ascii="Times New Roman" w:hAnsi="Times New Roman" w:eastAsia="宋体" w:cs="Times New Roman"/>
                      <w:b/>
                      <w:bCs/>
                      <w:color w:val="auto"/>
                      <w:sz w:val="21"/>
                      <w:szCs w:val="21"/>
                      <w:highlight w:val="none"/>
                      <w:lang w:val="en-GB"/>
                    </w:rPr>
                    <w:t>）</w:t>
                  </w:r>
                </w:p>
              </w:tc>
              <w:tc>
                <w:tcPr>
                  <w:tcW w:w="1102" w:type="dxa"/>
                  <w:tcBorders>
                    <w:tl2br w:val="nil"/>
                    <w:tr2bl w:val="nil"/>
                  </w:tcBorders>
                  <w:noWrap w:val="0"/>
                  <w:vAlign w:val="center"/>
                </w:tcPr>
                <w:p>
                  <w:pPr>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排放浓度</w:t>
                  </w:r>
                </w:p>
                <w:p>
                  <w:pPr>
                    <w:spacing w:line="240" w:lineRule="auto"/>
                    <w:jc w:val="center"/>
                    <w:rPr>
                      <w:rFonts w:hint="default" w:ascii="Times New Roman" w:hAnsi="Times New Roman" w:eastAsia="宋体" w:cs="Times New Roman"/>
                      <w:b/>
                      <w:bCs/>
                      <w:color w:val="auto"/>
                      <w:sz w:val="21"/>
                      <w:szCs w:val="21"/>
                      <w:highlight w:val="none"/>
                      <w:lang w:val="en-GB"/>
                    </w:rPr>
                  </w:pPr>
                  <w:r>
                    <w:rPr>
                      <w:rFonts w:hint="default" w:ascii="Times New Roman" w:hAnsi="Times New Roman" w:eastAsia="宋体" w:cs="Times New Roman"/>
                      <w:b/>
                      <w:bCs/>
                      <w:color w:val="auto"/>
                      <w:sz w:val="21"/>
                      <w:szCs w:val="21"/>
                      <w:highlight w:val="none"/>
                      <w:lang w:val="en-GB"/>
                    </w:rPr>
                    <w:t>（mg/m</w:t>
                  </w:r>
                  <w:r>
                    <w:rPr>
                      <w:rFonts w:hint="default" w:ascii="Times New Roman" w:hAnsi="Times New Roman" w:eastAsia="宋体" w:cs="Times New Roman"/>
                      <w:b/>
                      <w:bCs/>
                      <w:color w:val="auto"/>
                      <w:sz w:val="21"/>
                      <w:szCs w:val="21"/>
                      <w:highlight w:val="none"/>
                      <w:vertAlign w:val="superscript"/>
                      <w:lang w:val="en-GB"/>
                    </w:rPr>
                    <w:t>3</w:t>
                  </w:r>
                  <w:r>
                    <w:rPr>
                      <w:rFonts w:hint="default" w:ascii="Times New Roman" w:hAnsi="Times New Roman" w:eastAsia="宋体" w:cs="Times New Roman"/>
                      <w:b/>
                      <w:bCs/>
                      <w:color w:val="auto"/>
                      <w:sz w:val="21"/>
                      <w:szCs w:val="21"/>
                      <w:highlight w:val="none"/>
                      <w:lang w:val="en-GB"/>
                    </w:rPr>
                    <w:t>）</w:t>
                  </w:r>
                </w:p>
              </w:tc>
              <w:tc>
                <w:tcPr>
                  <w:tcW w:w="967" w:type="dxa"/>
                  <w:tcBorders>
                    <w:tl2br w:val="nil"/>
                    <w:tr2bl w:val="nil"/>
                  </w:tcBorders>
                  <w:noWrap w:val="0"/>
                  <w:vAlign w:val="center"/>
                </w:tcPr>
                <w:p>
                  <w:pPr>
                    <w:spacing w:line="240" w:lineRule="auto"/>
                    <w:jc w:val="center"/>
                    <w:rPr>
                      <w:rFonts w:hint="default" w:ascii="Times New Roman" w:hAnsi="Times New Roman" w:eastAsia="宋体" w:cs="Times New Roman"/>
                      <w:b/>
                      <w:bCs/>
                      <w:color w:val="auto"/>
                      <w:sz w:val="21"/>
                      <w:szCs w:val="21"/>
                      <w:highlight w:val="none"/>
                      <w:lang w:val="en-GB"/>
                    </w:rPr>
                  </w:pPr>
                  <w:r>
                    <w:rPr>
                      <w:rFonts w:hint="default" w:ascii="Times New Roman" w:hAnsi="Times New Roman" w:eastAsia="宋体" w:cs="Times New Roman"/>
                      <w:b/>
                      <w:bCs/>
                      <w:color w:val="auto"/>
                      <w:sz w:val="21"/>
                      <w:szCs w:val="21"/>
                      <w:highlight w:val="none"/>
                      <w:lang w:val="en-US" w:eastAsia="zh-CN"/>
                    </w:rPr>
                    <w:t>单次</w:t>
                  </w:r>
                  <w:r>
                    <w:rPr>
                      <w:rFonts w:hint="default" w:ascii="Times New Roman" w:hAnsi="Times New Roman" w:eastAsia="宋体" w:cs="Times New Roman"/>
                      <w:b/>
                      <w:bCs/>
                      <w:color w:val="auto"/>
                      <w:sz w:val="21"/>
                      <w:szCs w:val="21"/>
                      <w:highlight w:val="none"/>
                      <w:lang w:val="en-GB"/>
                    </w:rPr>
                    <w:t>持续时间</w:t>
                  </w:r>
                </w:p>
                <w:p>
                  <w:pPr>
                    <w:spacing w:line="240" w:lineRule="auto"/>
                    <w:jc w:val="center"/>
                    <w:rPr>
                      <w:rFonts w:hint="default" w:ascii="Times New Roman" w:hAnsi="Times New Roman" w:eastAsia="宋体" w:cs="Times New Roman"/>
                      <w:b/>
                      <w:bCs/>
                      <w:color w:val="auto"/>
                      <w:sz w:val="21"/>
                      <w:szCs w:val="21"/>
                      <w:highlight w:val="none"/>
                      <w:lang w:val="en-GB"/>
                    </w:rPr>
                  </w:pPr>
                  <w:r>
                    <w:rPr>
                      <w:rFonts w:hint="default" w:ascii="Times New Roman" w:hAnsi="Times New Roman" w:eastAsia="宋体" w:cs="Times New Roman"/>
                      <w:b/>
                      <w:bCs/>
                      <w:color w:val="auto"/>
                      <w:sz w:val="21"/>
                      <w:szCs w:val="21"/>
                      <w:highlight w:val="none"/>
                      <w:lang w:val="en-GB"/>
                    </w:rPr>
                    <w:t>（h）</w:t>
                  </w:r>
                </w:p>
              </w:tc>
              <w:tc>
                <w:tcPr>
                  <w:tcW w:w="1750" w:type="dxa"/>
                  <w:tcBorders>
                    <w:tl2br w:val="nil"/>
                    <w:tr2bl w:val="nil"/>
                  </w:tcBorders>
                  <w:noWrap w:val="0"/>
                  <w:vAlign w:val="center"/>
                </w:tcPr>
                <w:p>
                  <w:pPr>
                    <w:spacing w:line="240" w:lineRule="auto"/>
                    <w:jc w:val="center"/>
                    <w:rPr>
                      <w:rFonts w:hint="default" w:ascii="Times New Roman" w:hAnsi="Times New Roman" w:eastAsia="宋体" w:cs="Times New Roman"/>
                      <w:b/>
                      <w:bCs/>
                      <w:color w:val="auto"/>
                      <w:sz w:val="21"/>
                      <w:szCs w:val="21"/>
                      <w:highlight w:val="none"/>
                      <w:lang w:val="en-GB"/>
                    </w:rPr>
                  </w:pPr>
                  <w:r>
                    <w:rPr>
                      <w:rFonts w:hint="default" w:ascii="Times New Roman" w:hAnsi="Times New Roman" w:eastAsia="宋体" w:cs="Times New Roman"/>
                      <w:b/>
                      <w:bCs/>
                      <w:color w:val="auto"/>
                      <w:sz w:val="21"/>
                      <w:szCs w:val="21"/>
                      <w:highlight w:val="none"/>
                      <w:lang w:val="en-GB"/>
                    </w:rPr>
                    <w:t>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1098" w:type="dxa"/>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DA001</w:t>
                  </w:r>
                </w:p>
              </w:tc>
              <w:tc>
                <w:tcPr>
                  <w:tcW w:w="691" w:type="dxa"/>
                  <w:tcBorders>
                    <w:tl2br w:val="nil"/>
                    <w:tr2bl w:val="nil"/>
                  </w:tcBorders>
                  <w:noWrap w:val="0"/>
                  <w:vAlign w:val="center"/>
                </w:tcPr>
                <w:p>
                  <w:pPr>
                    <w:spacing w:line="240" w:lineRule="auto"/>
                    <w:jc w:val="center"/>
                    <w:rPr>
                      <w:rFonts w:hint="default" w:ascii="Times New Roman" w:hAnsi="Times New Roman" w:eastAsia="宋体" w:cs="Times New Roman"/>
                      <w:snapToGrid w:val="0"/>
                      <w:color w:val="auto"/>
                      <w:kern w:val="0"/>
                      <w:sz w:val="21"/>
                      <w:szCs w:val="21"/>
                      <w:highlight w:val="none"/>
                      <w:lang w:val="en-GB" w:eastAsia="zh-CN" w:bidi="ar-SA"/>
                      <w14:ligatures w14:val="none"/>
                    </w:rPr>
                  </w:pP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GB"/>
                    </w:rPr>
                    <w:t>次</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a</w:t>
                  </w:r>
                </w:p>
              </w:tc>
              <w:tc>
                <w:tcPr>
                  <w:tcW w:w="789" w:type="dxa"/>
                  <w:tcBorders>
                    <w:tl2br w:val="nil"/>
                    <w:tr2bl w:val="nil"/>
                  </w:tcBorders>
                  <w:noWrap w:val="0"/>
                  <w:vAlign w:val="center"/>
                </w:tcPr>
                <w:p>
                  <w:pPr>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color w:val="auto"/>
                      <w:sz w:val="21"/>
                      <w:szCs w:val="21"/>
                      <w:highlight w:val="none"/>
                    </w:rPr>
                    <w:t>颗粒物</w:t>
                  </w:r>
                </w:p>
              </w:tc>
              <w:tc>
                <w:tcPr>
                  <w:tcW w:w="721" w:type="dxa"/>
                  <w:tcBorders>
                    <w:tl2br w:val="nil"/>
                    <w:tr2bl w:val="nil"/>
                  </w:tcBorders>
                  <w:shd w:val="clear" w:color="auto" w:fill="auto"/>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145.35</w:t>
                  </w:r>
                </w:p>
              </w:tc>
              <w:tc>
                <w:tcPr>
                  <w:tcW w:w="721" w:type="dxa"/>
                  <w:tcBorders>
                    <w:tl2br w:val="nil"/>
                    <w:tr2bl w:val="nil"/>
                  </w:tcBorders>
                  <w:shd w:val="clear" w:color="auto" w:fill="auto"/>
                  <w:noWrap w:val="0"/>
                  <w:vAlign w:val="center"/>
                </w:tcPr>
                <w:p>
                  <w:pPr>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color w:val="auto"/>
                      <w:sz w:val="21"/>
                      <w:szCs w:val="21"/>
                      <w:highlight w:val="none"/>
                      <w:lang w:val="en-US" w:eastAsia="zh-CN"/>
                    </w:rPr>
                    <w:t>151.4</w:t>
                  </w:r>
                </w:p>
              </w:tc>
              <w:tc>
                <w:tcPr>
                  <w:tcW w:w="1102"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967" w:type="dxa"/>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1750" w:type="dxa"/>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当发现环保设施故障时，立即停机进行检查和维修</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对于废气处理系统，一般情况下是开工时先运行废气处理系统，停工时废气处理系统最后停运，因此，在开停工时一般情况下不存在工艺尾气事故排放。对于上述极端情况，一方面要设立自控系统，保证出现事故情况下，立即启动备用系统，如果突然断电，要立即关掉设备，尽量减少废气直接排入大气环境。</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4.</w:t>
            </w:r>
            <w:r>
              <w:rPr>
                <w:rFonts w:hint="eastAsia"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b/>
                <w:bCs/>
                <w:color w:val="auto"/>
                <w:sz w:val="24"/>
                <w:szCs w:val="24"/>
              </w:rPr>
              <w:t>.</w:t>
            </w:r>
            <w:r>
              <w:rPr>
                <w:rFonts w:hint="eastAsia" w:cs="Times New Roman"/>
                <w:b/>
                <w:bCs/>
                <w:color w:val="auto"/>
                <w:sz w:val="24"/>
                <w:szCs w:val="24"/>
                <w:lang w:val="en-US" w:eastAsia="zh-CN"/>
              </w:rPr>
              <w:t>3</w:t>
            </w:r>
            <w:r>
              <w:rPr>
                <w:rFonts w:hint="default" w:ascii="Times New Roman" w:hAnsi="Times New Roman" w:eastAsia="宋体" w:cs="Times New Roman"/>
                <w:b/>
                <w:bCs/>
                <w:color w:val="auto"/>
                <w:sz w:val="24"/>
                <w:szCs w:val="24"/>
              </w:rPr>
              <w:t>大气环境监测计划</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根据《排污单位自行监测技术指南 总则》（HJ819-2017）</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《排污</w:t>
            </w:r>
            <w:r>
              <w:rPr>
                <w:rFonts w:hint="eastAsia" w:cs="Times New Roman"/>
                <w:color w:val="auto"/>
                <w:sz w:val="24"/>
                <w:szCs w:val="24"/>
                <w:lang w:val="en-US" w:eastAsia="zh-CN"/>
              </w:rPr>
              <w:t>许可申请与核发技术规范</w:t>
            </w:r>
            <w:r>
              <w:rPr>
                <w:rFonts w:hint="default" w:ascii="Times New Roman" w:hAnsi="Times New Roman" w:eastAsia="宋体" w:cs="Times New Roman"/>
                <w:color w:val="auto"/>
                <w:sz w:val="24"/>
                <w:szCs w:val="24"/>
              </w:rPr>
              <w:t xml:space="preserve"> </w:t>
            </w:r>
            <w:r>
              <w:rPr>
                <w:rFonts w:hint="eastAsia" w:cs="Times New Roman"/>
                <w:color w:val="auto"/>
                <w:sz w:val="24"/>
                <w:szCs w:val="24"/>
                <w:lang w:val="en-US" w:eastAsia="zh-CN"/>
              </w:rPr>
              <w:t>总则</w:t>
            </w:r>
            <w:r>
              <w:rPr>
                <w:rFonts w:hint="default" w:ascii="Times New Roman" w:hAnsi="Times New Roman" w:eastAsia="宋体" w:cs="Times New Roman"/>
                <w:color w:val="auto"/>
                <w:sz w:val="24"/>
                <w:szCs w:val="24"/>
              </w:rPr>
              <w:t>》（HJ</w:t>
            </w:r>
            <w:r>
              <w:rPr>
                <w:rFonts w:hint="eastAsia" w:cs="Times New Roman"/>
                <w:color w:val="auto"/>
                <w:sz w:val="24"/>
                <w:szCs w:val="24"/>
                <w:lang w:val="en-US" w:eastAsia="zh-CN"/>
              </w:rPr>
              <w:t>942-2018</w:t>
            </w:r>
            <w:r>
              <w:rPr>
                <w:rFonts w:hint="default" w:ascii="Times New Roman" w:hAnsi="Times New Roman" w:eastAsia="宋体" w:cs="Times New Roman"/>
                <w:color w:val="auto"/>
                <w:sz w:val="24"/>
                <w:szCs w:val="24"/>
              </w:rPr>
              <w:t>），本项目</w:t>
            </w:r>
            <w:r>
              <w:rPr>
                <w:rFonts w:hint="default" w:ascii="Times New Roman" w:hAnsi="Times New Roman" w:eastAsia="宋体" w:cs="Times New Roman"/>
                <w:color w:val="auto"/>
                <w:sz w:val="24"/>
                <w:szCs w:val="24"/>
                <w:lang w:val="en-US" w:eastAsia="zh-CN"/>
              </w:rPr>
              <w:t>大气</w:t>
            </w:r>
            <w:r>
              <w:rPr>
                <w:rFonts w:hint="default" w:ascii="Times New Roman" w:hAnsi="Times New Roman" w:eastAsia="宋体" w:cs="Times New Roman"/>
                <w:color w:val="auto"/>
                <w:sz w:val="24"/>
                <w:szCs w:val="24"/>
              </w:rPr>
              <w:t>污染源自行监测计划如下：</w:t>
            </w:r>
          </w:p>
          <w:p>
            <w:pPr>
              <w:pStyle w:val="20"/>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napToGrid w:val="0"/>
                <w:color w:val="auto"/>
                <w:kern w:val="0"/>
                <w:sz w:val="21"/>
                <w:szCs w:val="21"/>
                <w:lang w:val="en-US" w:eastAsia="zh-CN" w:bidi="ar-SA"/>
                <w14:ligatures w14:val="none"/>
              </w:rPr>
            </w:pPr>
            <w:r>
              <w:rPr>
                <w:rFonts w:hint="default" w:ascii="Times New Roman" w:hAnsi="Times New Roman" w:eastAsia="宋体" w:cs="Times New Roman"/>
                <w:b/>
                <w:bCs/>
                <w:snapToGrid w:val="0"/>
                <w:color w:val="auto"/>
                <w:kern w:val="0"/>
                <w:sz w:val="21"/>
                <w:szCs w:val="21"/>
                <w:lang w:val="en-US" w:eastAsia="zh-CN" w:bidi="ar-SA"/>
                <w14:ligatures w14:val="none"/>
              </w:rPr>
              <w:t>表4</w:t>
            </w:r>
            <w:r>
              <w:rPr>
                <w:rFonts w:hint="eastAsia" w:ascii="Times New Roman" w:hAnsi="Times New Roman" w:eastAsia="宋体" w:cs="Times New Roman"/>
                <w:b/>
                <w:bCs/>
                <w:snapToGrid w:val="0"/>
                <w:color w:val="auto"/>
                <w:kern w:val="0"/>
                <w:sz w:val="21"/>
                <w:szCs w:val="21"/>
                <w:lang w:val="en-US" w:eastAsia="zh-CN" w:bidi="ar-SA"/>
                <w14:ligatures w14:val="none"/>
              </w:rPr>
              <w:t>.7</w:t>
            </w:r>
            <w:r>
              <w:rPr>
                <w:rFonts w:hint="default" w:ascii="Times New Roman" w:hAnsi="Times New Roman" w:eastAsia="宋体" w:cs="Times New Roman"/>
                <w:b/>
                <w:bCs/>
                <w:snapToGrid w:val="0"/>
                <w:color w:val="auto"/>
                <w:kern w:val="0"/>
                <w:sz w:val="21"/>
                <w:szCs w:val="21"/>
                <w:lang w:val="en-US" w:eastAsia="zh-CN" w:bidi="ar-SA"/>
                <w14:ligatures w14:val="none"/>
              </w:rPr>
              <w:t>-</w:t>
            </w:r>
            <w:r>
              <w:rPr>
                <w:rFonts w:hint="eastAsia" w:cs="Times New Roman"/>
                <w:b/>
                <w:bCs/>
                <w:snapToGrid w:val="0"/>
                <w:color w:val="auto"/>
                <w:kern w:val="0"/>
                <w:sz w:val="21"/>
                <w:szCs w:val="21"/>
                <w:lang w:val="en-US" w:eastAsia="zh-CN" w:bidi="ar-SA"/>
                <w14:ligatures w14:val="none"/>
              </w:rPr>
              <w:t>6</w:t>
            </w:r>
            <w:r>
              <w:rPr>
                <w:rFonts w:hint="default" w:ascii="Times New Roman" w:hAnsi="Times New Roman" w:eastAsia="宋体" w:cs="Times New Roman"/>
                <w:b/>
                <w:bCs/>
                <w:snapToGrid w:val="0"/>
                <w:color w:val="auto"/>
                <w:kern w:val="0"/>
                <w:sz w:val="21"/>
                <w:szCs w:val="21"/>
                <w:lang w:val="en-US" w:eastAsia="zh-CN" w:bidi="ar-SA"/>
                <w14:ligatures w14:val="none"/>
              </w:rPr>
              <w:t xml:space="preserve">  </w:t>
            </w:r>
            <w:r>
              <w:rPr>
                <w:rFonts w:hint="eastAsia" w:ascii="Times New Roman" w:hAnsi="Times New Roman" w:eastAsia="宋体" w:cs="Times New Roman"/>
                <w:b/>
                <w:bCs/>
                <w:snapToGrid w:val="0"/>
                <w:color w:val="auto"/>
                <w:kern w:val="0"/>
                <w:sz w:val="21"/>
                <w:szCs w:val="21"/>
                <w:lang w:val="en-US" w:eastAsia="zh-CN" w:bidi="ar-SA"/>
                <w14:ligatures w14:val="none"/>
              </w:rPr>
              <w:t xml:space="preserve"> </w:t>
            </w:r>
            <w:r>
              <w:rPr>
                <w:rFonts w:hint="default" w:ascii="Times New Roman" w:hAnsi="Times New Roman" w:eastAsia="宋体" w:cs="Times New Roman"/>
                <w:b/>
                <w:bCs/>
                <w:snapToGrid w:val="0"/>
                <w:color w:val="auto"/>
                <w:kern w:val="0"/>
                <w:sz w:val="21"/>
                <w:szCs w:val="21"/>
                <w:lang w:val="en-US" w:eastAsia="zh-CN" w:bidi="ar-SA"/>
                <w14:ligatures w14:val="none"/>
              </w:rPr>
              <w:t>运营期大气监测计划</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476"/>
              <w:gridCol w:w="984"/>
              <w:gridCol w:w="1092"/>
              <w:gridCol w:w="31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148" w:type="dxa"/>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监测项目</w:t>
                  </w:r>
                </w:p>
              </w:tc>
              <w:tc>
                <w:tcPr>
                  <w:tcW w:w="1476" w:type="dxa"/>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监测点位</w:t>
                  </w:r>
                </w:p>
              </w:tc>
              <w:tc>
                <w:tcPr>
                  <w:tcW w:w="984" w:type="dxa"/>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监测指标</w:t>
                  </w:r>
                </w:p>
              </w:tc>
              <w:tc>
                <w:tcPr>
                  <w:tcW w:w="1092" w:type="dxa"/>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监测频次</w:t>
                  </w:r>
                </w:p>
              </w:tc>
              <w:tc>
                <w:tcPr>
                  <w:tcW w:w="3139" w:type="dxa"/>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执行排放标准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148" w:type="dxa"/>
                  <w:vMerge w:val="restart"/>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无组织废气</w:t>
                  </w:r>
                </w:p>
              </w:tc>
              <w:tc>
                <w:tcPr>
                  <w:tcW w:w="1476"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厂区上风向</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厂界外</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0m（1</w:t>
                  </w:r>
                </w:p>
                <w:p>
                  <w:pPr>
                    <w:adjustRightInd w:val="0"/>
                    <w:snapToGrid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个参照点）</w:t>
                  </w:r>
                </w:p>
              </w:tc>
              <w:tc>
                <w:tcPr>
                  <w:tcW w:w="984" w:type="dxa"/>
                  <w:vMerge w:val="restart"/>
                  <w:tcBorders>
                    <w:tl2br w:val="nil"/>
                    <w:tr2bl w:val="nil"/>
                  </w:tcBorders>
                  <w:noWrap w:val="0"/>
                  <w:tcMar>
                    <w:left w:w="0" w:type="dxa"/>
                    <w:right w:w="0" w:type="dxa"/>
                  </w:tcMar>
                  <w:vAlign w:val="center"/>
                </w:tcPr>
                <w:p>
                  <w:pPr>
                    <w:pStyle w:val="35"/>
                    <w:spacing w:beforeLines="0" w:afterLines="0" w:line="240" w:lineRule="auto"/>
                    <w:ind w:left="0" w:leftChars="0" w:firstLine="0" w:firstLineChars="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颗粒物</w:t>
                  </w:r>
                  <w:r>
                    <w:rPr>
                      <w:rFonts w:hint="eastAsia" w:ascii="Times New Roman" w:hAnsi="Times New Roman" w:eastAsia="宋体" w:cs="Times New Roman"/>
                      <w:color w:val="auto"/>
                      <w:sz w:val="21"/>
                      <w:szCs w:val="21"/>
                      <w:highlight w:val="none"/>
                      <w:lang w:eastAsia="zh-CN"/>
                    </w:rPr>
                    <w:t>、</w:t>
                  </w:r>
                  <w:r>
                    <w:rPr>
                      <w:rFonts w:hint="eastAsia"/>
                      <w:lang w:val="en-US" w:eastAsia="zh-CN"/>
                    </w:rPr>
                    <w:t>臭气浓度</w:t>
                  </w:r>
                </w:p>
              </w:tc>
              <w:tc>
                <w:tcPr>
                  <w:tcW w:w="1092" w:type="dxa"/>
                  <w:vMerge w:val="restart"/>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1次/</w:t>
                  </w:r>
                  <w:r>
                    <w:rPr>
                      <w:rFonts w:hint="eastAsia" w:cs="Times New Roman"/>
                      <w:color w:val="auto"/>
                      <w:sz w:val="21"/>
                      <w:szCs w:val="21"/>
                      <w:highlight w:val="none"/>
                      <w:lang w:val="en-US" w:eastAsia="zh-CN"/>
                    </w:rPr>
                    <w:t>半年</w:t>
                  </w:r>
                </w:p>
              </w:tc>
              <w:tc>
                <w:tcPr>
                  <w:tcW w:w="3139" w:type="dxa"/>
                  <w:vMerge w:val="restart"/>
                  <w:tcBorders>
                    <w:tl2br w:val="nil"/>
                    <w:tr2bl w:val="nil"/>
                  </w:tcBorders>
                  <w:noWrap w:val="0"/>
                  <w:tcMar>
                    <w:left w:w="0" w:type="dxa"/>
                    <w:right w:w="0" w:type="dxa"/>
                  </w:tcMar>
                  <w:vAlign w:val="center"/>
                </w:tcPr>
                <w:p>
                  <w:pPr>
                    <w:adjustRightInd w:val="0"/>
                    <w:snapToGrid w:val="0"/>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《大气污染物综合排放标准》</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GB16297-1996</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表2标准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148" w:type="dxa"/>
                  <w:vMerge w:val="continue"/>
                  <w:tcBorders>
                    <w:tl2br w:val="nil"/>
                    <w:tr2bl w:val="nil"/>
                  </w:tcBorders>
                  <w:noWrap w:val="0"/>
                  <w:tcMar>
                    <w:left w:w="0" w:type="dxa"/>
                    <w:right w:w="0" w:type="dxa"/>
                  </w:tcMar>
                  <w:vAlign w:val="center"/>
                </w:tcPr>
                <w:p>
                  <w:pPr>
                    <w:adjustRightInd w:val="0"/>
                    <w:snapToGrid w:val="0"/>
                    <w:spacing w:line="240" w:lineRule="auto"/>
                    <w:jc w:val="center"/>
                  </w:pPr>
                </w:p>
              </w:tc>
              <w:tc>
                <w:tcPr>
                  <w:tcW w:w="1476"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厂区下风向</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10m（3个监控</w:t>
                  </w:r>
                </w:p>
                <w:p>
                  <w:pPr>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点）</w:t>
                  </w:r>
                </w:p>
              </w:tc>
              <w:tc>
                <w:tcPr>
                  <w:tcW w:w="984" w:type="dxa"/>
                  <w:vMerge w:val="continue"/>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1092" w:type="dxa"/>
                  <w:vMerge w:val="continue"/>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3139" w:type="dxa"/>
                  <w:vMerge w:val="continue"/>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148" w:type="dxa"/>
                  <w:tcBorders>
                    <w:tl2br w:val="nil"/>
                    <w:tr2bl w:val="nil"/>
                  </w:tcBorders>
                  <w:shd w:val="clear" w:color="auto" w:fill="auto"/>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color w:val="auto"/>
                      <w:sz w:val="21"/>
                      <w:szCs w:val="21"/>
                      <w:highlight w:val="none"/>
                      <w:lang w:val="en-US" w:eastAsia="zh-CN"/>
                    </w:rPr>
                    <w:t>有组织</w:t>
                  </w:r>
                </w:p>
              </w:tc>
              <w:tc>
                <w:tcPr>
                  <w:tcW w:w="1476" w:type="dxa"/>
                  <w:tcBorders>
                    <w:tl2br w:val="nil"/>
                    <w:tr2bl w:val="nil"/>
                  </w:tcBorders>
                  <w:shd w:val="clear" w:color="auto" w:fill="auto"/>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color w:val="auto"/>
                      <w:sz w:val="21"/>
                      <w:szCs w:val="21"/>
                      <w:highlight w:val="none"/>
                      <w:lang w:val="en-US" w:eastAsia="zh-CN"/>
                    </w:rPr>
                    <w:t>DA001</w:t>
                  </w:r>
                </w:p>
              </w:tc>
              <w:tc>
                <w:tcPr>
                  <w:tcW w:w="984" w:type="dxa"/>
                  <w:tcBorders>
                    <w:tl2br w:val="nil"/>
                    <w:tr2bl w:val="nil"/>
                  </w:tcBorders>
                  <w:shd w:val="clear" w:color="auto" w:fill="auto"/>
                  <w:noWrap w:val="0"/>
                  <w:tcMar>
                    <w:left w:w="0" w:type="dxa"/>
                    <w:right w:w="0" w:type="dxa"/>
                  </w:tcMar>
                  <w:vAlign w:val="center"/>
                </w:tcPr>
                <w:p>
                  <w:pPr>
                    <w:pStyle w:val="35"/>
                    <w:spacing w:beforeLines="0" w:afterLines="0" w:line="240" w:lineRule="auto"/>
                    <w:ind w:left="0" w:leftChars="0" w:firstLine="0" w:firstLineChars="0"/>
                    <w:jc w:val="center"/>
                    <w:rPr>
                      <w:rFonts w:hint="eastAsia" w:ascii="Times New Roman" w:hAnsi="Times New Roman" w:eastAsia="宋体" w:cs="Times New Roman"/>
                      <w:snapToGrid/>
                      <w:color w:val="auto"/>
                      <w:kern w:val="2"/>
                      <w:sz w:val="21"/>
                      <w:szCs w:val="21"/>
                      <w:highlight w:val="none"/>
                      <w:lang w:val="en-US" w:eastAsia="zh-CN" w:bidi="ar-SA"/>
                      <w14:ligatures w14:val="standardContextual"/>
                    </w:rPr>
                  </w:pPr>
                  <w:r>
                    <w:rPr>
                      <w:rFonts w:hint="default" w:ascii="Times New Roman" w:hAnsi="Times New Roman" w:eastAsia="宋体" w:cs="Times New Roman"/>
                      <w:color w:val="auto"/>
                      <w:sz w:val="21"/>
                      <w:szCs w:val="21"/>
                      <w:highlight w:val="none"/>
                    </w:rPr>
                    <w:t>颗粒物</w:t>
                  </w:r>
                  <w:r>
                    <w:rPr>
                      <w:rFonts w:hint="eastAsia" w:ascii="Times New Roman" w:hAnsi="Times New Roman" w:eastAsia="宋体" w:cs="Times New Roman"/>
                      <w:color w:val="auto"/>
                      <w:sz w:val="21"/>
                      <w:szCs w:val="21"/>
                      <w:highlight w:val="none"/>
                      <w:lang w:eastAsia="zh-CN"/>
                    </w:rPr>
                    <w:t>、</w:t>
                  </w:r>
                  <w:r>
                    <w:rPr>
                      <w:rFonts w:hint="eastAsia"/>
                      <w:lang w:val="en-US" w:eastAsia="zh-CN"/>
                    </w:rPr>
                    <w:t>臭气浓度</w:t>
                  </w:r>
                </w:p>
              </w:tc>
              <w:tc>
                <w:tcPr>
                  <w:tcW w:w="1092" w:type="dxa"/>
                  <w:tcBorders>
                    <w:tl2br w:val="nil"/>
                    <w:tr2bl w:val="nil"/>
                  </w:tcBorders>
                  <w:shd w:val="clear" w:color="auto" w:fill="auto"/>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color w:val="auto"/>
                      <w:sz w:val="21"/>
                      <w:szCs w:val="21"/>
                      <w:highlight w:val="none"/>
                      <w:lang w:val="en-US" w:eastAsia="zh-CN"/>
                    </w:rPr>
                    <w:t>1次/</w:t>
                  </w:r>
                  <w:r>
                    <w:rPr>
                      <w:rFonts w:hint="eastAsia" w:cs="Times New Roman"/>
                      <w:color w:val="auto"/>
                      <w:sz w:val="21"/>
                      <w:szCs w:val="21"/>
                      <w:highlight w:val="none"/>
                      <w:lang w:val="en-US" w:eastAsia="zh-CN"/>
                    </w:rPr>
                    <w:t>半年</w:t>
                  </w:r>
                </w:p>
              </w:tc>
              <w:tc>
                <w:tcPr>
                  <w:tcW w:w="3139" w:type="dxa"/>
                  <w:tcBorders>
                    <w:tl2br w:val="nil"/>
                    <w:tr2bl w:val="nil"/>
                  </w:tcBorders>
                  <w:shd w:val="clear" w:color="auto" w:fill="auto"/>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color w:val="auto"/>
                      <w:sz w:val="21"/>
                      <w:szCs w:val="21"/>
                    </w:rPr>
                    <w:t>《大气污染物综合排放标准》（GB16297-1996）</w:t>
                  </w:r>
                  <w:r>
                    <w:rPr>
                      <w:rFonts w:hint="eastAsia" w:cs="Times New Roman"/>
                      <w:color w:val="auto"/>
                      <w:sz w:val="21"/>
                      <w:szCs w:val="21"/>
                      <w:lang w:val="en-US" w:eastAsia="zh-CN"/>
                    </w:rPr>
                    <w:t>表2</w:t>
                  </w:r>
                  <w:r>
                    <w:rPr>
                      <w:rFonts w:hint="default" w:ascii="Times New Roman" w:hAnsi="Times New Roman" w:eastAsia="宋体" w:cs="Times New Roman"/>
                      <w:color w:val="auto"/>
                      <w:sz w:val="21"/>
                      <w:szCs w:val="21"/>
                      <w:highlight w:val="none"/>
                    </w:rPr>
                    <w:t>中二级标准限值</w:t>
                  </w:r>
                </w:p>
              </w:tc>
            </w:tr>
          </w:tbl>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4.</w:t>
            </w:r>
            <w:r>
              <w:rPr>
                <w:rFonts w:hint="eastAsia" w:ascii="Times New Roman" w:hAnsi="Times New Roman" w:eastAsia="宋体" w:cs="Times New Roman"/>
                <w:b/>
                <w:bCs/>
                <w:color w:val="auto"/>
                <w:lang w:val="en-US" w:eastAsia="zh-CN"/>
              </w:rPr>
              <w:t>8</w:t>
            </w:r>
            <w:r>
              <w:rPr>
                <w:rFonts w:hint="default" w:ascii="Times New Roman" w:hAnsi="Times New Roman" w:eastAsia="宋体" w:cs="Times New Roman"/>
                <w:b/>
                <w:bCs/>
                <w:color w:val="auto"/>
              </w:rPr>
              <w:t>水环境影响分析及保护措施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员工不在厂区内食宿，无生活污水</w:t>
            </w:r>
            <w:r>
              <w:rPr>
                <w:rFonts w:hint="eastAsia" w:cs="Times New Roman"/>
                <w:color w:val="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color w:val="auto"/>
              </w:rPr>
            </w:pPr>
            <w:r>
              <w:rPr>
                <w:rFonts w:hint="default" w:ascii="Times New Roman" w:hAnsi="Times New Roman" w:eastAsia="宋体" w:cs="Times New Roman"/>
                <w:b/>
                <w:color w:val="auto"/>
              </w:rPr>
              <w:t>4.</w:t>
            </w:r>
            <w:r>
              <w:rPr>
                <w:rFonts w:hint="eastAsia" w:ascii="Times New Roman" w:hAnsi="Times New Roman" w:eastAsia="宋体" w:cs="Times New Roman"/>
                <w:b/>
                <w:color w:val="auto"/>
                <w:lang w:val="en-US" w:eastAsia="zh-CN"/>
              </w:rPr>
              <w:t>9</w:t>
            </w:r>
            <w:r>
              <w:rPr>
                <w:rFonts w:hint="default" w:ascii="Times New Roman" w:hAnsi="Times New Roman" w:eastAsia="宋体" w:cs="Times New Roman"/>
                <w:b/>
                <w:color w:val="auto"/>
              </w:rPr>
              <w:t>声环境影响及保护措施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（1）噪声源强及降噪措施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本项目营运期噪声主要来源于</w:t>
            </w:r>
            <w:r>
              <w:rPr>
                <w:rFonts w:hint="eastAsia" w:cs="Times New Roman"/>
                <w:color w:val="auto"/>
                <w:lang w:val="en-US" w:eastAsia="zh-CN"/>
              </w:rPr>
              <w:t>运输车辆</w:t>
            </w:r>
            <w:r>
              <w:rPr>
                <w:rFonts w:hint="default" w:ascii="Times New Roman" w:hAnsi="Times New Roman" w:eastAsia="宋体" w:cs="Times New Roman"/>
                <w:color w:val="auto"/>
                <w:lang w:val="en-US" w:eastAsia="zh-CN"/>
              </w:rPr>
              <w:t>、磨粉机、振动筛、搅拌缸</w:t>
            </w:r>
            <w:r>
              <w:rPr>
                <w:rFonts w:hint="default" w:ascii="Times New Roman" w:hAnsi="Times New Roman" w:eastAsia="宋体" w:cs="Times New Roman"/>
                <w:color w:val="auto"/>
              </w:rPr>
              <w:t>等机械设备，其噪声值在</w:t>
            </w:r>
            <w:r>
              <w:rPr>
                <w:rFonts w:hint="eastAsia" w:cs="Times New Roman"/>
                <w:color w:val="auto"/>
                <w:lang w:val="en-US" w:eastAsia="zh-CN"/>
              </w:rPr>
              <w:t>60</w:t>
            </w:r>
            <w:r>
              <w:rPr>
                <w:rFonts w:hint="default" w:ascii="Times New Roman" w:hAnsi="Times New Roman" w:eastAsia="宋体" w:cs="Times New Roman"/>
                <w:color w:val="auto"/>
              </w:rPr>
              <w:t>~</w:t>
            </w:r>
            <w:r>
              <w:rPr>
                <w:rFonts w:hint="default" w:ascii="Times New Roman" w:hAnsi="Times New Roman" w:eastAsia="宋体" w:cs="Times New Roman"/>
                <w:color w:val="auto"/>
                <w:lang w:val="en-US" w:eastAsia="zh-CN"/>
              </w:rPr>
              <w:t>8</w:t>
            </w:r>
            <w:r>
              <w:rPr>
                <w:rFonts w:hint="eastAsia" w:cs="Times New Roman"/>
                <w:color w:val="auto"/>
                <w:lang w:val="en-US" w:eastAsia="zh-CN"/>
              </w:rPr>
              <w:t>8</w:t>
            </w:r>
            <w:r>
              <w:rPr>
                <w:rFonts w:hint="default" w:ascii="Times New Roman" w:hAnsi="Times New Roman" w:eastAsia="宋体" w:cs="Times New Roman"/>
                <w:color w:val="auto"/>
              </w:rPr>
              <w:t>dB之间。</w:t>
            </w:r>
          </w:p>
          <w:p>
            <w:pPr>
              <w:pStyle w:val="20"/>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napToGrid w:val="0"/>
                <w:color w:val="auto"/>
                <w:kern w:val="0"/>
                <w:sz w:val="21"/>
                <w:szCs w:val="21"/>
                <w:lang w:val="en-US" w:eastAsia="zh-CN" w:bidi="ar-SA"/>
                <w14:ligatures w14:val="none"/>
              </w:rPr>
            </w:pPr>
            <w:r>
              <w:rPr>
                <w:rFonts w:hint="default" w:ascii="Times New Roman" w:hAnsi="Times New Roman" w:eastAsia="宋体" w:cs="Times New Roman"/>
                <w:b/>
                <w:bCs/>
                <w:snapToGrid w:val="0"/>
                <w:color w:val="auto"/>
                <w:kern w:val="0"/>
                <w:sz w:val="21"/>
                <w:szCs w:val="21"/>
                <w:lang w:val="en-US" w:eastAsia="zh-CN" w:bidi="ar-SA"/>
                <w14:ligatures w14:val="none"/>
              </w:rPr>
              <w:t>表4</w:t>
            </w:r>
            <w:r>
              <w:rPr>
                <w:rFonts w:hint="eastAsia" w:ascii="Times New Roman" w:hAnsi="Times New Roman" w:eastAsia="宋体" w:cs="Times New Roman"/>
                <w:b/>
                <w:bCs/>
                <w:snapToGrid w:val="0"/>
                <w:color w:val="auto"/>
                <w:kern w:val="0"/>
                <w:sz w:val="21"/>
                <w:szCs w:val="21"/>
                <w:lang w:val="en-US" w:eastAsia="zh-CN" w:bidi="ar-SA"/>
                <w14:ligatures w14:val="none"/>
              </w:rPr>
              <w:t>.9</w:t>
            </w:r>
            <w:r>
              <w:rPr>
                <w:rFonts w:hint="default" w:ascii="Times New Roman" w:hAnsi="Times New Roman" w:eastAsia="宋体" w:cs="Times New Roman"/>
                <w:b/>
                <w:bCs/>
                <w:snapToGrid w:val="0"/>
                <w:color w:val="auto"/>
                <w:kern w:val="0"/>
                <w:sz w:val="21"/>
                <w:szCs w:val="21"/>
                <w:lang w:val="en-US" w:eastAsia="zh-CN" w:bidi="ar-SA"/>
                <w14:ligatures w14:val="none"/>
              </w:rPr>
              <w:t>-</w:t>
            </w:r>
            <w:r>
              <w:rPr>
                <w:rFonts w:hint="eastAsia" w:ascii="Times New Roman" w:hAnsi="Times New Roman" w:eastAsia="宋体" w:cs="Times New Roman"/>
                <w:b/>
                <w:bCs/>
                <w:snapToGrid w:val="0"/>
                <w:color w:val="auto"/>
                <w:kern w:val="0"/>
                <w:sz w:val="21"/>
                <w:szCs w:val="21"/>
                <w:lang w:val="en-US" w:eastAsia="zh-CN" w:bidi="ar-SA"/>
                <w14:ligatures w14:val="none"/>
              </w:rPr>
              <w:t>1</w:t>
            </w:r>
            <w:r>
              <w:rPr>
                <w:rFonts w:hint="default" w:ascii="Times New Roman" w:hAnsi="Times New Roman" w:eastAsia="宋体" w:cs="Times New Roman"/>
                <w:b/>
                <w:bCs/>
                <w:snapToGrid w:val="0"/>
                <w:color w:val="auto"/>
                <w:kern w:val="0"/>
                <w:sz w:val="21"/>
                <w:szCs w:val="21"/>
                <w:lang w:val="en-US" w:eastAsia="zh-CN" w:bidi="ar-SA"/>
                <w14:ligatures w14:val="none"/>
              </w:rPr>
              <w:t xml:space="preserve">  </w:t>
            </w:r>
            <w:r>
              <w:rPr>
                <w:rFonts w:hint="eastAsia" w:ascii="Times New Roman" w:hAnsi="Times New Roman" w:eastAsia="宋体" w:cs="Times New Roman"/>
                <w:b/>
                <w:bCs/>
                <w:snapToGrid w:val="0"/>
                <w:color w:val="auto"/>
                <w:kern w:val="0"/>
                <w:sz w:val="21"/>
                <w:szCs w:val="21"/>
                <w:lang w:val="en-US" w:eastAsia="zh-CN" w:bidi="ar-SA"/>
                <w14:ligatures w14:val="none"/>
              </w:rPr>
              <w:t xml:space="preserve"> 室外</w:t>
            </w:r>
            <w:r>
              <w:rPr>
                <w:rFonts w:hint="default" w:ascii="Times New Roman" w:hAnsi="Times New Roman" w:eastAsia="宋体" w:cs="Times New Roman"/>
                <w:b/>
                <w:bCs/>
                <w:snapToGrid w:val="0"/>
                <w:color w:val="auto"/>
                <w:kern w:val="0"/>
                <w:sz w:val="21"/>
                <w:szCs w:val="21"/>
                <w:lang w:val="en-US" w:eastAsia="zh-CN" w:bidi="ar-SA"/>
                <w14:ligatures w14:val="none"/>
              </w:rPr>
              <w:t>主要噪声设备源强一览表</w:t>
            </w:r>
          </w:p>
          <w:tbl>
            <w:tblPr>
              <w:tblStyle w:val="26"/>
              <w:tblW w:w="4994" w:type="pct"/>
              <w:tblInd w:w="-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217"/>
              <w:gridCol w:w="657"/>
              <w:gridCol w:w="578"/>
              <w:gridCol w:w="823"/>
              <w:gridCol w:w="758"/>
              <w:gridCol w:w="591"/>
              <w:gridCol w:w="720"/>
              <w:gridCol w:w="557"/>
              <w:gridCol w:w="671"/>
              <w:gridCol w:w="7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51" w:type="pct"/>
                  <w:vMerge w:val="restart"/>
                  <w:tcBorders>
                    <w:tl2br w:val="nil"/>
                    <w:tr2bl w:val="nil"/>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序号</w:t>
                  </w:r>
                </w:p>
              </w:tc>
              <w:tc>
                <w:tcPr>
                  <w:tcW w:w="777" w:type="pct"/>
                  <w:vMerge w:val="restart"/>
                  <w:tcBorders>
                    <w:tl2br w:val="nil"/>
                    <w:tr2bl w:val="nil"/>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施工机械</w:t>
                  </w:r>
                </w:p>
              </w:tc>
              <w:tc>
                <w:tcPr>
                  <w:tcW w:w="3871" w:type="pct"/>
                  <w:gridSpan w:val="9"/>
                  <w:tcBorders>
                    <w:tl2br w:val="nil"/>
                    <w:tr2bl w:val="nil"/>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离施工现场噪声源距离(m)        dB(A)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51" w:type="pct"/>
                  <w:vMerge w:val="continue"/>
                  <w:tcBorders>
                    <w:tl2br w:val="nil"/>
                    <w:tr2bl w:val="nil"/>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highlight w:val="none"/>
                    </w:rPr>
                  </w:pPr>
                </w:p>
              </w:tc>
              <w:tc>
                <w:tcPr>
                  <w:tcW w:w="777" w:type="pct"/>
                  <w:vMerge w:val="continue"/>
                  <w:tcBorders>
                    <w:tl2br w:val="nil"/>
                    <w:tr2bl w:val="nil"/>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highlight w:val="none"/>
                    </w:rPr>
                  </w:pPr>
                </w:p>
              </w:tc>
              <w:tc>
                <w:tcPr>
                  <w:tcW w:w="419" w:type="pct"/>
                  <w:tcBorders>
                    <w:tl2br w:val="nil"/>
                    <w:tr2bl w:val="nil"/>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1</w:t>
                  </w:r>
                </w:p>
              </w:tc>
              <w:tc>
                <w:tcPr>
                  <w:tcW w:w="369" w:type="pct"/>
                  <w:tcBorders>
                    <w:tl2br w:val="nil"/>
                    <w:tr2bl w:val="nil"/>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10</w:t>
                  </w:r>
                </w:p>
              </w:tc>
              <w:tc>
                <w:tcPr>
                  <w:tcW w:w="525" w:type="pct"/>
                  <w:tcBorders>
                    <w:tl2br w:val="nil"/>
                    <w:tr2bl w:val="nil"/>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20</w:t>
                  </w:r>
                </w:p>
              </w:tc>
              <w:tc>
                <w:tcPr>
                  <w:tcW w:w="483" w:type="pct"/>
                  <w:tcBorders>
                    <w:tl2br w:val="nil"/>
                    <w:tr2bl w:val="nil"/>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30</w:t>
                  </w:r>
                </w:p>
              </w:tc>
              <w:tc>
                <w:tcPr>
                  <w:tcW w:w="377" w:type="pct"/>
                  <w:tcBorders>
                    <w:tl2br w:val="nil"/>
                    <w:tr2bl w:val="nil"/>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40</w:t>
                  </w:r>
                </w:p>
              </w:tc>
              <w:tc>
                <w:tcPr>
                  <w:tcW w:w="459" w:type="pct"/>
                  <w:tcBorders>
                    <w:tl2br w:val="nil"/>
                    <w:tr2bl w:val="nil"/>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50</w:t>
                  </w:r>
                </w:p>
              </w:tc>
              <w:tc>
                <w:tcPr>
                  <w:tcW w:w="355" w:type="pct"/>
                  <w:tcBorders>
                    <w:tl2br w:val="nil"/>
                    <w:tr2bl w:val="nil"/>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100</w:t>
                  </w:r>
                </w:p>
              </w:tc>
              <w:tc>
                <w:tcPr>
                  <w:tcW w:w="428" w:type="pct"/>
                  <w:tcBorders>
                    <w:tl2br w:val="nil"/>
                    <w:tr2bl w:val="nil"/>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150</w:t>
                  </w:r>
                </w:p>
              </w:tc>
              <w:tc>
                <w:tcPr>
                  <w:tcW w:w="452" w:type="pct"/>
                  <w:tcBorders>
                    <w:tl2br w:val="nil"/>
                    <w:tr2bl w:val="nil"/>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1" w:type="pct"/>
                  <w:tcBorders>
                    <w:tl2br w:val="nil"/>
                    <w:tr2bl w:val="nil"/>
                  </w:tcBorders>
                  <w:noWrap w:val="0"/>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w:t>
                  </w:r>
                </w:p>
              </w:tc>
              <w:tc>
                <w:tcPr>
                  <w:tcW w:w="777" w:type="pct"/>
                  <w:tcBorders>
                    <w:tl2br w:val="nil"/>
                    <w:tr2bl w:val="nil"/>
                  </w:tcBorders>
                  <w:noWrap w:val="0"/>
                  <w:tcMar>
                    <w:left w:w="0" w:type="dxa"/>
                    <w:right w:w="0" w:type="dxa"/>
                  </w:tcMar>
                  <w:vAlign w:val="center"/>
                </w:tcPr>
                <w:p>
                  <w:pPr>
                    <w:keepNext w:val="0"/>
                    <w:keepLines w:val="0"/>
                    <w:pageBreakBefore w:val="0"/>
                    <w:widowControl/>
                    <w:suppressLineNumbers w:val="0"/>
                    <w:kinsoku/>
                    <w:wordWrap/>
                    <w:overflowPunct/>
                    <w:topLinePunct w:val="0"/>
                    <w:bidi w:val="0"/>
                    <w:snapToGrid/>
                    <w:spacing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yellow"/>
                      <w:lang w:val="en-US" w:eastAsia="zh-CN"/>
                    </w:rPr>
                  </w:pPr>
                  <w:r>
                    <w:rPr>
                      <w:rFonts w:hint="eastAsia" w:ascii="Times New Roman" w:hAnsi="Times New Roman" w:eastAsia="宋体" w:cs="Times New Roman"/>
                      <w:color w:val="auto"/>
                      <w:kern w:val="0"/>
                      <w:sz w:val="21"/>
                      <w:szCs w:val="21"/>
                      <w:highlight w:val="none"/>
                      <w:lang w:val="en-US" w:eastAsia="zh-CN"/>
                    </w:rPr>
                    <w:t>自卸汽车</w:t>
                  </w:r>
                </w:p>
              </w:tc>
              <w:tc>
                <w:tcPr>
                  <w:tcW w:w="419" w:type="pct"/>
                  <w:tcBorders>
                    <w:tl2br w:val="nil"/>
                    <w:tr2bl w:val="nil"/>
                  </w:tcBorders>
                  <w:noWrap w:val="0"/>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80</w:t>
                  </w:r>
                </w:p>
              </w:tc>
              <w:tc>
                <w:tcPr>
                  <w:tcW w:w="369" w:type="pct"/>
                  <w:tcBorders>
                    <w:tl2br w:val="nil"/>
                    <w:tr2bl w:val="nil"/>
                  </w:tcBorders>
                  <w:noWrap w:val="0"/>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52</w:t>
                  </w:r>
                </w:p>
              </w:tc>
              <w:tc>
                <w:tcPr>
                  <w:tcW w:w="525" w:type="pct"/>
                  <w:tcBorders>
                    <w:tl2br w:val="nil"/>
                    <w:tr2bl w:val="nil"/>
                  </w:tcBorders>
                  <w:noWrap w:val="0"/>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45.9</w:t>
                  </w:r>
                </w:p>
              </w:tc>
              <w:tc>
                <w:tcPr>
                  <w:tcW w:w="483" w:type="pct"/>
                  <w:tcBorders>
                    <w:tl2br w:val="nil"/>
                    <w:tr2bl w:val="nil"/>
                  </w:tcBorders>
                  <w:noWrap w:val="0"/>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42.4</w:t>
                  </w:r>
                </w:p>
              </w:tc>
              <w:tc>
                <w:tcPr>
                  <w:tcW w:w="377" w:type="pct"/>
                  <w:tcBorders>
                    <w:tl2br w:val="nil"/>
                    <w:tr2bl w:val="nil"/>
                  </w:tcBorders>
                  <w:noWrap w:val="0"/>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39.9</w:t>
                  </w:r>
                </w:p>
              </w:tc>
              <w:tc>
                <w:tcPr>
                  <w:tcW w:w="459" w:type="pct"/>
                  <w:tcBorders>
                    <w:tl2br w:val="nil"/>
                    <w:tr2bl w:val="nil"/>
                  </w:tcBorders>
                  <w:noWrap w:val="0"/>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38</w:t>
                  </w:r>
                </w:p>
              </w:tc>
              <w:tc>
                <w:tcPr>
                  <w:tcW w:w="355" w:type="pct"/>
                  <w:tcBorders>
                    <w:tl2br w:val="nil"/>
                    <w:tr2bl w:val="nil"/>
                  </w:tcBorders>
                  <w:noWrap w:val="0"/>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32</w:t>
                  </w:r>
                </w:p>
              </w:tc>
              <w:tc>
                <w:tcPr>
                  <w:tcW w:w="428" w:type="pct"/>
                  <w:tcBorders>
                    <w:tl2br w:val="nil"/>
                    <w:tr2bl w:val="nil"/>
                  </w:tcBorders>
                  <w:noWrap w:val="0"/>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28.4</w:t>
                  </w:r>
                </w:p>
              </w:tc>
              <w:tc>
                <w:tcPr>
                  <w:tcW w:w="452" w:type="pct"/>
                  <w:tcBorders>
                    <w:tl2br w:val="nil"/>
                    <w:tr2bl w:val="nil"/>
                  </w:tcBorders>
                  <w:noWrap w:val="0"/>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25.9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11"/>
                  <w:tcBorders>
                    <w:tl2br w:val="nil"/>
                    <w:tr2bl w:val="nil"/>
                  </w:tcBorders>
                  <w:noWrap w:val="0"/>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both"/>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b w:val="0"/>
                      <w:bCs w:val="0"/>
                      <w:color w:val="auto"/>
                      <w:sz w:val="21"/>
                      <w:szCs w:val="21"/>
                      <w:highlight w:val="none"/>
                    </w:rPr>
                    <w:t>注：按《建筑施工噪声排放标准》（GB12523-20</w:t>
                  </w:r>
                  <w:r>
                    <w:rPr>
                      <w:rFonts w:hint="eastAsia" w:cs="Times New Roman"/>
                      <w:b w:val="0"/>
                      <w:bCs w:val="0"/>
                      <w:color w:val="auto"/>
                      <w:sz w:val="21"/>
                      <w:szCs w:val="21"/>
                      <w:highlight w:val="none"/>
                      <w:lang w:val="en-US" w:eastAsia="zh-CN"/>
                    </w:rPr>
                    <w:t>25</w:t>
                  </w:r>
                  <w:r>
                    <w:rPr>
                      <w:rFonts w:hint="default" w:ascii="Times New Roman" w:hAnsi="Times New Roman" w:eastAsia="宋体" w:cs="Times New Roman"/>
                      <w:b w:val="0"/>
                      <w:bCs w:val="0"/>
                      <w:color w:val="auto"/>
                      <w:sz w:val="21"/>
                      <w:szCs w:val="21"/>
                      <w:highlight w:val="none"/>
                    </w:rPr>
                    <w:t>）进行评价。</w:t>
                  </w:r>
                </w:p>
              </w:tc>
            </w:tr>
          </w:tbl>
          <w:p>
            <w:pPr>
              <w:pStyle w:val="20"/>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napToGrid w:val="0"/>
                <w:color w:val="auto"/>
                <w:kern w:val="0"/>
                <w:sz w:val="21"/>
                <w:szCs w:val="21"/>
                <w:lang w:val="en-US" w:eastAsia="zh-CN" w:bidi="ar-SA"/>
                <w14:ligatures w14:val="none"/>
              </w:rPr>
            </w:pPr>
            <w:r>
              <w:rPr>
                <w:rFonts w:hint="default" w:ascii="Times New Roman" w:hAnsi="Times New Roman" w:eastAsia="宋体" w:cs="Times New Roman"/>
                <w:b/>
                <w:bCs/>
                <w:snapToGrid w:val="0"/>
                <w:color w:val="auto"/>
                <w:kern w:val="0"/>
                <w:sz w:val="21"/>
                <w:szCs w:val="21"/>
                <w:lang w:val="en-US" w:eastAsia="zh-CN" w:bidi="ar-SA"/>
                <w14:ligatures w14:val="none"/>
              </w:rPr>
              <w:t>表4</w:t>
            </w:r>
            <w:r>
              <w:rPr>
                <w:rFonts w:hint="eastAsia" w:ascii="Times New Roman" w:hAnsi="Times New Roman" w:eastAsia="宋体" w:cs="Times New Roman"/>
                <w:b/>
                <w:bCs/>
                <w:snapToGrid w:val="0"/>
                <w:color w:val="auto"/>
                <w:kern w:val="0"/>
                <w:sz w:val="21"/>
                <w:szCs w:val="21"/>
                <w:lang w:val="en-US" w:eastAsia="zh-CN" w:bidi="ar-SA"/>
                <w14:ligatures w14:val="none"/>
              </w:rPr>
              <w:t>.9</w:t>
            </w:r>
            <w:r>
              <w:rPr>
                <w:rFonts w:hint="default" w:ascii="Times New Roman" w:hAnsi="Times New Roman" w:eastAsia="宋体" w:cs="Times New Roman"/>
                <w:b/>
                <w:bCs/>
                <w:snapToGrid w:val="0"/>
                <w:color w:val="auto"/>
                <w:kern w:val="0"/>
                <w:sz w:val="21"/>
                <w:szCs w:val="21"/>
                <w:lang w:val="en-US" w:eastAsia="zh-CN" w:bidi="ar-SA"/>
                <w14:ligatures w14:val="none"/>
              </w:rPr>
              <w:t>-</w:t>
            </w:r>
            <w:r>
              <w:rPr>
                <w:rFonts w:hint="eastAsia" w:ascii="Times New Roman" w:hAnsi="Times New Roman" w:eastAsia="宋体" w:cs="Times New Roman"/>
                <w:b/>
                <w:bCs/>
                <w:snapToGrid w:val="0"/>
                <w:color w:val="auto"/>
                <w:kern w:val="0"/>
                <w:sz w:val="21"/>
                <w:szCs w:val="21"/>
                <w:lang w:val="en-US" w:eastAsia="zh-CN" w:bidi="ar-SA"/>
                <w14:ligatures w14:val="none"/>
              </w:rPr>
              <w:t>2</w:t>
            </w:r>
            <w:r>
              <w:rPr>
                <w:rFonts w:hint="default" w:ascii="Times New Roman" w:hAnsi="Times New Roman" w:eastAsia="宋体" w:cs="Times New Roman"/>
                <w:b/>
                <w:bCs/>
                <w:snapToGrid w:val="0"/>
                <w:color w:val="auto"/>
                <w:kern w:val="0"/>
                <w:sz w:val="21"/>
                <w:szCs w:val="21"/>
                <w:lang w:val="en-US" w:eastAsia="zh-CN" w:bidi="ar-SA"/>
                <w14:ligatures w14:val="none"/>
              </w:rPr>
              <w:t xml:space="preserve">  </w:t>
            </w:r>
            <w:r>
              <w:rPr>
                <w:rFonts w:hint="eastAsia" w:ascii="Times New Roman" w:hAnsi="Times New Roman" w:eastAsia="宋体" w:cs="Times New Roman"/>
                <w:b/>
                <w:bCs/>
                <w:snapToGrid w:val="0"/>
                <w:color w:val="auto"/>
                <w:kern w:val="0"/>
                <w:sz w:val="21"/>
                <w:szCs w:val="21"/>
                <w:lang w:val="en-US" w:eastAsia="zh-CN" w:bidi="ar-SA"/>
                <w14:ligatures w14:val="none"/>
              </w:rPr>
              <w:t xml:space="preserve"> 室内</w:t>
            </w:r>
            <w:r>
              <w:rPr>
                <w:rFonts w:hint="default" w:ascii="Times New Roman" w:hAnsi="Times New Roman" w:eastAsia="宋体" w:cs="Times New Roman"/>
                <w:b/>
                <w:bCs/>
                <w:snapToGrid w:val="0"/>
                <w:color w:val="auto"/>
                <w:kern w:val="0"/>
                <w:sz w:val="21"/>
                <w:szCs w:val="21"/>
                <w:lang w:val="en-US" w:eastAsia="zh-CN" w:bidi="ar-SA"/>
                <w14:ligatures w14:val="none"/>
              </w:rPr>
              <w:t>主要噪声设备源强一览表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528"/>
              <w:gridCol w:w="960"/>
              <w:gridCol w:w="458"/>
              <w:gridCol w:w="458"/>
              <w:gridCol w:w="431"/>
              <w:gridCol w:w="479"/>
              <w:gridCol w:w="15"/>
              <w:gridCol w:w="494"/>
              <w:gridCol w:w="574"/>
              <w:gridCol w:w="529"/>
              <w:gridCol w:w="961"/>
              <w:gridCol w:w="961"/>
              <w:gridCol w:w="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70" w:type="dxa"/>
                  <w:vMerge w:val="restart"/>
                  <w:noWrap w:val="0"/>
                  <w:vAlign w:val="center"/>
                </w:tcPr>
                <w:p>
                  <w:pPr>
                    <w:pStyle w:val="57"/>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建筑物名称</w:t>
                  </w:r>
                </w:p>
              </w:tc>
              <w:tc>
                <w:tcPr>
                  <w:tcW w:w="471"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cs="Times New Roman"/>
                      <w:color w:val="auto"/>
                      <w:kern w:val="2"/>
                      <w:sz w:val="21"/>
                      <w:szCs w:val="22"/>
                      <w:lang w:val="en-US" w:eastAsia="zh-CN" w:bidi="ar-SA"/>
                    </w:rPr>
                  </w:pPr>
                  <w:r>
                    <w:rPr>
                      <w:rFonts w:hint="default" w:ascii="Times New Roman" w:hAnsi="Times New Roman" w:cs="Times New Roman"/>
                      <w:color w:val="auto"/>
                    </w:rPr>
                    <w:t>声源名称</w:t>
                  </w:r>
                </w:p>
              </w:tc>
              <w:tc>
                <w:tcPr>
                  <w:tcW w:w="856" w:type="dxa"/>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声音源强（任选一种）</w:t>
                  </w:r>
                </w:p>
              </w:tc>
              <w:tc>
                <w:tcPr>
                  <w:tcW w:w="1200" w:type="dxa"/>
                  <w:gridSpan w:val="3"/>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cs="Times New Roman"/>
                      <w:color w:val="auto"/>
                      <w:kern w:val="2"/>
                      <w:sz w:val="21"/>
                      <w:szCs w:val="22"/>
                      <w:lang w:val="en-US" w:eastAsia="zh-CN" w:bidi="ar-SA"/>
                    </w:rPr>
                  </w:pPr>
                  <w:r>
                    <w:rPr>
                      <w:rFonts w:hint="default" w:ascii="Times New Roman" w:hAnsi="Times New Roman" w:cs="Times New Roman"/>
                      <w:color w:val="auto"/>
                    </w:rPr>
                    <w:t>空间相对位置/m</w:t>
                  </w:r>
                </w:p>
              </w:tc>
              <w:tc>
                <w:tcPr>
                  <w:tcW w:w="880" w:type="dxa"/>
                  <w:gridSpan w:val="3"/>
                  <w:vMerge w:val="restart"/>
                  <w:noWrap w:val="0"/>
                  <w:vAlign w:val="center"/>
                </w:tcPr>
                <w:p>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auto"/>
                      <w:kern w:val="2"/>
                      <w:sz w:val="21"/>
                      <w:szCs w:val="22"/>
                      <w:lang w:val="en-US" w:eastAsia="zh-CN" w:bidi="ar-SA"/>
                    </w:rPr>
                  </w:pPr>
                  <w:r>
                    <w:rPr>
                      <w:rFonts w:hint="eastAsia" w:ascii="Times New Roman" w:hAnsi="Times New Roman" w:cs="Times New Roman"/>
                      <w:color w:val="auto"/>
                      <w:lang w:val="en-US" w:eastAsia="zh-CN"/>
                    </w:rPr>
                    <w:t>距室内边界距离/m</w:t>
                  </w:r>
                </w:p>
              </w:tc>
              <w:tc>
                <w:tcPr>
                  <w:tcW w:w="511" w:type="dxa"/>
                  <w:vMerge w:val="restart"/>
                  <w:noWrap w:val="0"/>
                  <w:vAlign w:val="center"/>
                </w:tcPr>
                <w:p>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auto"/>
                      <w:kern w:val="2"/>
                      <w:sz w:val="21"/>
                      <w:szCs w:val="22"/>
                      <w:lang w:val="en-US" w:eastAsia="zh-CN" w:bidi="ar-SA"/>
                    </w:rPr>
                  </w:pPr>
                  <w:r>
                    <w:rPr>
                      <w:rFonts w:hint="eastAsia" w:ascii="Times New Roman" w:hAnsi="Times New Roman" w:cs="Times New Roman"/>
                      <w:color w:val="auto"/>
                      <w:lang w:val="en-US" w:eastAsia="zh-CN"/>
                    </w:rPr>
                    <w:t>室内边界声级/</w:t>
                  </w:r>
                  <w:r>
                    <w:rPr>
                      <w:rFonts w:hint="eastAsia" w:ascii="Times New Roman" w:hAnsi="Times New Roman" w:eastAsia="宋体" w:cs="Times New Roman"/>
                      <w:color w:val="auto"/>
                      <w:lang w:val="en-US" w:eastAsia="zh-CN"/>
                    </w:rPr>
                    <w:t>dB（A）</w:t>
                  </w:r>
                  <w:r>
                    <w:rPr>
                      <w:rFonts w:hint="eastAsia" w:ascii="Times New Roman" w:hAnsi="Times New Roman" w:cs="Times New Roman"/>
                      <w:color w:val="auto"/>
                      <w:lang w:val="en-US" w:eastAsia="zh-CN"/>
                    </w:rPr>
                    <w:t>声压级/</w:t>
                  </w:r>
                  <w:r>
                    <w:rPr>
                      <w:rFonts w:hint="eastAsia" w:ascii="Times New Roman" w:hAnsi="Times New Roman" w:eastAsia="宋体" w:cs="Times New Roman"/>
                      <w:color w:val="auto"/>
                      <w:lang w:val="en-US" w:eastAsia="zh-CN"/>
                    </w:rPr>
                    <w:t>dB（A）</w:t>
                  </w:r>
                </w:p>
              </w:tc>
              <w:tc>
                <w:tcPr>
                  <w:tcW w:w="471" w:type="dxa"/>
                  <w:vMerge w:val="restart"/>
                  <w:noWrap w:val="0"/>
                  <w:vAlign w:val="center"/>
                </w:tcPr>
                <w:p>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cs="Times New Roman"/>
                      <w:color w:val="auto"/>
                      <w:kern w:val="2"/>
                      <w:sz w:val="21"/>
                      <w:szCs w:val="22"/>
                      <w:lang w:val="en-US" w:eastAsia="zh-CN" w:bidi="ar-SA"/>
                    </w:rPr>
                  </w:pPr>
                  <w:r>
                    <w:rPr>
                      <w:rFonts w:hint="default" w:ascii="Times New Roman" w:hAnsi="Times New Roman" w:eastAsia="宋体" w:cs="Times New Roman"/>
                      <w:color w:val="auto"/>
                      <w:sz w:val="21"/>
                      <w:szCs w:val="21"/>
                      <w:highlight w:val="none"/>
                      <w:lang w:val="en-US" w:eastAsia="zh-CN"/>
                    </w:rPr>
                    <w:t>运行时段</w:t>
                  </w:r>
                </w:p>
              </w:tc>
              <w:tc>
                <w:tcPr>
                  <w:tcW w:w="856" w:type="dxa"/>
                  <w:vMerge w:val="restart"/>
                  <w:noWrap w:val="0"/>
                  <w:vAlign w:val="center"/>
                </w:tcPr>
                <w:p>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建筑物插入损失</w:t>
                  </w:r>
                  <w:r>
                    <w:rPr>
                      <w:rFonts w:hint="eastAsia" w:ascii="Times New Roman" w:hAnsi="Times New Roman" w:cs="Times New Roman"/>
                      <w:color w:val="auto"/>
                      <w:lang w:val="en-US" w:eastAsia="zh-CN"/>
                    </w:rPr>
                    <w:t>/</w:t>
                  </w:r>
                  <w:r>
                    <w:rPr>
                      <w:rFonts w:hint="eastAsia" w:ascii="Times New Roman" w:hAnsi="Times New Roman" w:eastAsia="宋体" w:cs="Times New Roman"/>
                      <w:color w:val="auto"/>
                      <w:lang w:val="en-US" w:eastAsia="zh-CN"/>
                    </w:rPr>
                    <w:t>dB（A）</w:t>
                  </w:r>
                </w:p>
              </w:tc>
              <w:tc>
                <w:tcPr>
                  <w:tcW w:w="1278" w:type="dxa"/>
                  <w:gridSpan w:val="2"/>
                  <w:noWrap w:val="0"/>
                  <w:vAlign w:val="center"/>
                </w:tcPr>
                <w:p>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建筑物外噪声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6" w:hRule="atLeast"/>
                <w:jc w:val="center"/>
              </w:trPr>
              <w:tc>
                <w:tcPr>
                  <w:tcW w:w="470" w:type="dxa"/>
                  <w:vMerge w:val="continue"/>
                  <w:noWrap w:val="0"/>
                  <w:vAlign w:val="center"/>
                </w:tcPr>
                <w:p>
                  <w:pPr>
                    <w:pStyle w:val="57"/>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color w:val="auto"/>
                    </w:rPr>
                  </w:pPr>
                </w:p>
              </w:tc>
              <w:tc>
                <w:tcPr>
                  <w:tcW w:w="471" w:type="dxa"/>
                  <w:vMerge w:val="continue"/>
                  <w:noWrap w:val="0"/>
                  <w:vAlign w:val="center"/>
                </w:tcPr>
                <w:p>
                  <w:pPr>
                    <w:pStyle w:val="57"/>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color w:val="auto"/>
                    </w:rPr>
                  </w:pPr>
                </w:p>
              </w:tc>
              <w:tc>
                <w:tcPr>
                  <w:tcW w:w="856" w:type="dxa"/>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lang w:val="en-US" w:eastAsia="zh-CN"/>
                    </w:rPr>
                    <w:t>声功率级/dB（A）</w:t>
                  </w:r>
                </w:p>
              </w:tc>
              <w:tc>
                <w:tcPr>
                  <w:tcW w:w="408" w:type="dxa"/>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auto"/>
                      <w:kern w:val="2"/>
                      <w:sz w:val="21"/>
                      <w:szCs w:val="22"/>
                      <w:lang w:val="en-US" w:eastAsia="zh-CN" w:bidi="ar-SA"/>
                    </w:rPr>
                  </w:pPr>
                  <w:r>
                    <w:rPr>
                      <w:rFonts w:hint="default" w:ascii="Times New Roman" w:hAnsi="Times New Roman" w:cs="Times New Roman"/>
                      <w:color w:val="auto"/>
                      <w:lang w:val="en-US" w:eastAsia="zh-CN"/>
                    </w:rPr>
                    <w:t>X</w:t>
                  </w:r>
                </w:p>
              </w:tc>
              <w:tc>
                <w:tcPr>
                  <w:tcW w:w="408" w:type="dxa"/>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auto"/>
                      <w:kern w:val="2"/>
                      <w:sz w:val="21"/>
                      <w:szCs w:val="22"/>
                      <w:lang w:val="en-US" w:eastAsia="zh-CN" w:bidi="ar-SA"/>
                    </w:rPr>
                  </w:pPr>
                  <w:r>
                    <w:rPr>
                      <w:rFonts w:hint="default" w:ascii="Times New Roman" w:hAnsi="Times New Roman" w:cs="Times New Roman"/>
                      <w:color w:val="auto"/>
                      <w:lang w:val="en-US" w:eastAsia="zh-CN"/>
                    </w:rPr>
                    <w:t>Y</w:t>
                  </w:r>
                </w:p>
              </w:tc>
              <w:tc>
                <w:tcPr>
                  <w:tcW w:w="384" w:type="dxa"/>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auto"/>
                      <w:kern w:val="2"/>
                      <w:sz w:val="21"/>
                      <w:szCs w:val="22"/>
                      <w:lang w:val="en-US" w:eastAsia="zh-CN" w:bidi="ar-SA"/>
                    </w:rPr>
                  </w:pPr>
                  <w:r>
                    <w:rPr>
                      <w:rFonts w:hint="default" w:ascii="Times New Roman" w:hAnsi="Times New Roman" w:cs="Times New Roman"/>
                      <w:color w:val="auto"/>
                      <w:lang w:val="en-US" w:eastAsia="zh-CN"/>
                    </w:rPr>
                    <w:t>Z</w:t>
                  </w:r>
                </w:p>
              </w:tc>
              <w:tc>
                <w:tcPr>
                  <w:tcW w:w="880" w:type="dxa"/>
                  <w:gridSpan w:val="3"/>
                  <w:vMerge w:val="continue"/>
                  <w:noWrap w:val="0"/>
                  <w:vAlign w:val="center"/>
                </w:tcPr>
                <w:p>
                  <w:pPr>
                    <w:pStyle w:val="57"/>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511" w:type="dxa"/>
                  <w:vMerge w:val="continue"/>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auto"/>
                      <w:kern w:val="2"/>
                      <w:sz w:val="21"/>
                      <w:szCs w:val="22"/>
                      <w:lang w:val="en-US" w:eastAsia="zh-CN" w:bidi="ar-SA"/>
                    </w:rPr>
                  </w:pPr>
                </w:p>
              </w:tc>
              <w:tc>
                <w:tcPr>
                  <w:tcW w:w="471" w:type="dxa"/>
                  <w:vMerge w:val="continue"/>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auto"/>
                      <w:kern w:val="2"/>
                      <w:sz w:val="21"/>
                      <w:szCs w:val="22"/>
                      <w:lang w:val="en-US" w:eastAsia="zh-CN" w:bidi="ar-SA"/>
                    </w:rPr>
                  </w:pPr>
                </w:p>
              </w:tc>
              <w:tc>
                <w:tcPr>
                  <w:tcW w:w="856" w:type="dxa"/>
                  <w:vMerge w:val="continue"/>
                  <w:noWrap w:val="0"/>
                  <w:vAlign w:val="center"/>
                </w:tcPr>
                <w:p>
                  <w:pPr>
                    <w:pStyle w:val="57"/>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856" w:type="dxa"/>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auto"/>
                      <w:kern w:val="2"/>
                      <w:sz w:val="21"/>
                      <w:szCs w:val="22"/>
                      <w:lang w:val="en-US" w:eastAsia="zh-CN" w:bidi="ar-SA"/>
                    </w:rPr>
                  </w:pPr>
                  <w:r>
                    <w:rPr>
                      <w:rFonts w:hint="eastAsia" w:ascii="Times New Roman" w:hAnsi="Times New Roman" w:cs="Times New Roman"/>
                      <w:color w:val="auto"/>
                      <w:lang w:val="en-US" w:eastAsia="zh-CN"/>
                    </w:rPr>
                    <w:t>声压级/</w:t>
                  </w:r>
                  <w:r>
                    <w:rPr>
                      <w:rFonts w:hint="eastAsia" w:ascii="Times New Roman" w:hAnsi="Times New Roman" w:eastAsia="宋体" w:cs="Times New Roman"/>
                      <w:color w:val="auto"/>
                      <w:lang w:val="en-US" w:eastAsia="zh-CN"/>
                    </w:rPr>
                    <w:t>dB（A）</w:t>
                  </w:r>
                </w:p>
              </w:tc>
              <w:tc>
                <w:tcPr>
                  <w:tcW w:w="422" w:type="dxa"/>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auto"/>
                      <w:kern w:val="2"/>
                      <w:sz w:val="21"/>
                      <w:szCs w:val="22"/>
                      <w:lang w:val="en-US" w:eastAsia="zh-CN" w:bidi="ar-SA"/>
                    </w:rPr>
                  </w:pPr>
                  <w:r>
                    <w:rPr>
                      <w:rFonts w:hint="eastAsia" w:ascii="Times New Roman" w:hAnsi="Times New Roman" w:cs="Times New Roman"/>
                      <w:color w:val="auto"/>
                      <w:lang w:val="en-US" w:eastAsia="zh-CN"/>
                    </w:rPr>
                    <w:t>建筑物外距离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bCs/>
                      <w:color w:val="auto"/>
                      <w:kern w:val="2"/>
                      <w:sz w:val="21"/>
                      <w:szCs w:val="21"/>
                      <w:lang w:val="en-US" w:eastAsia="zh-CN" w:bidi="ar-SA"/>
                    </w:rPr>
                    <w:t>选粉</w:t>
                  </w:r>
                  <w:r>
                    <w:rPr>
                      <w:rFonts w:hint="eastAsia" w:ascii="Times New Roman" w:hAnsi="Times New Roman" w:eastAsia="宋体" w:cs="Times New Roman"/>
                      <w:bCs/>
                      <w:color w:val="auto"/>
                      <w:kern w:val="2"/>
                      <w:sz w:val="21"/>
                      <w:szCs w:val="21"/>
                      <w:lang w:val="en-US" w:eastAsia="zh-CN" w:bidi="ar-SA"/>
                    </w:rPr>
                    <w:t>车间</w:t>
                  </w:r>
                </w:p>
              </w:tc>
              <w:tc>
                <w:tcPr>
                  <w:tcW w:w="47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喂料机</w:t>
                  </w: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Cs/>
                      <w:color w:val="auto"/>
                      <w:kern w:val="2"/>
                      <w:sz w:val="21"/>
                      <w:szCs w:val="21"/>
                      <w:lang w:val="en-US" w:eastAsia="zh-CN" w:bidi="ar-SA"/>
                    </w:rPr>
                  </w:pPr>
                  <w:r>
                    <w:rPr>
                      <w:rFonts w:hint="eastAsia"/>
                      <w:color w:val="auto"/>
                      <w:sz w:val="21"/>
                      <w:szCs w:val="21"/>
                      <w:lang w:val="en-US" w:eastAsia="zh-CN"/>
                    </w:rPr>
                    <w:t>60</w:t>
                  </w:r>
                </w:p>
              </w:tc>
              <w:tc>
                <w:tcPr>
                  <w:tcW w:w="408"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cs="Times New Roman"/>
                      <w:color w:val="auto"/>
                      <w:kern w:val="2"/>
                      <w:sz w:val="21"/>
                      <w:szCs w:val="22"/>
                      <w:lang w:val="en-US" w:eastAsia="zh-CN" w:bidi="ar-SA"/>
                    </w:rPr>
                  </w:pPr>
                  <w:r>
                    <w:rPr>
                      <w:rFonts w:hint="eastAsia" w:cs="Times New Roman"/>
                      <w:color w:val="auto"/>
                      <w:lang w:val="en-US" w:eastAsia="zh-CN"/>
                    </w:rPr>
                    <w:t>18.82</w:t>
                  </w:r>
                </w:p>
              </w:tc>
              <w:tc>
                <w:tcPr>
                  <w:tcW w:w="408"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cs="Times New Roman"/>
                      <w:color w:val="auto"/>
                      <w:kern w:val="2"/>
                      <w:sz w:val="21"/>
                      <w:szCs w:val="22"/>
                      <w:lang w:val="en-US" w:eastAsia="zh-CN" w:bidi="ar-SA"/>
                    </w:rPr>
                  </w:pPr>
                  <w:r>
                    <w:rPr>
                      <w:rFonts w:hint="eastAsia" w:cs="Times New Roman"/>
                      <w:color w:val="auto"/>
                      <w:lang w:val="en-US" w:eastAsia="zh-CN"/>
                    </w:rPr>
                    <w:t>128.82</w:t>
                  </w:r>
                </w:p>
              </w:tc>
              <w:tc>
                <w:tcPr>
                  <w:tcW w:w="384"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w:t>
                  </w:r>
                </w:p>
              </w:tc>
              <w:tc>
                <w:tcPr>
                  <w:tcW w:w="427" w:type="dxa"/>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东</w:t>
                  </w:r>
                </w:p>
              </w:tc>
              <w:tc>
                <w:tcPr>
                  <w:tcW w:w="453" w:type="dxa"/>
                  <w:gridSpan w:val="2"/>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snapToGrid w:val="0"/>
                      <w:color w:val="auto"/>
                      <w:kern w:val="0"/>
                      <w:sz w:val="21"/>
                      <w:szCs w:val="21"/>
                      <w:highlight w:val="none"/>
                      <w:lang w:val="en-US" w:eastAsia="zh-CN" w:bidi="ar-SA"/>
                      <w14:ligatures w14:val="none"/>
                    </w:rPr>
                  </w:pPr>
                  <w:r>
                    <w:rPr>
                      <w:rFonts w:hint="eastAsia" w:eastAsia="宋体"/>
                      <w:b w:val="0"/>
                      <w:bCs/>
                      <w:color w:val="auto"/>
                      <w:sz w:val="21"/>
                      <w:szCs w:val="21"/>
                      <w:highlight w:val="none"/>
                      <w:lang w:val="en-US" w:eastAsia="zh-CN"/>
                    </w:rPr>
                    <w:t>25</w:t>
                  </w:r>
                </w:p>
              </w:tc>
              <w:tc>
                <w:tcPr>
                  <w:tcW w:w="511"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cs="Times New Roman"/>
                      <w:color w:val="auto"/>
                      <w:kern w:val="2"/>
                      <w:sz w:val="21"/>
                      <w:szCs w:val="22"/>
                      <w:lang w:val="en-US" w:eastAsia="zh-CN" w:bidi="ar-SA"/>
                    </w:rPr>
                  </w:pPr>
                  <w:r>
                    <w:rPr>
                      <w:rFonts w:hint="eastAsia" w:cs="Times New Roman"/>
                      <w:color w:val="auto"/>
                      <w:lang w:val="en-US" w:eastAsia="zh-CN"/>
                    </w:rPr>
                    <w:t>55</w:t>
                  </w:r>
                </w:p>
              </w:tc>
              <w:tc>
                <w:tcPr>
                  <w:tcW w:w="471" w:type="dxa"/>
                  <w:vMerge w:val="restart"/>
                  <w:noWrap w:val="0"/>
                  <w:vAlign w:val="center"/>
                </w:tcPr>
                <w:p>
                  <w:pPr>
                    <w:pStyle w:val="57"/>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10:00-18:00</w:t>
                  </w:r>
                </w:p>
              </w:tc>
              <w:tc>
                <w:tcPr>
                  <w:tcW w:w="856"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highlight w:val="none"/>
                      <w:lang w:val="en-US" w:eastAsia="zh-CN"/>
                    </w:rPr>
                    <w:t>20</w:t>
                  </w:r>
                </w:p>
              </w:tc>
              <w:tc>
                <w:tcPr>
                  <w:tcW w:w="856"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highlight w:val="none"/>
                      <w:lang w:val="en-US" w:eastAsia="zh-CN"/>
                    </w:rPr>
                    <w:t>35</w:t>
                  </w:r>
                </w:p>
              </w:tc>
              <w:tc>
                <w:tcPr>
                  <w:tcW w:w="422"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highlight w:val="none"/>
                      <w:lang w:val="en-US" w:eastAsia="zh-CN"/>
                    </w:rPr>
                    <w:t>1</w:t>
                  </w:r>
                  <w:r>
                    <w:rPr>
                      <w:rFonts w:hint="eastAsia" w:cs="Times New Roman"/>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384"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27" w:type="dxa"/>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南</w:t>
                  </w:r>
                </w:p>
              </w:tc>
              <w:tc>
                <w:tcPr>
                  <w:tcW w:w="453" w:type="dxa"/>
                  <w:gridSpan w:val="2"/>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黑体" w:cs="Times New Roman"/>
                      <w:b w:val="0"/>
                      <w:bCs/>
                      <w:snapToGrid w:val="0"/>
                      <w:color w:val="auto"/>
                      <w:kern w:val="0"/>
                      <w:sz w:val="21"/>
                      <w:szCs w:val="21"/>
                      <w:highlight w:val="none"/>
                      <w:lang w:val="en-US" w:eastAsia="zh-CN" w:bidi="ar-SA"/>
                      <w14:ligatures w14:val="none"/>
                    </w:rPr>
                  </w:pPr>
                  <w:r>
                    <w:rPr>
                      <w:rFonts w:hint="eastAsia"/>
                      <w:b w:val="0"/>
                      <w:bCs/>
                      <w:color w:val="auto"/>
                      <w:sz w:val="21"/>
                      <w:szCs w:val="21"/>
                      <w:highlight w:val="none"/>
                      <w:lang w:val="en-US" w:eastAsia="zh-CN"/>
                    </w:rPr>
                    <w:t>2</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384"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27" w:type="dxa"/>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西</w:t>
                  </w:r>
                </w:p>
              </w:tc>
              <w:tc>
                <w:tcPr>
                  <w:tcW w:w="453" w:type="dxa"/>
                  <w:gridSpan w:val="2"/>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snapToGrid w:val="0"/>
                      <w:color w:val="auto"/>
                      <w:kern w:val="0"/>
                      <w:sz w:val="21"/>
                      <w:szCs w:val="21"/>
                      <w:highlight w:val="none"/>
                      <w:lang w:val="en-US" w:eastAsia="zh-CN" w:bidi="ar-SA"/>
                      <w14:ligatures w14:val="none"/>
                    </w:rPr>
                  </w:pPr>
                  <w:r>
                    <w:rPr>
                      <w:rFonts w:hint="eastAsia" w:eastAsia="宋体"/>
                      <w:b w:val="0"/>
                      <w:bCs/>
                      <w:color w:val="auto"/>
                      <w:sz w:val="21"/>
                      <w:szCs w:val="21"/>
                      <w:highlight w:val="none"/>
                      <w:lang w:val="en-US" w:eastAsia="zh-CN"/>
                    </w:rPr>
                    <w:t>15</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384"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27" w:type="dxa"/>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北</w:t>
                  </w:r>
                </w:p>
              </w:tc>
              <w:tc>
                <w:tcPr>
                  <w:tcW w:w="453" w:type="dxa"/>
                  <w:gridSpan w:val="2"/>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snapToGrid w:val="0"/>
                      <w:color w:val="auto"/>
                      <w:kern w:val="0"/>
                      <w:sz w:val="21"/>
                      <w:szCs w:val="21"/>
                      <w:highlight w:val="none"/>
                      <w:lang w:val="en-US" w:eastAsia="zh-CN" w:bidi="ar-SA"/>
                      <w14:ligatures w14:val="none"/>
                    </w:rPr>
                  </w:pPr>
                  <w:r>
                    <w:rPr>
                      <w:rFonts w:hint="eastAsia" w:eastAsia="宋体"/>
                      <w:b w:val="0"/>
                      <w:bCs/>
                      <w:color w:val="auto"/>
                      <w:sz w:val="21"/>
                      <w:szCs w:val="21"/>
                      <w:highlight w:val="none"/>
                      <w:lang w:val="en-US" w:eastAsia="zh-CN"/>
                    </w:rPr>
                    <w:t>8</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7"/>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47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磨粉机</w:t>
                  </w: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Cs/>
                      <w:color w:val="auto"/>
                      <w:kern w:val="2"/>
                      <w:sz w:val="21"/>
                      <w:szCs w:val="21"/>
                      <w:lang w:val="en-US" w:eastAsia="zh-CN" w:bidi="ar-SA"/>
                    </w:rPr>
                  </w:pPr>
                  <w:r>
                    <w:rPr>
                      <w:rFonts w:hint="eastAsia"/>
                      <w:color w:val="auto"/>
                      <w:sz w:val="21"/>
                      <w:szCs w:val="21"/>
                      <w:lang w:val="en-US" w:eastAsia="zh-CN"/>
                    </w:rPr>
                    <w:t>80</w:t>
                  </w:r>
                </w:p>
              </w:tc>
              <w:tc>
                <w:tcPr>
                  <w:tcW w:w="408"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cs="Times New Roman"/>
                      <w:color w:val="auto"/>
                      <w:kern w:val="2"/>
                      <w:sz w:val="21"/>
                      <w:szCs w:val="22"/>
                      <w:lang w:val="en-US" w:eastAsia="zh-CN" w:bidi="ar-SA"/>
                    </w:rPr>
                  </w:pPr>
                  <w:r>
                    <w:rPr>
                      <w:rFonts w:hint="eastAsia" w:cs="Times New Roman"/>
                      <w:color w:val="auto"/>
                      <w:lang w:val="en-US" w:eastAsia="zh-CN"/>
                    </w:rPr>
                    <w:t>85.63</w:t>
                  </w:r>
                </w:p>
              </w:tc>
              <w:tc>
                <w:tcPr>
                  <w:tcW w:w="408"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cs="Times New Roman"/>
                      <w:color w:val="auto"/>
                      <w:kern w:val="2"/>
                      <w:sz w:val="21"/>
                      <w:szCs w:val="22"/>
                      <w:lang w:val="en-US" w:eastAsia="zh-CN" w:bidi="ar-SA"/>
                    </w:rPr>
                  </w:pPr>
                  <w:r>
                    <w:rPr>
                      <w:rFonts w:hint="eastAsia" w:cs="Times New Roman"/>
                      <w:color w:val="auto"/>
                      <w:kern w:val="2"/>
                      <w:sz w:val="21"/>
                      <w:szCs w:val="22"/>
                      <w:lang w:val="en-US" w:eastAsia="zh-CN" w:bidi="ar-SA"/>
                    </w:rPr>
                    <w:t>123.65</w:t>
                  </w:r>
                </w:p>
              </w:tc>
              <w:tc>
                <w:tcPr>
                  <w:tcW w:w="384"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w:t>
                  </w: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东</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eastAsia" w:ascii="Times New Roman" w:hAnsi="Times New Roman" w:eastAsia="宋体" w:cs="Times New Roman"/>
                      <w:b w:val="0"/>
                      <w:bCs/>
                      <w:snapToGrid w:val="0"/>
                      <w:color w:val="auto"/>
                      <w:kern w:val="0"/>
                      <w:sz w:val="21"/>
                      <w:szCs w:val="21"/>
                      <w:highlight w:val="none"/>
                      <w:lang w:val="en-US" w:eastAsia="zh-CN" w:bidi="ar-SA"/>
                      <w14:ligatures w14:val="none"/>
                    </w:rPr>
                  </w:pPr>
                  <w:r>
                    <w:rPr>
                      <w:rFonts w:hint="eastAsia" w:eastAsia="宋体"/>
                      <w:b w:val="0"/>
                      <w:bCs/>
                      <w:color w:val="auto"/>
                      <w:sz w:val="21"/>
                      <w:szCs w:val="21"/>
                      <w:highlight w:val="none"/>
                      <w:lang w:val="en-US" w:eastAsia="zh-CN"/>
                    </w:rPr>
                    <w:t>15</w:t>
                  </w:r>
                </w:p>
              </w:tc>
              <w:tc>
                <w:tcPr>
                  <w:tcW w:w="511"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7</w:t>
                  </w:r>
                  <w:r>
                    <w:rPr>
                      <w:rFonts w:hint="eastAsia" w:ascii="Times New Roman" w:hAnsi="Times New Roman" w:eastAsia="宋体" w:cs="Times New Roman"/>
                      <w:color w:val="auto"/>
                      <w:sz w:val="21"/>
                      <w:szCs w:val="21"/>
                      <w:highlight w:val="none"/>
                      <w:lang w:val="en-US" w:eastAsia="zh-CN"/>
                    </w:rPr>
                    <w:t>5</w:t>
                  </w:r>
                </w:p>
              </w:tc>
              <w:tc>
                <w:tcPr>
                  <w:tcW w:w="471" w:type="dxa"/>
                  <w:vMerge w:val="continue"/>
                  <w:noWrap w:val="0"/>
                  <w:vAlign w:val="center"/>
                </w:tcPr>
                <w:p>
                  <w:pPr>
                    <w:pStyle w:val="57"/>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856"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highlight w:val="none"/>
                      <w:lang w:val="en-US" w:eastAsia="zh-CN"/>
                    </w:rPr>
                    <w:t>20</w:t>
                  </w:r>
                </w:p>
              </w:tc>
              <w:tc>
                <w:tcPr>
                  <w:tcW w:w="856"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highlight w:val="none"/>
                      <w:lang w:val="en-US" w:eastAsia="zh-CN"/>
                    </w:rPr>
                    <w:t>60</w:t>
                  </w:r>
                </w:p>
              </w:tc>
              <w:tc>
                <w:tcPr>
                  <w:tcW w:w="422"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384"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b w:val="0"/>
                      <w:bCs/>
                      <w:color w:val="auto"/>
                    </w:rPr>
                  </w:pPr>
                  <w:r>
                    <w:rPr>
                      <w:rFonts w:hint="default" w:ascii="Times New Roman" w:hAnsi="Times New Roman" w:eastAsia="宋体" w:cs="Times New Roman"/>
                      <w:b w:val="0"/>
                      <w:bCs/>
                      <w:color w:val="auto"/>
                      <w:lang w:val="en-US" w:eastAsia="zh-CN"/>
                    </w:rPr>
                    <w:t>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黑体" w:cs="Times New Roman"/>
                      <w:b w:val="0"/>
                      <w:bCs/>
                      <w:snapToGrid w:val="0"/>
                      <w:color w:val="auto"/>
                      <w:kern w:val="0"/>
                      <w:sz w:val="21"/>
                      <w:szCs w:val="21"/>
                      <w:highlight w:val="none"/>
                      <w:lang w:val="en-US" w:eastAsia="zh-CN" w:bidi="ar-SA"/>
                      <w14:ligatures w14:val="none"/>
                    </w:rPr>
                  </w:pPr>
                  <w:r>
                    <w:rPr>
                      <w:rFonts w:hint="eastAsia"/>
                      <w:b w:val="0"/>
                      <w:bCs/>
                      <w:color w:val="auto"/>
                      <w:sz w:val="21"/>
                      <w:szCs w:val="21"/>
                      <w:highlight w:val="none"/>
                      <w:lang w:val="en-US" w:eastAsia="zh-CN"/>
                    </w:rPr>
                    <w:t>10</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384"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b w:val="0"/>
                      <w:bCs/>
                      <w:color w:val="auto"/>
                    </w:rPr>
                  </w:pPr>
                  <w:r>
                    <w:rPr>
                      <w:rFonts w:hint="default" w:ascii="Times New Roman" w:hAnsi="Times New Roman" w:eastAsia="宋体" w:cs="Times New Roman"/>
                      <w:b w:val="0"/>
                      <w:bCs/>
                      <w:color w:val="auto"/>
                      <w:lang w:val="en-US" w:eastAsia="zh-CN"/>
                    </w:rPr>
                    <w:t>西</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snapToGrid w:val="0"/>
                      <w:color w:val="auto"/>
                      <w:kern w:val="0"/>
                      <w:sz w:val="21"/>
                      <w:szCs w:val="21"/>
                      <w:highlight w:val="none"/>
                      <w:lang w:val="en-US" w:eastAsia="zh-CN" w:bidi="ar-SA"/>
                      <w14:ligatures w14:val="none"/>
                    </w:rPr>
                  </w:pPr>
                  <w:r>
                    <w:rPr>
                      <w:rFonts w:hint="eastAsia" w:eastAsia="宋体"/>
                      <w:b w:val="0"/>
                      <w:bCs/>
                      <w:color w:val="auto"/>
                      <w:sz w:val="21"/>
                      <w:szCs w:val="21"/>
                      <w:highlight w:val="none"/>
                      <w:lang w:val="en-US" w:eastAsia="zh-CN"/>
                    </w:rPr>
                    <w:t>12</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384"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b w:val="0"/>
                      <w:bCs/>
                      <w:color w:val="auto"/>
                    </w:rPr>
                  </w:pPr>
                  <w:r>
                    <w:rPr>
                      <w:rFonts w:hint="default" w:ascii="Times New Roman" w:hAnsi="Times New Roman" w:eastAsia="宋体" w:cs="Times New Roman"/>
                      <w:b w:val="0"/>
                      <w:bCs/>
                      <w:color w:val="auto"/>
                      <w:lang w:val="en-US" w:eastAsia="zh-CN"/>
                    </w:rPr>
                    <w:t>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eastAsia" w:ascii="Times New Roman" w:hAnsi="Times New Roman" w:eastAsia="宋体" w:cs="Times New Roman"/>
                      <w:b w:val="0"/>
                      <w:bCs/>
                      <w:snapToGrid w:val="0"/>
                      <w:color w:val="auto"/>
                      <w:kern w:val="0"/>
                      <w:sz w:val="21"/>
                      <w:szCs w:val="21"/>
                      <w:highlight w:val="none"/>
                      <w:lang w:val="en-US" w:eastAsia="zh-CN" w:bidi="ar-SA"/>
                      <w14:ligatures w14:val="none"/>
                    </w:rPr>
                  </w:pPr>
                  <w:r>
                    <w:rPr>
                      <w:rFonts w:hint="eastAsia" w:eastAsia="宋体"/>
                      <w:b w:val="0"/>
                      <w:bCs/>
                      <w:color w:val="auto"/>
                      <w:sz w:val="21"/>
                      <w:szCs w:val="21"/>
                      <w:highlight w:val="none"/>
                      <w:lang w:val="en-US" w:eastAsia="zh-CN"/>
                    </w:rPr>
                    <w:t>7</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7"/>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47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振动筛</w:t>
                  </w: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eastAsia"/>
                      <w:color w:val="auto"/>
                      <w:sz w:val="21"/>
                      <w:szCs w:val="21"/>
                      <w:lang w:val="en-US" w:eastAsia="zh-CN"/>
                    </w:rPr>
                  </w:pPr>
                  <w:r>
                    <w:rPr>
                      <w:rFonts w:hint="eastAsia"/>
                      <w:color w:val="auto"/>
                      <w:sz w:val="21"/>
                      <w:szCs w:val="21"/>
                      <w:lang w:val="en-US" w:eastAsia="zh-CN"/>
                    </w:rPr>
                    <w:t>75</w:t>
                  </w:r>
                </w:p>
              </w:tc>
              <w:tc>
                <w:tcPr>
                  <w:tcW w:w="408"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cs="Times New Roman"/>
                      <w:color w:val="auto"/>
                      <w:lang w:val="en-US" w:eastAsia="zh-CN"/>
                    </w:rPr>
                  </w:pPr>
                  <w:r>
                    <w:rPr>
                      <w:rFonts w:hint="eastAsia" w:cs="Times New Roman"/>
                      <w:color w:val="auto"/>
                      <w:lang w:val="en-US" w:eastAsia="zh-CN"/>
                    </w:rPr>
                    <w:t>94.57</w:t>
                  </w:r>
                </w:p>
              </w:tc>
              <w:tc>
                <w:tcPr>
                  <w:tcW w:w="408"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cs="Times New Roman"/>
                      <w:color w:val="auto"/>
                      <w:kern w:val="2"/>
                      <w:sz w:val="21"/>
                      <w:szCs w:val="22"/>
                      <w:lang w:val="en-US" w:eastAsia="zh-CN" w:bidi="ar-SA"/>
                    </w:rPr>
                  </w:pPr>
                  <w:r>
                    <w:rPr>
                      <w:rFonts w:hint="eastAsia" w:cs="Times New Roman"/>
                      <w:color w:val="auto"/>
                      <w:kern w:val="2"/>
                      <w:sz w:val="21"/>
                      <w:szCs w:val="22"/>
                      <w:lang w:val="en-US" w:eastAsia="zh-CN" w:bidi="ar-SA"/>
                    </w:rPr>
                    <w:t>118.47</w:t>
                  </w:r>
                </w:p>
              </w:tc>
              <w:tc>
                <w:tcPr>
                  <w:tcW w:w="384"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eastAsia"/>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东</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eastAsia" w:ascii="Times New Roman" w:hAnsi="Times New Roman" w:eastAsia="宋体" w:cs="Times New Roman"/>
                      <w:b w:val="0"/>
                      <w:bCs/>
                      <w:snapToGrid w:val="0"/>
                      <w:color w:val="auto"/>
                      <w:kern w:val="0"/>
                      <w:sz w:val="21"/>
                      <w:szCs w:val="21"/>
                      <w:highlight w:val="none"/>
                      <w:lang w:val="en-US" w:eastAsia="zh-CN" w:bidi="ar-SA"/>
                      <w14:ligatures w14:val="none"/>
                    </w:rPr>
                  </w:pPr>
                  <w:r>
                    <w:rPr>
                      <w:rFonts w:hint="eastAsia" w:eastAsia="宋体"/>
                      <w:b w:val="0"/>
                      <w:bCs/>
                      <w:color w:val="auto"/>
                      <w:sz w:val="21"/>
                      <w:szCs w:val="21"/>
                      <w:highlight w:val="none"/>
                      <w:lang w:val="en-US" w:eastAsia="zh-CN"/>
                    </w:rPr>
                    <w:t>9</w:t>
                  </w:r>
                </w:p>
              </w:tc>
              <w:tc>
                <w:tcPr>
                  <w:tcW w:w="511"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70</w:t>
                  </w:r>
                </w:p>
              </w:tc>
              <w:tc>
                <w:tcPr>
                  <w:tcW w:w="471" w:type="dxa"/>
                  <w:vMerge w:val="continue"/>
                  <w:noWrap w:val="0"/>
                  <w:vAlign w:val="center"/>
                </w:tcPr>
                <w:p>
                  <w:pPr>
                    <w:pStyle w:val="57"/>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856"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20</w:t>
                  </w:r>
                </w:p>
              </w:tc>
              <w:tc>
                <w:tcPr>
                  <w:tcW w:w="856"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50</w:t>
                  </w:r>
                </w:p>
              </w:tc>
              <w:tc>
                <w:tcPr>
                  <w:tcW w:w="422"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384"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b w:val="0"/>
                      <w:bCs/>
                      <w:color w:val="auto"/>
                    </w:rPr>
                  </w:pPr>
                  <w:r>
                    <w:rPr>
                      <w:rFonts w:hint="default" w:ascii="Times New Roman" w:hAnsi="Times New Roman" w:eastAsia="宋体" w:cs="Times New Roman"/>
                      <w:b w:val="0"/>
                      <w:bCs/>
                      <w:color w:val="auto"/>
                      <w:lang w:val="en-US" w:eastAsia="zh-CN"/>
                    </w:rPr>
                    <w:t>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黑体" w:cs="Times New Roman"/>
                      <w:b w:val="0"/>
                      <w:bCs/>
                      <w:snapToGrid w:val="0"/>
                      <w:color w:val="auto"/>
                      <w:kern w:val="0"/>
                      <w:sz w:val="21"/>
                      <w:szCs w:val="21"/>
                      <w:highlight w:val="none"/>
                      <w:lang w:val="en-US" w:eastAsia="zh-CN" w:bidi="ar-SA"/>
                      <w14:ligatures w14:val="none"/>
                    </w:rPr>
                  </w:pPr>
                  <w:r>
                    <w:rPr>
                      <w:rFonts w:hint="eastAsia"/>
                      <w:b w:val="0"/>
                      <w:bCs/>
                      <w:color w:val="auto"/>
                      <w:sz w:val="21"/>
                      <w:szCs w:val="21"/>
                      <w:highlight w:val="none"/>
                      <w:lang w:val="en-US" w:eastAsia="zh-CN"/>
                    </w:rPr>
                    <w:t>27</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384"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b w:val="0"/>
                      <w:bCs/>
                      <w:color w:val="auto"/>
                    </w:rPr>
                  </w:pPr>
                  <w:r>
                    <w:rPr>
                      <w:rFonts w:hint="default" w:ascii="Times New Roman" w:hAnsi="Times New Roman" w:eastAsia="宋体" w:cs="Times New Roman"/>
                      <w:b w:val="0"/>
                      <w:bCs/>
                      <w:color w:val="auto"/>
                      <w:lang w:val="en-US" w:eastAsia="zh-CN"/>
                    </w:rPr>
                    <w:t>西</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eastAsia" w:ascii="Times New Roman" w:hAnsi="Times New Roman" w:eastAsia="宋体" w:cs="Times New Roman"/>
                      <w:b w:val="0"/>
                      <w:bCs/>
                      <w:snapToGrid w:val="0"/>
                      <w:color w:val="auto"/>
                      <w:kern w:val="0"/>
                      <w:sz w:val="21"/>
                      <w:szCs w:val="21"/>
                      <w:highlight w:val="none"/>
                      <w:lang w:val="en-US" w:eastAsia="zh-CN" w:bidi="ar-SA"/>
                      <w14:ligatures w14:val="none"/>
                    </w:rPr>
                  </w:pPr>
                  <w:r>
                    <w:rPr>
                      <w:rFonts w:hint="eastAsia" w:eastAsia="宋体"/>
                      <w:b w:val="0"/>
                      <w:bCs/>
                      <w:color w:val="auto"/>
                      <w:sz w:val="21"/>
                      <w:szCs w:val="21"/>
                      <w:highlight w:val="none"/>
                      <w:lang w:val="en-US" w:eastAsia="zh-CN"/>
                    </w:rPr>
                    <w:t>2</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384"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b w:val="0"/>
                      <w:bCs/>
                      <w:color w:val="auto"/>
                    </w:rPr>
                  </w:pPr>
                  <w:r>
                    <w:rPr>
                      <w:rFonts w:hint="default" w:ascii="Times New Roman" w:hAnsi="Times New Roman" w:eastAsia="宋体" w:cs="Times New Roman"/>
                      <w:b w:val="0"/>
                      <w:bCs/>
                      <w:color w:val="auto"/>
                      <w:lang w:val="en-US" w:eastAsia="zh-CN"/>
                    </w:rPr>
                    <w:t>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snapToGrid w:val="0"/>
                      <w:color w:val="auto"/>
                      <w:kern w:val="0"/>
                      <w:sz w:val="21"/>
                      <w:szCs w:val="21"/>
                      <w:highlight w:val="none"/>
                      <w:lang w:val="en-US" w:eastAsia="zh-CN" w:bidi="ar-SA"/>
                      <w14:ligatures w14:val="none"/>
                    </w:rPr>
                  </w:pPr>
                  <w:r>
                    <w:rPr>
                      <w:rFonts w:hint="eastAsia" w:eastAsia="宋体"/>
                      <w:b w:val="0"/>
                      <w:bCs/>
                      <w:color w:val="auto"/>
                      <w:sz w:val="21"/>
                      <w:szCs w:val="21"/>
                      <w:highlight w:val="none"/>
                      <w:lang w:val="en-US" w:eastAsia="zh-CN"/>
                    </w:rPr>
                    <w:t>16</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7"/>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47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搅拌罐</w:t>
                  </w: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eastAsia"/>
                      <w:color w:val="auto"/>
                      <w:sz w:val="21"/>
                      <w:szCs w:val="21"/>
                      <w:lang w:val="en-US" w:eastAsia="zh-CN"/>
                    </w:rPr>
                  </w:pPr>
                  <w:r>
                    <w:rPr>
                      <w:rFonts w:hint="eastAsia"/>
                      <w:color w:val="auto"/>
                      <w:sz w:val="21"/>
                      <w:szCs w:val="21"/>
                      <w:lang w:val="en-US" w:eastAsia="zh-CN"/>
                    </w:rPr>
                    <w:t>65</w:t>
                  </w:r>
                </w:p>
              </w:tc>
              <w:tc>
                <w:tcPr>
                  <w:tcW w:w="408"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cs="Times New Roman"/>
                      <w:color w:val="auto"/>
                      <w:lang w:val="en-US" w:eastAsia="zh-CN"/>
                    </w:rPr>
                  </w:pPr>
                  <w:r>
                    <w:rPr>
                      <w:rFonts w:hint="eastAsia" w:cs="Times New Roman"/>
                      <w:color w:val="auto"/>
                      <w:lang w:val="en-US" w:eastAsia="zh-CN"/>
                    </w:rPr>
                    <w:t>106.81</w:t>
                  </w:r>
                </w:p>
              </w:tc>
              <w:tc>
                <w:tcPr>
                  <w:tcW w:w="408"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cs="Times New Roman"/>
                      <w:color w:val="auto"/>
                      <w:kern w:val="2"/>
                      <w:sz w:val="21"/>
                      <w:szCs w:val="22"/>
                      <w:lang w:val="en-US" w:eastAsia="zh-CN" w:bidi="ar-SA"/>
                    </w:rPr>
                  </w:pPr>
                  <w:r>
                    <w:rPr>
                      <w:rFonts w:hint="eastAsia" w:cs="Times New Roman"/>
                      <w:color w:val="auto"/>
                      <w:kern w:val="2"/>
                      <w:sz w:val="21"/>
                      <w:szCs w:val="22"/>
                      <w:lang w:val="en-US" w:eastAsia="zh-CN" w:bidi="ar-SA"/>
                    </w:rPr>
                    <w:t>126</w:t>
                  </w:r>
                </w:p>
              </w:tc>
              <w:tc>
                <w:tcPr>
                  <w:tcW w:w="384"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eastAsia"/>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东</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eastAsia" w:ascii="Times New Roman" w:hAnsi="Times New Roman" w:eastAsia="宋体" w:cs="Times New Roman"/>
                      <w:b w:val="0"/>
                      <w:bCs/>
                      <w:snapToGrid w:val="0"/>
                      <w:color w:val="auto"/>
                      <w:kern w:val="0"/>
                      <w:sz w:val="21"/>
                      <w:szCs w:val="21"/>
                      <w:highlight w:val="none"/>
                      <w:lang w:val="en-US" w:eastAsia="zh-CN" w:bidi="ar-SA"/>
                      <w14:ligatures w14:val="none"/>
                    </w:rPr>
                  </w:pPr>
                  <w:r>
                    <w:rPr>
                      <w:rFonts w:hint="eastAsia" w:eastAsia="宋体"/>
                      <w:b w:val="0"/>
                      <w:bCs/>
                      <w:color w:val="auto"/>
                      <w:sz w:val="21"/>
                      <w:szCs w:val="21"/>
                      <w:highlight w:val="none"/>
                      <w:lang w:val="en-US" w:eastAsia="zh-CN"/>
                    </w:rPr>
                    <w:t>10</w:t>
                  </w:r>
                </w:p>
              </w:tc>
              <w:tc>
                <w:tcPr>
                  <w:tcW w:w="511"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60</w:t>
                  </w:r>
                </w:p>
              </w:tc>
              <w:tc>
                <w:tcPr>
                  <w:tcW w:w="471" w:type="dxa"/>
                  <w:vMerge w:val="continue"/>
                  <w:noWrap w:val="0"/>
                  <w:vAlign w:val="center"/>
                </w:tcPr>
                <w:p>
                  <w:pPr>
                    <w:pStyle w:val="57"/>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856"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20</w:t>
                  </w:r>
                </w:p>
              </w:tc>
              <w:tc>
                <w:tcPr>
                  <w:tcW w:w="856"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40</w:t>
                  </w:r>
                </w:p>
              </w:tc>
              <w:tc>
                <w:tcPr>
                  <w:tcW w:w="422"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384"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b w:val="0"/>
                      <w:bCs/>
                      <w:color w:val="auto"/>
                    </w:rPr>
                  </w:pPr>
                  <w:r>
                    <w:rPr>
                      <w:rFonts w:hint="default" w:ascii="Times New Roman" w:hAnsi="Times New Roman" w:eastAsia="宋体" w:cs="Times New Roman"/>
                      <w:b w:val="0"/>
                      <w:bCs/>
                      <w:color w:val="auto"/>
                      <w:lang w:val="en-US" w:eastAsia="zh-CN"/>
                    </w:rPr>
                    <w:t>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黑体" w:cs="Times New Roman"/>
                      <w:b w:val="0"/>
                      <w:bCs/>
                      <w:snapToGrid w:val="0"/>
                      <w:color w:val="auto"/>
                      <w:kern w:val="0"/>
                      <w:sz w:val="21"/>
                      <w:szCs w:val="21"/>
                      <w:highlight w:val="none"/>
                      <w:lang w:val="en-US" w:eastAsia="zh-CN" w:bidi="ar-SA"/>
                      <w14:ligatures w14:val="none"/>
                    </w:rPr>
                  </w:pPr>
                  <w:r>
                    <w:rPr>
                      <w:rFonts w:hint="eastAsia"/>
                      <w:b w:val="0"/>
                      <w:bCs/>
                      <w:color w:val="auto"/>
                      <w:sz w:val="21"/>
                      <w:szCs w:val="21"/>
                      <w:highlight w:val="none"/>
                      <w:lang w:val="en-US" w:eastAsia="zh-CN"/>
                    </w:rPr>
                    <w:t>15</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384"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b w:val="0"/>
                      <w:bCs/>
                      <w:color w:val="auto"/>
                    </w:rPr>
                  </w:pPr>
                  <w:r>
                    <w:rPr>
                      <w:rFonts w:hint="default" w:ascii="Times New Roman" w:hAnsi="Times New Roman" w:eastAsia="宋体" w:cs="Times New Roman"/>
                      <w:b w:val="0"/>
                      <w:bCs/>
                      <w:color w:val="auto"/>
                      <w:lang w:val="en-US" w:eastAsia="zh-CN"/>
                    </w:rPr>
                    <w:t>西</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eastAsia" w:ascii="Times New Roman" w:hAnsi="Times New Roman" w:eastAsia="宋体" w:cs="Times New Roman"/>
                      <w:b w:val="0"/>
                      <w:bCs/>
                      <w:snapToGrid w:val="0"/>
                      <w:color w:val="auto"/>
                      <w:kern w:val="0"/>
                      <w:sz w:val="21"/>
                      <w:szCs w:val="21"/>
                      <w:highlight w:val="none"/>
                      <w:lang w:val="en-US" w:eastAsia="zh-CN" w:bidi="ar-SA"/>
                      <w14:ligatures w14:val="none"/>
                    </w:rPr>
                  </w:pPr>
                  <w:r>
                    <w:rPr>
                      <w:rFonts w:hint="eastAsia" w:eastAsia="宋体"/>
                      <w:b w:val="0"/>
                      <w:bCs/>
                      <w:color w:val="auto"/>
                      <w:sz w:val="21"/>
                      <w:szCs w:val="21"/>
                      <w:highlight w:val="none"/>
                      <w:lang w:val="en-US" w:eastAsia="zh-CN"/>
                    </w:rPr>
                    <w:t>2</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384"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b w:val="0"/>
                      <w:bCs/>
                      <w:color w:val="auto"/>
                    </w:rPr>
                  </w:pPr>
                  <w:r>
                    <w:rPr>
                      <w:rFonts w:hint="default" w:ascii="Times New Roman" w:hAnsi="Times New Roman" w:eastAsia="宋体" w:cs="Times New Roman"/>
                      <w:b w:val="0"/>
                      <w:bCs/>
                      <w:color w:val="auto"/>
                      <w:lang w:val="en-US" w:eastAsia="zh-CN"/>
                    </w:rPr>
                    <w:t>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snapToGrid w:val="0"/>
                      <w:color w:val="auto"/>
                      <w:kern w:val="0"/>
                      <w:sz w:val="21"/>
                      <w:szCs w:val="21"/>
                      <w:highlight w:val="none"/>
                      <w:lang w:val="en-US" w:eastAsia="zh-CN" w:bidi="ar-SA"/>
                      <w14:ligatures w14:val="none"/>
                    </w:rPr>
                  </w:pPr>
                  <w:r>
                    <w:rPr>
                      <w:rFonts w:hint="eastAsia" w:eastAsia="宋体"/>
                      <w:b w:val="0"/>
                      <w:bCs/>
                      <w:color w:val="auto"/>
                      <w:sz w:val="21"/>
                      <w:szCs w:val="21"/>
                      <w:highlight w:val="none"/>
                      <w:lang w:val="en-US" w:eastAsia="zh-CN"/>
                    </w:rPr>
                    <w:t>20</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7"/>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47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造粒机</w:t>
                  </w: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eastAsia"/>
                      <w:color w:val="auto"/>
                      <w:sz w:val="21"/>
                      <w:szCs w:val="21"/>
                      <w:lang w:val="en-US" w:eastAsia="zh-CN"/>
                    </w:rPr>
                  </w:pPr>
                  <w:r>
                    <w:rPr>
                      <w:rFonts w:hint="eastAsia"/>
                      <w:color w:val="auto"/>
                      <w:sz w:val="21"/>
                      <w:szCs w:val="21"/>
                      <w:lang w:val="en-US" w:eastAsia="zh-CN"/>
                    </w:rPr>
                    <w:t>60</w:t>
                  </w:r>
                </w:p>
              </w:tc>
              <w:tc>
                <w:tcPr>
                  <w:tcW w:w="408"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cs="Times New Roman"/>
                      <w:color w:val="auto"/>
                      <w:lang w:val="en-US" w:eastAsia="zh-CN"/>
                    </w:rPr>
                  </w:pPr>
                  <w:r>
                    <w:rPr>
                      <w:rFonts w:hint="eastAsia" w:cs="Times New Roman"/>
                      <w:color w:val="auto"/>
                      <w:lang w:val="en-US" w:eastAsia="zh-CN"/>
                    </w:rPr>
                    <w:t>51.76</w:t>
                  </w:r>
                </w:p>
              </w:tc>
              <w:tc>
                <w:tcPr>
                  <w:tcW w:w="408"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cs="Times New Roman"/>
                      <w:color w:val="auto"/>
                      <w:kern w:val="2"/>
                      <w:sz w:val="21"/>
                      <w:szCs w:val="22"/>
                      <w:lang w:val="en-US" w:eastAsia="zh-CN" w:bidi="ar-SA"/>
                    </w:rPr>
                  </w:pPr>
                  <w:r>
                    <w:rPr>
                      <w:rFonts w:hint="eastAsia" w:cs="Times New Roman"/>
                      <w:color w:val="auto"/>
                      <w:kern w:val="2"/>
                      <w:sz w:val="21"/>
                      <w:szCs w:val="22"/>
                      <w:lang w:val="en-US" w:eastAsia="zh-CN" w:bidi="ar-SA"/>
                    </w:rPr>
                    <w:t>113.3</w:t>
                  </w:r>
                </w:p>
              </w:tc>
              <w:tc>
                <w:tcPr>
                  <w:tcW w:w="384"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eastAsia"/>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东</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eastAsia" w:ascii="Times New Roman" w:hAnsi="Times New Roman" w:eastAsia="宋体" w:cs="Times New Roman"/>
                      <w:b w:val="0"/>
                      <w:bCs/>
                      <w:snapToGrid w:val="0"/>
                      <w:color w:val="auto"/>
                      <w:kern w:val="0"/>
                      <w:sz w:val="21"/>
                      <w:szCs w:val="21"/>
                      <w:highlight w:val="none"/>
                      <w:lang w:val="en-US" w:eastAsia="zh-CN" w:bidi="ar-SA"/>
                      <w14:ligatures w14:val="none"/>
                    </w:rPr>
                  </w:pPr>
                  <w:r>
                    <w:rPr>
                      <w:rFonts w:hint="eastAsia" w:eastAsia="宋体"/>
                      <w:b w:val="0"/>
                      <w:bCs/>
                      <w:color w:val="auto"/>
                      <w:sz w:val="21"/>
                      <w:szCs w:val="21"/>
                      <w:highlight w:val="none"/>
                      <w:lang w:val="en-US" w:eastAsia="zh-CN"/>
                    </w:rPr>
                    <w:t>22</w:t>
                  </w:r>
                </w:p>
              </w:tc>
              <w:tc>
                <w:tcPr>
                  <w:tcW w:w="511"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5</w:t>
                  </w:r>
                  <w:r>
                    <w:rPr>
                      <w:rFonts w:hint="eastAsia" w:ascii="Times New Roman" w:hAnsi="Times New Roman" w:eastAsia="宋体" w:cs="Times New Roman"/>
                      <w:color w:val="auto"/>
                      <w:sz w:val="21"/>
                      <w:szCs w:val="21"/>
                      <w:highlight w:val="none"/>
                      <w:lang w:val="en-US" w:eastAsia="zh-CN"/>
                    </w:rPr>
                    <w:t>5</w:t>
                  </w:r>
                </w:p>
              </w:tc>
              <w:tc>
                <w:tcPr>
                  <w:tcW w:w="471" w:type="dxa"/>
                  <w:vMerge w:val="continue"/>
                  <w:noWrap w:val="0"/>
                  <w:vAlign w:val="center"/>
                </w:tcPr>
                <w:p>
                  <w:pPr>
                    <w:pStyle w:val="57"/>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856"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20</w:t>
                  </w:r>
                </w:p>
              </w:tc>
              <w:tc>
                <w:tcPr>
                  <w:tcW w:w="856"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35</w:t>
                  </w:r>
                </w:p>
              </w:tc>
              <w:tc>
                <w:tcPr>
                  <w:tcW w:w="422"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384"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b w:val="0"/>
                      <w:bCs/>
                      <w:color w:val="auto"/>
                    </w:rPr>
                  </w:pPr>
                  <w:r>
                    <w:rPr>
                      <w:rFonts w:hint="default" w:ascii="Times New Roman" w:hAnsi="Times New Roman" w:eastAsia="宋体" w:cs="Times New Roman"/>
                      <w:b w:val="0"/>
                      <w:bCs/>
                      <w:color w:val="auto"/>
                      <w:lang w:val="en-US" w:eastAsia="zh-CN"/>
                    </w:rPr>
                    <w:t>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eastAsia" w:ascii="Times New Roman" w:hAnsi="Times New Roman" w:eastAsia="宋体" w:cs="Times New Roman"/>
                      <w:b w:val="0"/>
                      <w:bCs/>
                      <w:snapToGrid w:val="0"/>
                      <w:color w:val="auto"/>
                      <w:kern w:val="0"/>
                      <w:sz w:val="21"/>
                      <w:szCs w:val="21"/>
                      <w:highlight w:val="none"/>
                      <w:lang w:val="en-US" w:eastAsia="zh-CN" w:bidi="ar-SA"/>
                      <w14:ligatures w14:val="none"/>
                    </w:rPr>
                  </w:pPr>
                  <w:r>
                    <w:rPr>
                      <w:rFonts w:hint="eastAsia" w:eastAsia="宋体"/>
                      <w:b w:val="0"/>
                      <w:bCs/>
                      <w:color w:val="auto"/>
                      <w:sz w:val="21"/>
                      <w:szCs w:val="21"/>
                      <w:highlight w:val="none"/>
                      <w:lang w:val="en-US" w:eastAsia="zh-CN"/>
                    </w:rPr>
                    <w:t>5</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384"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b w:val="0"/>
                      <w:bCs/>
                      <w:color w:val="auto"/>
                    </w:rPr>
                  </w:pPr>
                  <w:r>
                    <w:rPr>
                      <w:rFonts w:hint="default" w:ascii="Times New Roman" w:hAnsi="Times New Roman" w:eastAsia="宋体" w:cs="Times New Roman"/>
                      <w:b w:val="0"/>
                      <w:bCs/>
                      <w:color w:val="auto"/>
                      <w:lang w:val="en-US" w:eastAsia="zh-CN"/>
                    </w:rPr>
                    <w:t>西</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snapToGrid w:val="0"/>
                      <w:color w:val="auto"/>
                      <w:kern w:val="0"/>
                      <w:sz w:val="21"/>
                      <w:szCs w:val="21"/>
                      <w:highlight w:val="none"/>
                      <w:lang w:val="en-US" w:eastAsia="zh-CN" w:bidi="ar-SA"/>
                      <w14:ligatures w14:val="none"/>
                    </w:rPr>
                  </w:pPr>
                  <w:r>
                    <w:rPr>
                      <w:rFonts w:hint="eastAsia" w:eastAsia="宋体"/>
                      <w:b w:val="0"/>
                      <w:bCs/>
                      <w:color w:val="auto"/>
                      <w:sz w:val="21"/>
                      <w:szCs w:val="21"/>
                      <w:highlight w:val="none"/>
                      <w:lang w:val="en-US" w:eastAsia="zh-CN"/>
                    </w:rPr>
                    <w:t>10</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384"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b w:val="0"/>
                      <w:bCs/>
                      <w:color w:val="auto"/>
                    </w:rPr>
                  </w:pPr>
                  <w:r>
                    <w:rPr>
                      <w:rFonts w:hint="default" w:ascii="Times New Roman" w:hAnsi="Times New Roman" w:eastAsia="宋体" w:cs="Times New Roman"/>
                      <w:b w:val="0"/>
                      <w:bCs/>
                      <w:color w:val="auto"/>
                      <w:lang w:val="en-US" w:eastAsia="zh-CN"/>
                    </w:rPr>
                    <w:t>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eastAsia" w:ascii="Times New Roman" w:hAnsi="Times New Roman" w:eastAsia="宋体" w:cs="Times New Roman"/>
                      <w:b w:val="0"/>
                      <w:bCs/>
                      <w:snapToGrid w:val="0"/>
                      <w:color w:val="auto"/>
                      <w:kern w:val="0"/>
                      <w:sz w:val="21"/>
                      <w:szCs w:val="21"/>
                      <w:highlight w:val="none"/>
                      <w:lang w:val="en-US" w:eastAsia="zh-CN" w:bidi="ar-SA"/>
                      <w14:ligatures w14:val="none"/>
                    </w:rPr>
                  </w:pPr>
                  <w:r>
                    <w:rPr>
                      <w:rFonts w:hint="eastAsia" w:eastAsia="宋体"/>
                      <w:b w:val="0"/>
                      <w:bCs/>
                      <w:color w:val="auto"/>
                      <w:sz w:val="21"/>
                      <w:szCs w:val="21"/>
                      <w:highlight w:val="none"/>
                      <w:lang w:val="en-US" w:eastAsia="zh-CN"/>
                    </w:rPr>
                    <w:t>5</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both"/>
                    <w:rPr>
                      <w:color w:val="auto"/>
                    </w:rPr>
                  </w:pPr>
                  <w:r>
                    <w:rPr>
                      <w:rFonts w:hint="default" w:ascii="Times New Roman" w:hAnsi="Times New Roman" w:eastAsia="宋体" w:cs="Times New Roman"/>
                      <w:color w:val="auto"/>
                      <w:sz w:val="21"/>
                      <w:szCs w:val="21"/>
                      <w:lang w:val="en-US" w:eastAsia="zh-CN"/>
                    </w:rPr>
                    <w:t>风提机</w:t>
                  </w: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color w:val="auto"/>
                    </w:rPr>
                  </w:pPr>
                  <w:r>
                    <w:rPr>
                      <w:rFonts w:hint="default" w:ascii="Times New Roman" w:hAnsi="Times New Roman" w:eastAsia="宋体" w:cs="Times New Roman"/>
                      <w:color w:val="auto"/>
                      <w:sz w:val="21"/>
                      <w:szCs w:val="21"/>
                      <w:lang w:val="en-US" w:eastAsia="zh-CN"/>
                    </w:rPr>
                    <w:t>88</w:t>
                  </w:r>
                </w:p>
              </w:tc>
              <w:tc>
                <w:tcPr>
                  <w:tcW w:w="408"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eastAsia="宋体"/>
                      <w:color w:val="auto"/>
                      <w:lang w:val="en-US" w:eastAsia="zh-CN"/>
                    </w:rPr>
                  </w:pPr>
                  <w:r>
                    <w:rPr>
                      <w:rFonts w:hint="eastAsia"/>
                      <w:color w:val="auto"/>
                      <w:lang w:val="en-US" w:eastAsia="zh-CN"/>
                    </w:rPr>
                    <w:t>53</w:t>
                  </w:r>
                </w:p>
              </w:tc>
              <w:tc>
                <w:tcPr>
                  <w:tcW w:w="408"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eastAsia="宋体"/>
                      <w:color w:val="auto"/>
                      <w:lang w:val="en-US" w:eastAsia="zh-CN"/>
                    </w:rPr>
                  </w:pPr>
                  <w:r>
                    <w:rPr>
                      <w:rFonts w:hint="eastAsia"/>
                      <w:color w:val="auto"/>
                      <w:lang w:val="en-US" w:eastAsia="zh-CN"/>
                    </w:rPr>
                    <w:t>125.39</w:t>
                  </w:r>
                </w:p>
              </w:tc>
              <w:tc>
                <w:tcPr>
                  <w:tcW w:w="384" w:type="dxa"/>
                  <w:vMerge w:val="restart"/>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pPr>
                  <w:r>
                    <w:rPr>
                      <w:rFonts w:hint="eastAsia" w:ascii="Times New Roman" w:hAnsi="Times New Roman" w:eastAsia="宋体" w:cs="Times New Roman"/>
                      <w:color w:val="auto"/>
                      <w:sz w:val="21"/>
                      <w:szCs w:val="21"/>
                      <w:highlight w:val="none"/>
                      <w:lang w:val="en-US" w:eastAsia="zh-CN"/>
                    </w:rPr>
                    <w:t>2</w:t>
                  </w: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kern w:val="2"/>
                      <w:sz w:val="21"/>
                      <w:szCs w:val="21"/>
                      <w:lang w:val="en-US" w:eastAsia="zh-CN" w:bidi="ar-SA"/>
                    </w:rPr>
                    <w:t>东</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eastAsia" w:eastAsia="宋体"/>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10</w:t>
                  </w:r>
                </w:p>
              </w:tc>
              <w:tc>
                <w:tcPr>
                  <w:tcW w:w="51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color w:val="auto"/>
                    </w:rPr>
                  </w:pPr>
                  <w:r>
                    <w:rPr>
                      <w:rFonts w:hint="default" w:ascii="Times New Roman" w:hAnsi="Times New Roman" w:eastAsia="宋体" w:cs="Times New Roman"/>
                      <w:color w:val="auto"/>
                      <w:sz w:val="21"/>
                      <w:szCs w:val="21"/>
                      <w:lang w:val="en-US" w:eastAsia="zh-CN"/>
                    </w:rPr>
                    <w:t>83</w:t>
                  </w: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color w:val="auto"/>
                    </w:rPr>
                  </w:pPr>
                  <w:r>
                    <w:rPr>
                      <w:rFonts w:hint="default" w:ascii="Times New Roman" w:hAnsi="Times New Roman" w:eastAsia="宋体" w:cs="Times New Roman"/>
                      <w:color w:val="auto"/>
                      <w:sz w:val="21"/>
                      <w:szCs w:val="21"/>
                      <w:highlight w:val="none"/>
                      <w:lang w:val="en-US" w:eastAsia="zh-CN"/>
                    </w:rPr>
                    <w:t>20</w:t>
                  </w: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color w:val="auto"/>
                    </w:rPr>
                  </w:pPr>
                  <w:r>
                    <w:rPr>
                      <w:rFonts w:hint="default" w:ascii="Times New Roman" w:hAnsi="Times New Roman" w:eastAsia="宋体" w:cs="Times New Roman"/>
                      <w:color w:val="auto"/>
                      <w:sz w:val="21"/>
                      <w:szCs w:val="21"/>
                      <w:lang w:val="en-US" w:eastAsia="zh-CN"/>
                    </w:rPr>
                    <w:t>63</w:t>
                  </w:r>
                </w:p>
              </w:tc>
              <w:tc>
                <w:tcPr>
                  <w:tcW w:w="422"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color w:val="auto"/>
                    </w:rPr>
                  </w:pPr>
                  <w:r>
                    <w:rPr>
                      <w:rFonts w:hint="default" w:ascii="Times New Roman" w:hAnsi="Times New Roman" w:eastAsia="宋体" w:cs="Times New Roman"/>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384"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sz w:val="21"/>
                      <w:szCs w:val="21"/>
                      <w:lang w:val="en-US" w:eastAsia="zh-CN"/>
                    </w:rPr>
                    <w:t>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eastAsia" w:eastAsia="宋体"/>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15</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384"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sz w:val="21"/>
                      <w:szCs w:val="21"/>
                      <w:lang w:val="en-US" w:eastAsia="zh-CN"/>
                    </w:rPr>
                    <w:t>西</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eastAsia" w:eastAsia="宋体"/>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384"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sz w:val="21"/>
                      <w:szCs w:val="21"/>
                      <w:lang w:val="en-US" w:eastAsia="zh-CN"/>
                    </w:rPr>
                    <w:t>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eastAsia" w:eastAsia="宋体"/>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20</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color w:val="auto"/>
                    </w:rPr>
                  </w:pPr>
                  <w:r>
                    <w:rPr>
                      <w:rFonts w:hint="default" w:ascii="Times New Roman" w:hAnsi="Times New Roman" w:eastAsia="宋体" w:cs="Times New Roman"/>
                      <w:color w:val="auto"/>
                      <w:sz w:val="21"/>
                      <w:szCs w:val="21"/>
                      <w:lang w:val="en-US" w:eastAsia="zh-CN"/>
                    </w:rPr>
                    <w:t>单转子</w:t>
                  </w: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color w:val="auto"/>
                    </w:rPr>
                  </w:pPr>
                  <w:r>
                    <w:rPr>
                      <w:rFonts w:hint="default" w:ascii="Times New Roman" w:hAnsi="Times New Roman" w:eastAsia="宋体" w:cs="Times New Roman"/>
                      <w:color w:val="auto"/>
                      <w:sz w:val="21"/>
                      <w:szCs w:val="21"/>
                      <w:lang w:val="en-US" w:eastAsia="zh-CN"/>
                    </w:rPr>
                    <w:t>65</w:t>
                  </w:r>
                </w:p>
              </w:tc>
              <w:tc>
                <w:tcPr>
                  <w:tcW w:w="408"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eastAsia="宋体"/>
                      <w:color w:val="auto"/>
                      <w:lang w:val="en-US" w:eastAsia="zh-CN"/>
                    </w:rPr>
                  </w:pPr>
                  <w:r>
                    <w:rPr>
                      <w:rFonts w:hint="eastAsia"/>
                      <w:color w:val="auto"/>
                      <w:lang w:val="en-US" w:eastAsia="zh-CN"/>
                    </w:rPr>
                    <w:t>73.5</w:t>
                  </w:r>
                </w:p>
              </w:tc>
              <w:tc>
                <w:tcPr>
                  <w:tcW w:w="408"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eastAsia="宋体"/>
                      <w:color w:val="auto"/>
                      <w:lang w:val="en-US" w:eastAsia="zh-CN"/>
                    </w:rPr>
                  </w:pPr>
                  <w:r>
                    <w:rPr>
                      <w:rFonts w:hint="eastAsia"/>
                      <w:color w:val="auto"/>
                      <w:lang w:val="en-US" w:eastAsia="zh-CN"/>
                    </w:rPr>
                    <w:t>129.21</w:t>
                  </w:r>
                </w:p>
              </w:tc>
              <w:tc>
                <w:tcPr>
                  <w:tcW w:w="384" w:type="dxa"/>
                  <w:vMerge w:val="restart"/>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pPr>
                  <w:r>
                    <w:rPr>
                      <w:rFonts w:hint="eastAsia" w:ascii="Times New Roman" w:hAnsi="Times New Roman" w:eastAsia="宋体" w:cs="Times New Roman"/>
                      <w:color w:val="auto"/>
                      <w:sz w:val="21"/>
                      <w:szCs w:val="21"/>
                      <w:highlight w:val="none"/>
                      <w:lang w:val="en-US" w:eastAsia="zh-CN"/>
                    </w:rPr>
                    <w:t>2</w:t>
                  </w: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kern w:val="2"/>
                      <w:sz w:val="21"/>
                      <w:szCs w:val="21"/>
                      <w:lang w:val="en-US" w:eastAsia="zh-CN" w:bidi="ar-SA"/>
                    </w:rPr>
                    <w:t>东</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eastAsia" w:eastAsia="宋体"/>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22</w:t>
                  </w:r>
                </w:p>
              </w:tc>
              <w:tc>
                <w:tcPr>
                  <w:tcW w:w="51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color w:val="auto"/>
                    </w:rPr>
                  </w:pPr>
                  <w:r>
                    <w:rPr>
                      <w:rFonts w:hint="default" w:ascii="Times New Roman" w:hAnsi="Times New Roman" w:eastAsia="宋体" w:cs="Times New Roman"/>
                      <w:color w:val="auto"/>
                      <w:sz w:val="21"/>
                      <w:szCs w:val="21"/>
                      <w:lang w:val="en-US" w:eastAsia="zh-CN"/>
                    </w:rPr>
                    <w:t>60</w:t>
                  </w: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color w:val="auto"/>
                    </w:rPr>
                  </w:pPr>
                  <w:r>
                    <w:rPr>
                      <w:rFonts w:hint="default" w:ascii="Times New Roman" w:hAnsi="Times New Roman" w:eastAsia="宋体" w:cs="Times New Roman"/>
                      <w:color w:val="auto"/>
                      <w:sz w:val="21"/>
                      <w:szCs w:val="21"/>
                      <w:highlight w:val="none"/>
                      <w:lang w:val="en-US" w:eastAsia="zh-CN"/>
                    </w:rPr>
                    <w:t>20</w:t>
                  </w: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color w:val="auto"/>
                    </w:rPr>
                  </w:pPr>
                  <w:r>
                    <w:rPr>
                      <w:rFonts w:hint="default" w:ascii="Times New Roman" w:hAnsi="Times New Roman" w:eastAsia="宋体" w:cs="Times New Roman"/>
                      <w:color w:val="auto"/>
                      <w:sz w:val="21"/>
                      <w:szCs w:val="21"/>
                      <w:lang w:val="en-US" w:eastAsia="zh-CN"/>
                    </w:rPr>
                    <w:t>40</w:t>
                  </w:r>
                </w:p>
              </w:tc>
              <w:tc>
                <w:tcPr>
                  <w:tcW w:w="422"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color w:val="auto"/>
                    </w:rPr>
                  </w:pPr>
                  <w:r>
                    <w:rPr>
                      <w:rFonts w:hint="default" w:ascii="Times New Roman" w:hAnsi="Times New Roman" w:eastAsia="宋体" w:cs="Times New Roman"/>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384"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sz w:val="21"/>
                      <w:szCs w:val="21"/>
                      <w:lang w:val="en-US" w:eastAsia="zh-CN"/>
                    </w:rPr>
                    <w:t>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eastAsia" w:eastAsia="宋体"/>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384"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sz w:val="21"/>
                      <w:szCs w:val="21"/>
                      <w:lang w:val="en-US" w:eastAsia="zh-CN"/>
                    </w:rPr>
                    <w:t>西</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eastAsia" w:eastAsia="宋体"/>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10</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384"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sz w:val="21"/>
                      <w:szCs w:val="21"/>
                      <w:lang w:val="en-US" w:eastAsia="zh-CN"/>
                    </w:rPr>
                    <w:t>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eastAsia" w:eastAsia="宋体"/>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color w:val="auto"/>
                    </w:rPr>
                  </w:pPr>
                  <w:r>
                    <w:rPr>
                      <w:rFonts w:hint="default" w:ascii="Times New Roman" w:hAnsi="Times New Roman" w:eastAsia="宋体" w:cs="Times New Roman"/>
                      <w:color w:val="auto"/>
                      <w:sz w:val="21"/>
                      <w:szCs w:val="21"/>
                      <w:lang w:val="en-US" w:eastAsia="zh-CN"/>
                    </w:rPr>
                    <w:t>蛟龙</w:t>
                  </w: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color w:val="auto"/>
                    </w:rPr>
                  </w:pPr>
                  <w:r>
                    <w:rPr>
                      <w:rFonts w:hint="default" w:ascii="Times New Roman" w:hAnsi="Times New Roman" w:eastAsia="宋体" w:cs="Times New Roman"/>
                      <w:color w:val="auto"/>
                      <w:sz w:val="21"/>
                      <w:szCs w:val="21"/>
                      <w:lang w:val="en-US" w:eastAsia="zh-CN"/>
                    </w:rPr>
                    <w:t>60</w:t>
                  </w:r>
                </w:p>
              </w:tc>
              <w:tc>
                <w:tcPr>
                  <w:tcW w:w="408"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eastAsia="宋体"/>
                      <w:color w:val="auto"/>
                      <w:lang w:val="en-US" w:eastAsia="zh-CN"/>
                    </w:rPr>
                  </w:pPr>
                  <w:r>
                    <w:rPr>
                      <w:rFonts w:hint="eastAsia"/>
                      <w:color w:val="auto"/>
                      <w:lang w:val="en-US" w:eastAsia="zh-CN"/>
                    </w:rPr>
                    <w:t>109</w:t>
                  </w:r>
                </w:p>
              </w:tc>
              <w:tc>
                <w:tcPr>
                  <w:tcW w:w="408"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eastAsia="宋体"/>
                      <w:color w:val="auto"/>
                      <w:lang w:val="en-US" w:eastAsia="zh-CN"/>
                    </w:rPr>
                  </w:pPr>
                  <w:r>
                    <w:rPr>
                      <w:rFonts w:hint="eastAsia"/>
                      <w:color w:val="auto"/>
                      <w:lang w:val="en-US" w:eastAsia="zh-CN"/>
                    </w:rPr>
                    <w:t>115.09</w:t>
                  </w:r>
                </w:p>
              </w:tc>
              <w:tc>
                <w:tcPr>
                  <w:tcW w:w="384" w:type="dxa"/>
                  <w:vMerge w:val="restart"/>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pPr>
                  <w:r>
                    <w:rPr>
                      <w:rFonts w:hint="eastAsia" w:ascii="Times New Roman" w:hAnsi="Times New Roman" w:eastAsia="宋体" w:cs="Times New Roman"/>
                      <w:color w:val="auto"/>
                      <w:sz w:val="21"/>
                      <w:szCs w:val="21"/>
                      <w:highlight w:val="none"/>
                      <w:lang w:val="en-US" w:eastAsia="zh-CN"/>
                    </w:rPr>
                    <w:t>2</w:t>
                  </w: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kern w:val="2"/>
                      <w:sz w:val="21"/>
                      <w:szCs w:val="21"/>
                      <w:lang w:val="en-US" w:eastAsia="zh-CN" w:bidi="ar-SA"/>
                    </w:rPr>
                    <w:t>东</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eastAsia" w:eastAsia="宋体"/>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27</w:t>
                  </w:r>
                </w:p>
              </w:tc>
              <w:tc>
                <w:tcPr>
                  <w:tcW w:w="51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color w:val="auto"/>
                    </w:rPr>
                  </w:pPr>
                  <w:r>
                    <w:rPr>
                      <w:rFonts w:hint="default" w:ascii="Times New Roman" w:hAnsi="Times New Roman" w:eastAsia="宋体" w:cs="Times New Roman"/>
                      <w:color w:val="auto"/>
                      <w:sz w:val="21"/>
                      <w:szCs w:val="21"/>
                      <w:lang w:val="en-US" w:eastAsia="zh-CN"/>
                    </w:rPr>
                    <w:t>55</w:t>
                  </w: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color w:val="auto"/>
                    </w:rPr>
                  </w:pPr>
                  <w:r>
                    <w:rPr>
                      <w:rFonts w:hint="default" w:ascii="Times New Roman" w:hAnsi="Times New Roman" w:eastAsia="宋体" w:cs="Times New Roman"/>
                      <w:color w:val="auto"/>
                      <w:sz w:val="21"/>
                      <w:szCs w:val="21"/>
                      <w:highlight w:val="none"/>
                      <w:lang w:val="en-US" w:eastAsia="zh-CN"/>
                    </w:rPr>
                    <w:t>20</w:t>
                  </w: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color w:val="auto"/>
                    </w:rPr>
                  </w:pPr>
                  <w:r>
                    <w:rPr>
                      <w:rFonts w:hint="default" w:ascii="Times New Roman" w:hAnsi="Times New Roman" w:eastAsia="宋体" w:cs="Times New Roman"/>
                      <w:color w:val="auto"/>
                      <w:sz w:val="21"/>
                      <w:szCs w:val="21"/>
                      <w:lang w:val="en-US" w:eastAsia="zh-CN"/>
                    </w:rPr>
                    <w:t>35</w:t>
                  </w:r>
                </w:p>
              </w:tc>
              <w:tc>
                <w:tcPr>
                  <w:tcW w:w="422"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color w:val="auto"/>
                    </w:rPr>
                  </w:pPr>
                  <w:r>
                    <w:rPr>
                      <w:rFonts w:hint="default" w:ascii="Times New Roman" w:hAnsi="Times New Roman" w:eastAsia="宋体" w:cs="Times New Roman"/>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384"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sz w:val="21"/>
                      <w:szCs w:val="21"/>
                      <w:lang w:val="en-US" w:eastAsia="zh-CN"/>
                    </w:rPr>
                    <w:t>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eastAsia" w:eastAsia="宋体"/>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384"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sz w:val="21"/>
                      <w:szCs w:val="21"/>
                      <w:lang w:val="en-US" w:eastAsia="zh-CN"/>
                    </w:rPr>
                    <w:t>西</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eastAsia" w:eastAsia="宋体"/>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16</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384"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sz w:val="21"/>
                      <w:szCs w:val="21"/>
                      <w:lang w:val="en-US" w:eastAsia="zh-CN"/>
                    </w:rPr>
                    <w:t>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eastAsia" w:eastAsia="宋体"/>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10</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color w:val="auto"/>
                    </w:rPr>
                  </w:pPr>
                  <w:r>
                    <w:rPr>
                      <w:rFonts w:hint="default" w:ascii="Times New Roman" w:hAnsi="Times New Roman" w:eastAsia="宋体" w:cs="Times New Roman"/>
                      <w:color w:val="auto"/>
                      <w:sz w:val="21"/>
                      <w:szCs w:val="21"/>
                      <w:lang w:val="en-US" w:eastAsia="zh-CN"/>
                    </w:rPr>
                    <w:t>除磁机</w:t>
                  </w: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color w:val="auto"/>
                    </w:rPr>
                  </w:pPr>
                  <w:r>
                    <w:rPr>
                      <w:rFonts w:hint="default" w:ascii="Times New Roman" w:hAnsi="Times New Roman" w:eastAsia="宋体" w:cs="Times New Roman"/>
                      <w:color w:val="auto"/>
                      <w:sz w:val="21"/>
                      <w:szCs w:val="21"/>
                      <w:lang w:val="en-US" w:eastAsia="zh-CN"/>
                    </w:rPr>
                    <w:t>75</w:t>
                  </w:r>
                </w:p>
              </w:tc>
              <w:tc>
                <w:tcPr>
                  <w:tcW w:w="408"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eastAsia="宋体"/>
                      <w:color w:val="auto"/>
                      <w:lang w:val="en-US" w:eastAsia="zh-CN"/>
                    </w:rPr>
                  </w:pPr>
                  <w:r>
                    <w:rPr>
                      <w:rFonts w:hint="eastAsia"/>
                      <w:color w:val="auto"/>
                      <w:lang w:val="en-US" w:eastAsia="zh-CN"/>
                    </w:rPr>
                    <w:t>107</w:t>
                  </w:r>
                </w:p>
              </w:tc>
              <w:tc>
                <w:tcPr>
                  <w:tcW w:w="408"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eastAsia="宋体"/>
                      <w:color w:val="auto"/>
                      <w:lang w:val="en-US" w:eastAsia="zh-CN"/>
                    </w:rPr>
                  </w:pPr>
                  <w:r>
                    <w:rPr>
                      <w:rFonts w:hint="eastAsia"/>
                      <w:color w:val="auto"/>
                      <w:lang w:val="en-US" w:eastAsia="zh-CN"/>
                    </w:rPr>
                    <w:t>130</w:t>
                  </w:r>
                </w:p>
              </w:tc>
              <w:tc>
                <w:tcPr>
                  <w:tcW w:w="384" w:type="dxa"/>
                  <w:vMerge w:val="restart"/>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pPr>
                  <w:r>
                    <w:rPr>
                      <w:rFonts w:hint="eastAsia" w:ascii="Times New Roman" w:hAnsi="Times New Roman" w:eastAsia="宋体" w:cs="Times New Roman"/>
                      <w:color w:val="auto"/>
                      <w:sz w:val="21"/>
                      <w:szCs w:val="21"/>
                      <w:highlight w:val="none"/>
                      <w:lang w:val="en-US" w:eastAsia="zh-CN"/>
                    </w:rPr>
                    <w:t>2</w:t>
                  </w: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kern w:val="2"/>
                      <w:sz w:val="21"/>
                      <w:szCs w:val="21"/>
                      <w:lang w:val="en-US" w:eastAsia="zh-CN" w:bidi="ar-SA"/>
                    </w:rPr>
                    <w:t>东</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eastAsia" w:eastAsia="宋体"/>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w:t>
                  </w:r>
                </w:p>
              </w:tc>
              <w:tc>
                <w:tcPr>
                  <w:tcW w:w="51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color w:val="auto"/>
                    </w:rPr>
                  </w:pPr>
                  <w:r>
                    <w:rPr>
                      <w:rFonts w:hint="default" w:ascii="Times New Roman" w:hAnsi="Times New Roman" w:eastAsia="宋体" w:cs="Times New Roman"/>
                      <w:color w:val="auto"/>
                      <w:sz w:val="21"/>
                      <w:szCs w:val="21"/>
                      <w:lang w:val="en-US" w:eastAsia="zh-CN"/>
                    </w:rPr>
                    <w:t>70</w:t>
                  </w: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color w:val="auto"/>
                    </w:rPr>
                  </w:pPr>
                  <w:r>
                    <w:rPr>
                      <w:rFonts w:hint="default" w:ascii="Times New Roman" w:hAnsi="Times New Roman" w:eastAsia="宋体" w:cs="Times New Roman"/>
                      <w:color w:val="auto"/>
                      <w:sz w:val="21"/>
                      <w:szCs w:val="21"/>
                      <w:highlight w:val="none"/>
                      <w:lang w:val="en-US" w:eastAsia="zh-CN"/>
                    </w:rPr>
                    <w:t>20</w:t>
                  </w: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color w:val="auto"/>
                    </w:rPr>
                  </w:pPr>
                  <w:r>
                    <w:rPr>
                      <w:rFonts w:hint="default" w:ascii="Times New Roman" w:hAnsi="Times New Roman" w:eastAsia="宋体" w:cs="Times New Roman"/>
                      <w:color w:val="auto"/>
                      <w:sz w:val="21"/>
                      <w:szCs w:val="21"/>
                      <w:lang w:val="en-US" w:eastAsia="zh-CN"/>
                    </w:rPr>
                    <w:t>50</w:t>
                  </w:r>
                </w:p>
              </w:tc>
              <w:tc>
                <w:tcPr>
                  <w:tcW w:w="422"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color w:val="auto"/>
                    </w:rPr>
                  </w:pPr>
                  <w:r>
                    <w:rPr>
                      <w:rFonts w:hint="default" w:ascii="Times New Roman" w:hAnsi="Times New Roman" w:eastAsia="宋体" w:cs="Times New Roman"/>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384"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sz w:val="21"/>
                      <w:szCs w:val="21"/>
                      <w:lang w:val="en-US" w:eastAsia="zh-CN"/>
                    </w:rPr>
                    <w:t>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eastAsia" w:eastAsia="宋体"/>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10</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384"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sz w:val="21"/>
                      <w:szCs w:val="21"/>
                      <w:lang w:val="en-US" w:eastAsia="zh-CN"/>
                    </w:rPr>
                    <w:t>西</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eastAsia" w:eastAsia="宋体"/>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384"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sz w:val="21"/>
                      <w:szCs w:val="21"/>
                      <w:lang w:val="en-US" w:eastAsia="zh-CN"/>
                    </w:rPr>
                    <w:t>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eastAsia" w:eastAsia="宋体"/>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27</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color w:val="auto"/>
                    </w:rPr>
                  </w:pPr>
                  <w:r>
                    <w:rPr>
                      <w:rFonts w:hint="default" w:ascii="Times New Roman" w:hAnsi="Times New Roman" w:eastAsia="宋体" w:cs="Times New Roman"/>
                      <w:color w:val="auto"/>
                      <w:sz w:val="21"/>
                      <w:szCs w:val="21"/>
                      <w:lang w:val="en-US" w:eastAsia="zh-CN"/>
                    </w:rPr>
                    <w:t>超微粉磨机</w:t>
                  </w: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color w:val="auto"/>
                    </w:rPr>
                  </w:pPr>
                  <w:r>
                    <w:rPr>
                      <w:rFonts w:hint="default" w:ascii="Times New Roman" w:hAnsi="Times New Roman" w:eastAsia="宋体" w:cs="Times New Roman"/>
                      <w:color w:val="auto"/>
                      <w:sz w:val="21"/>
                      <w:szCs w:val="21"/>
                      <w:lang w:val="en-US" w:eastAsia="zh-CN"/>
                    </w:rPr>
                    <w:t>65</w:t>
                  </w:r>
                </w:p>
              </w:tc>
              <w:tc>
                <w:tcPr>
                  <w:tcW w:w="408"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eastAsia="宋体"/>
                      <w:color w:val="auto"/>
                      <w:lang w:val="en-US" w:eastAsia="zh-CN"/>
                    </w:rPr>
                  </w:pPr>
                  <w:r>
                    <w:rPr>
                      <w:rFonts w:hint="eastAsia"/>
                      <w:color w:val="auto"/>
                      <w:lang w:val="en-US" w:eastAsia="zh-CN"/>
                    </w:rPr>
                    <w:t>127</w:t>
                  </w:r>
                </w:p>
              </w:tc>
              <w:tc>
                <w:tcPr>
                  <w:tcW w:w="408"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eastAsia="宋体"/>
                      <w:color w:val="auto"/>
                      <w:lang w:val="en-US" w:eastAsia="zh-CN"/>
                    </w:rPr>
                  </w:pPr>
                  <w:r>
                    <w:rPr>
                      <w:rFonts w:hint="eastAsia"/>
                      <w:color w:val="auto"/>
                      <w:lang w:val="en-US" w:eastAsia="zh-CN"/>
                    </w:rPr>
                    <w:t>129</w:t>
                  </w:r>
                </w:p>
              </w:tc>
              <w:tc>
                <w:tcPr>
                  <w:tcW w:w="384" w:type="dxa"/>
                  <w:vMerge w:val="restart"/>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pPr>
                  <w:r>
                    <w:rPr>
                      <w:rFonts w:hint="eastAsia" w:ascii="Times New Roman" w:hAnsi="Times New Roman" w:eastAsia="宋体" w:cs="Times New Roman"/>
                      <w:color w:val="auto"/>
                      <w:sz w:val="21"/>
                      <w:szCs w:val="21"/>
                      <w:highlight w:val="none"/>
                      <w:lang w:val="en-US" w:eastAsia="zh-CN"/>
                    </w:rPr>
                    <w:t>2</w:t>
                  </w: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kern w:val="2"/>
                      <w:sz w:val="21"/>
                      <w:szCs w:val="21"/>
                      <w:lang w:val="en-US" w:eastAsia="zh-CN" w:bidi="ar-SA"/>
                    </w:rPr>
                    <w:t>东</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eastAsia" w:eastAsia="宋体"/>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16</w:t>
                  </w:r>
                </w:p>
              </w:tc>
              <w:tc>
                <w:tcPr>
                  <w:tcW w:w="51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color w:val="auto"/>
                    </w:rPr>
                  </w:pPr>
                  <w:r>
                    <w:rPr>
                      <w:rFonts w:hint="default" w:ascii="Times New Roman" w:hAnsi="Times New Roman" w:eastAsia="宋体" w:cs="Times New Roman"/>
                      <w:color w:val="auto"/>
                      <w:sz w:val="21"/>
                      <w:szCs w:val="21"/>
                      <w:lang w:val="en-US" w:eastAsia="zh-CN"/>
                    </w:rPr>
                    <w:t>60</w:t>
                  </w: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color w:val="auto"/>
                    </w:rPr>
                  </w:pPr>
                  <w:r>
                    <w:rPr>
                      <w:rFonts w:hint="default" w:ascii="Times New Roman" w:hAnsi="Times New Roman" w:eastAsia="宋体" w:cs="Times New Roman"/>
                      <w:color w:val="auto"/>
                      <w:sz w:val="21"/>
                      <w:szCs w:val="21"/>
                      <w:highlight w:val="none"/>
                      <w:lang w:val="en-US" w:eastAsia="zh-CN"/>
                    </w:rPr>
                    <w:t>20</w:t>
                  </w: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color w:val="auto"/>
                    </w:rPr>
                  </w:pPr>
                  <w:r>
                    <w:rPr>
                      <w:rFonts w:hint="default" w:ascii="Times New Roman" w:hAnsi="Times New Roman" w:eastAsia="宋体" w:cs="Times New Roman"/>
                      <w:color w:val="auto"/>
                      <w:sz w:val="21"/>
                      <w:szCs w:val="21"/>
                      <w:lang w:val="en-US" w:eastAsia="zh-CN"/>
                    </w:rPr>
                    <w:t>40</w:t>
                  </w:r>
                </w:p>
              </w:tc>
              <w:tc>
                <w:tcPr>
                  <w:tcW w:w="422"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color w:val="auto"/>
                    </w:rPr>
                  </w:pPr>
                  <w:r>
                    <w:rPr>
                      <w:rFonts w:hint="default" w:ascii="Times New Roman" w:hAnsi="Times New Roman" w:eastAsia="宋体" w:cs="Times New Roman"/>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384"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sz w:val="21"/>
                      <w:szCs w:val="21"/>
                      <w:lang w:val="en-US" w:eastAsia="zh-CN"/>
                    </w:rPr>
                    <w:t>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eastAsia" w:eastAsia="宋体"/>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10</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384"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sz w:val="21"/>
                      <w:szCs w:val="21"/>
                      <w:lang w:val="en-US" w:eastAsia="zh-CN"/>
                    </w:rPr>
                    <w:t>西</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eastAsia" w:eastAsia="宋体"/>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384"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sz w:val="21"/>
                      <w:szCs w:val="21"/>
                      <w:lang w:val="en-US" w:eastAsia="zh-CN"/>
                    </w:rPr>
                    <w:t>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eastAsia" w:eastAsia="宋体"/>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10</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color w:val="auto"/>
                    </w:rPr>
                  </w:pPr>
                  <w:r>
                    <w:rPr>
                      <w:rFonts w:hint="default" w:ascii="Times New Roman" w:hAnsi="Times New Roman" w:eastAsia="宋体" w:cs="Times New Roman"/>
                      <w:color w:val="auto"/>
                      <w:sz w:val="21"/>
                      <w:szCs w:val="21"/>
                      <w:lang w:val="en-US" w:eastAsia="zh-CN"/>
                    </w:rPr>
                    <w:t>运输带</w:t>
                  </w: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color w:val="auto"/>
                    </w:rPr>
                  </w:pPr>
                  <w:r>
                    <w:rPr>
                      <w:rFonts w:hint="default" w:ascii="Times New Roman" w:hAnsi="Times New Roman" w:eastAsia="宋体" w:cs="Times New Roman"/>
                      <w:color w:val="auto"/>
                      <w:sz w:val="21"/>
                      <w:szCs w:val="21"/>
                      <w:lang w:val="en-US" w:eastAsia="zh-CN"/>
                    </w:rPr>
                    <w:t>60</w:t>
                  </w:r>
                </w:p>
              </w:tc>
              <w:tc>
                <w:tcPr>
                  <w:tcW w:w="408"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eastAsia="宋体"/>
                      <w:color w:val="auto"/>
                      <w:lang w:val="en-US" w:eastAsia="zh-CN"/>
                    </w:rPr>
                  </w:pPr>
                  <w:r>
                    <w:rPr>
                      <w:rFonts w:hint="eastAsia"/>
                      <w:color w:val="auto"/>
                      <w:lang w:val="en-US" w:eastAsia="zh-CN"/>
                    </w:rPr>
                    <w:t>36.45</w:t>
                  </w:r>
                </w:p>
              </w:tc>
              <w:tc>
                <w:tcPr>
                  <w:tcW w:w="408"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eastAsia="宋体"/>
                      <w:color w:val="auto"/>
                      <w:lang w:val="en-US" w:eastAsia="zh-CN"/>
                    </w:rPr>
                  </w:pPr>
                  <w:r>
                    <w:rPr>
                      <w:rFonts w:hint="eastAsia"/>
                      <w:color w:val="auto"/>
                      <w:lang w:val="en-US" w:eastAsia="zh-CN"/>
                    </w:rPr>
                    <w:t>115.39</w:t>
                  </w:r>
                </w:p>
              </w:tc>
              <w:tc>
                <w:tcPr>
                  <w:tcW w:w="384" w:type="dxa"/>
                  <w:vMerge w:val="restart"/>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rPr>
                      <w:color w:val="auto"/>
                    </w:rPr>
                  </w:pPr>
                  <w:r>
                    <w:rPr>
                      <w:rFonts w:hint="eastAsia" w:ascii="Times New Roman" w:hAnsi="Times New Roman" w:eastAsia="宋体" w:cs="Times New Roman"/>
                      <w:color w:val="auto"/>
                      <w:sz w:val="21"/>
                      <w:szCs w:val="21"/>
                      <w:highlight w:val="none"/>
                      <w:lang w:val="en-US" w:eastAsia="zh-CN"/>
                    </w:rPr>
                    <w:t>2</w:t>
                  </w: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kern w:val="2"/>
                      <w:sz w:val="21"/>
                      <w:szCs w:val="21"/>
                      <w:lang w:val="en-US" w:eastAsia="zh-CN" w:bidi="ar-SA"/>
                    </w:rPr>
                    <w:t>东</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eastAsia" w:eastAsia="宋体"/>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w:t>
                  </w:r>
                </w:p>
              </w:tc>
              <w:tc>
                <w:tcPr>
                  <w:tcW w:w="51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color w:val="auto"/>
                    </w:rPr>
                  </w:pPr>
                  <w:r>
                    <w:rPr>
                      <w:rFonts w:hint="default" w:ascii="Times New Roman" w:hAnsi="Times New Roman" w:eastAsia="宋体" w:cs="Times New Roman"/>
                      <w:color w:val="auto"/>
                      <w:sz w:val="21"/>
                      <w:szCs w:val="21"/>
                      <w:lang w:val="en-US" w:eastAsia="zh-CN"/>
                    </w:rPr>
                    <w:t>55</w:t>
                  </w: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color w:val="auto"/>
                    </w:rPr>
                  </w:pPr>
                  <w:r>
                    <w:rPr>
                      <w:rFonts w:hint="default" w:ascii="Times New Roman" w:hAnsi="Times New Roman" w:eastAsia="宋体" w:cs="Times New Roman"/>
                      <w:color w:val="auto"/>
                      <w:sz w:val="21"/>
                      <w:szCs w:val="21"/>
                      <w:highlight w:val="none"/>
                      <w:lang w:val="en-US" w:eastAsia="zh-CN"/>
                    </w:rPr>
                    <w:t>20</w:t>
                  </w: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color w:val="auto"/>
                    </w:rPr>
                  </w:pPr>
                  <w:r>
                    <w:rPr>
                      <w:rFonts w:hint="default" w:ascii="Times New Roman" w:hAnsi="Times New Roman" w:eastAsia="宋体" w:cs="Times New Roman"/>
                      <w:color w:val="auto"/>
                      <w:sz w:val="21"/>
                      <w:szCs w:val="21"/>
                      <w:lang w:val="en-US" w:eastAsia="zh-CN"/>
                    </w:rPr>
                    <w:t>35</w:t>
                  </w:r>
                </w:p>
              </w:tc>
              <w:tc>
                <w:tcPr>
                  <w:tcW w:w="422"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color w:val="auto"/>
                    </w:rPr>
                  </w:pPr>
                  <w:r>
                    <w:rPr>
                      <w:rFonts w:hint="default" w:ascii="Times New Roman" w:hAnsi="Times New Roman" w:eastAsia="宋体" w:cs="Times New Roman"/>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384"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sz w:val="21"/>
                      <w:szCs w:val="21"/>
                      <w:lang w:val="en-US" w:eastAsia="zh-CN"/>
                    </w:rPr>
                    <w:t>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eastAsia" w:eastAsia="宋体"/>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16</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384"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sz w:val="21"/>
                      <w:szCs w:val="21"/>
                      <w:lang w:val="en-US" w:eastAsia="zh-CN"/>
                    </w:rPr>
                    <w:t>西</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eastAsia" w:eastAsia="宋体"/>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10</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08"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384"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sz w:val="21"/>
                      <w:szCs w:val="21"/>
                      <w:lang w:val="en-US" w:eastAsia="zh-CN"/>
                    </w:rPr>
                    <w:t>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eastAsia" w:eastAsia="宋体"/>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15</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color w:val="auto"/>
                    </w:rPr>
                  </w:pPr>
                </w:p>
              </w:tc>
            </w:tr>
          </w:tbl>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（2）声环境影响预测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本项目主要的噪声设备根据设置的位置可分为室外声源、室内声源；采用《环境影响评价技术导则 声环境》（HJ2.4-2021）附录B中工业噪声预测计算模型进行预测，相关模型简述如下：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auto"/>
              </w:rPr>
            </w:pPr>
            <w:r>
              <w:rPr>
                <w:rFonts w:hint="default" w:ascii="Times New Roman" w:hAnsi="Times New Roman" w:eastAsia="宋体" w:cs="Times New Roman"/>
                <w:snapToGrid w:val="0"/>
                <w:color w:val="auto"/>
                <w:kern w:val="0"/>
                <w:sz w:val="24"/>
                <w:szCs w:val="24"/>
                <w:lang w:val="en-US" w:eastAsia="zh-CN" w:bidi="ar-SA"/>
                <w14:ligatures w14:val="none"/>
              </w:rPr>
              <w:t>①</w:t>
            </w:r>
            <w:r>
              <w:rPr>
                <w:rFonts w:hint="default" w:ascii="Times New Roman" w:hAnsi="Times New Roman" w:eastAsia="宋体" w:cs="Times New Roman"/>
                <w:color w:val="auto"/>
              </w:rPr>
              <w:t>室外声源在环境影响评价中，应根据声源声功率级或参考位置处的声压级、户外声传播衰减，计算预测点的声级，按下式计算</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Lp(r)＝Lw+DC－</w:t>
            </w:r>
            <w:r>
              <w:rPr>
                <w:rFonts w:hint="eastAsia" w:cs="Times New Roman"/>
                <w:color w:val="auto"/>
                <w:lang w:eastAsia="zh-CN"/>
              </w:rPr>
              <w:t>（</w:t>
            </w:r>
            <w:r>
              <w:rPr>
                <w:rFonts w:hint="default" w:ascii="Times New Roman" w:hAnsi="Times New Roman" w:eastAsia="宋体" w:cs="Times New Roman"/>
                <w:color w:val="auto"/>
              </w:rPr>
              <w:t>Adiv+Aatm+Agr+Abar+Amisc</w:t>
            </w:r>
            <w:r>
              <w:rPr>
                <w:rFonts w:hint="eastAsia" w:cs="Times New Roman"/>
                <w:color w:va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式中：Lp(r)—预测点处声压级，dB；</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Lw—倍频带声功率级，dB；</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DC—指向性校正，dB；它描述点声源的等效连续声压级与产生声功率级的全向点声源在规定方向的级的偏差程度；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Adiv—几何发散引起的倍频带衰减，dB；</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Aatm—大气吸收引起的倍频带衰减，dB；</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Agr—地面效应引起的倍频带衰减，dB；</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Abar—声屏障引起的倍频带衰减，dB；</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Amisc—其他多方面效应引起的倍频带衰减，dB。</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无指向性点声源几何发散衰减</w:t>
            </w:r>
            <w:r>
              <w:rPr>
                <w:rFonts w:hint="default" w:ascii="Times New Roman" w:hAnsi="Times New Roman" w:eastAsia="宋体" w:cs="Times New Roman"/>
                <w:color w:val="auto"/>
                <w:lang w:eastAsia="zh-CN"/>
              </w:rPr>
              <w:t>按</w:t>
            </w:r>
            <w:r>
              <w:rPr>
                <w:rFonts w:hint="default" w:ascii="Times New Roman" w:hAnsi="Times New Roman" w:eastAsia="宋体" w:cs="Times New Roman"/>
                <w:color w:val="auto"/>
              </w:rPr>
              <w:t>下式计算</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Lp(r)=Lp(r0)-20lg(r/r0)</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式中：Lp(r)——建设项目声源在距离声源r处值，dB(A)；</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Lp(r0)——建设项目声源值，dB(A)；</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如已知声源的倍频带声功率级Lw或A声功率级（LAw），且声源处于自由声场，则上述公式等效为下列公式：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Lp(r)=Lw-20lg(r)-11</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LA(r)=LAw-20lg(r)-11</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auto"/>
              </w:rPr>
            </w:pPr>
            <w:r>
              <w:rPr>
                <w:rFonts w:hint="default" w:ascii="Times New Roman" w:hAnsi="Times New Roman" w:eastAsia="宋体" w:cs="Times New Roman"/>
                <w:snapToGrid w:val="0"/>
                <w:color w:val="auto"/>
                <w:kern w:val="0"/>
                <w:sz w:val="24"/>
                <w:szCs w:val="24"/>
                <w:lang w:val="en-US" w:eastAsia="zh-CN" w:bidi="ar-SA"/>
                <w14:ligatures w14:val="none"/>
              </w:rPr>
              <w:t>②</w:t>
            </w:r>
            <w:r>
              <w:rPr>
                <w:rFonts w:hint="default" w:ascii="Times New Roman" w:hAnsi="Times New Roman" w:eastAsia="宋体" w:cs="Times New Roman"/>
                <w:color w:val="auto"/>
              </w:rPr>
              <w:t>室内声源等效室外声源声功率级计算方法声源位于室内，室内声源可采用等效室外声源声功率级法进行计算。设靠近开口处（或窗户）室内、室外某倍频带的声压级或A声级分别为Lp1和Lp2。若声源所在室内声场为近似扩散声场，则室外的倍频带声压级可按导则中的式（B.1）近似求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drawing>
                <wp:inline distT="0" distB="0" distL="114300" distR="114300">
                  <wp:extent cx="1351915" cy="271145"/>
                  <wp:effectExtent l="0" t="0" r="4445" b="3175"/>
                  <wp:docPr id="1" name="图片 1" descr="216aa74303aedfb03b6311d46defe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16aa74303aedfb03b6311d46defe3e"/>
                          <pic:cNvPicPr>
                            <a:picLocks noChangeAspect="1"/>
                          </pic:cNvPicPr>
                        </pic:nvPicPr>
                        <pic:blipFill>
                          <a:blip r:embed="rId20"/>
                          <a:stretch>
                            <a:fillRect/>
                          </a:stretch>
                        </pic:blipFill>
                        <pic:spPr>
                          <a:xfrm>
                            <a:off x="0" y="0"/>
                            <a:ext cx="1351915" cy="27114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式中：L</w:t>
            </w:r>
            <w:r>
              <w:rPr>
                <w:rFonts w:hint="default" w:ascii="Times New Roman" w:hAnsi="Times New Roman" w:eastAsia="宋体" w:cs="Times New Roman"/>
                <w:color w:val="auto"/>
                <w:sz w:val="24"/>
                <w:szCs w:val="24"/>
                <w:vertAlign w:val="subscript"/>
              </w:rPr>
              <w:t>p1</w:t>
            </w:r>
            <w:r>
              <w:rPr>
                <w:rFonts w:hint="default" w:ascii="Times New Roman" w:hAnsi="Times New Roman" w:eastAsia="宋体" w:cs="Times New Roman"/>
                <w:color w:val="auto"/>
                <w:sz w:val="24"/>
                <w:szCs w:val="24"/>
              </w:rPr>
              <w:t>—靠近开口处（或窗户）室内某倍频带的声压级或A声级，dB；</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z w:val="24"/>
                <w:szCs w:val="24"/>
                <w:vertAlign w:val="subscript"/>
              </w:rPr>
              <w:t>p2</w:t>
            </w:r>
            <w:r>
              <w:rPr>
                <w:rFonts w:hint="default" w:ascii="Times New Roman" w:hAnsi="Times New Roman" w:eastAsia="宋体" w:cs="Times New Roman"/>
                <w:color w:val="auto"/>
                <w:sz w:val="24"/>
                <w:szCs w:val="24"/>
              </w:rPr>
              <w:t>—靠近开口处（或窗户）室外某倍频带的声压级或A声级，dB；</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TL—隔墙（或窗户）倍频带或A声级的隔声量，dB。</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然后按室外声源预测方法计算预测点处的A声级。</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snapToGrid w:val="0"/>
                <w:color w:val="auto"/>
                <w:kern w:val="0"/>
                <w:sz w:val="24"/>
                <w:szCs w:val="24"/>
                <w:lang w:val="en-US" w:eastAsia="zh-CN" w:bidi="ar-SA"/>
                <w14:ligatures w14:val="none"/>
              </w:rPr>
              <w:t>③</w:t>
            </w:r>
            <w:r>
              <w:rPr>
                <w:rFonts w:hint="default" w:ascii="Times New Roman" w:hAnsi="Times New Roman" w:eastAsia="宋体" w:cs="Times New Roman"/>
                <w:color w:val="auto"/>
                <w:sz w:val="24"/>
                <w:szCs w:val="24"/>
              </w:rPr>
              <w:t>预测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drawing>
                <wp:anchor distT="0" distB="0" distL="114300" distR="114300" simplePos="0" relativeHeight="251662336" behindDoc="0" locked="0" layoutInCell="1" allowOverlap="1">
                  <wp:simplePos x="0" y="0"/>
                  <wp:positionH relativeFrom="column">
                    <wp:posOffset>167005</wp:posOffset>
                  </wp:positionH>
                  <wp:positionV relativeFrom="paragraph">
                    <wp:posOffset>468630</wp:posOffset>
                  </wp:positionV>
                  <wp:extent cx="4573905" cy="567690"/>
                  <wp:effectExtent l="0" t="0" r="17145" b="3810"/>
                  <wp:wrapSquare wrapText="bothSides"/>
                  <wp:docPr id="2" name="图片 2" descr="0b6ad2231f81512ef950a5c36c9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b6ad2231f81512ef950a5c36c90053"/>
                          <pic:cNvPicPr>
                            <a:picLocks noChangeAspect="1"/>
                          </pic:cNvPicPr>
                        </pic:nvPicPr>
                        <pic:blipFill>
                          <a:blip r:embed="rId21"/>
                          <a:stretch>
                            <a:fillRect/>
                          </a:stretch>
                        </pic:blipFill>
                        <pic:spPr>
                          <a:xfrm>
                            <a:off x="0" y="0"/>
                            <a:ext cx="4573905" cy="567690"/>
                          </a:xfrm>
                          <a:prstGeom prst="rect">
                            <a:avLst/>
                          </a:prstGeom>
                        </pic:spPr>
                      </pic:pic>
                    </a:graphicData>
                  </a:graphic>
                </wp:anchor>
              </w:drawing>
            </w:r>
            <w:r>
              <w:rPr>
                <w:rFonts w:hint="default" w:ascii="Times New Roman" w:hAnsi="Times New Roman" w:eastAsia="宋体" w:cs="Times New Roman"/>
                <w:color w:val="auto"/>
                <w:sz w:val="24"/>
                <w:szCs w:val="24"/>
              </w:rPr>
              <w:t>建设项目声源在预测点产生的等效声级贡献值计算公式如下：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式中：Leqg—建设项目声源在预测点产生的噪声贡献值，dB；</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T—用于计算等效声级的时间，s；</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N—室外声源个数；ti—在T时间内i声源工作时间，s；</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M—等效室外声源个数；tj—在T时间内j声源工作时间，s。</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预测点的预测等效声级</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Leq</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计算公式如下：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drawing>
                <wp:anchor distT="0" distB="0" distL="114300" distR="114300" simplePos="0" relativeHeight="251661312" behindDoc="0" locked="0" layoutInCell="1" allowOverlap="1">
                  <wp:simplePos x="0" y="0"/>
                  <wp:positionH relativeFrom="column">
                    <wp:posOffset>1296670</wp:posOffset>
                  </wp:positionH>
                  <wp:positionV relativeFrom="paragraph">
                    <wp:posOffset>20955</wp:posOffset>
                  </wp:positionV>
                  <wp:extent cx="2334895" cy="330835"/>
                  <wp:effectExtent l="0" t="0" r="12065" b="4445"/>
                  <wp:wrapNone/>
                  <wp:docPr id="4" name="图片 4" descr="ee97c7c4e6f5a42655966e38b850c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e97c7c4e6f5a42655966e38b850c67"/>
                          <pic:cNvPicPr>
                            <a:picLocks noChangeAspect="1"/>
                          </pic:cNvPicPr>
                        </pic:nvPicPr>
                        <pic:blipFill>
                          <a:blip r:embed="rId22"/>
                          <a:stretch>
                            <a:fillRect/>
                          </a:stretch>
                        </pic:blipFill>
                        <pic:spPr>
                          <a:xfrm>
                            <a:off x="0" y="0"/>
                            <a:ext cx="2334895" cy="33083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式中：Leq——预测点的噪声预测值，dB；</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Leqg——建设项目声源在预测点产生的噪声贡献值，dB；</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Leqb——预测点的背景噪声值，dB。</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b/>
                <w:bCs/>
                <w:color w:val="auto"/>
              </w:rPr>
            </w:pPr>
            <w:r>
              <w:rPr>
                <w:rFonts w:hint="default" w:ascii="Times New Roman" w:hAnsi="Times New Roman" w:eastAsia="宋体" w:cs="Times New Roman"/>
                <w:color w:val="auto"/>
                <w:sz w:val="24"/>
                <w:szCs w:val="24"/>
              </w:rPr>
              <w:t>根据导则中的预测模式结合本项目平面布置，本项目噪声预测结果见</w:t>
            </w:r>
            <w:r>
              <w:rPr>
                <w:rFonts w:hint="default" w:ascii="Times New Roman" w:hAnsi="Times New Roman" w:eastAsia="宋体" w:cs="Times New Roman"/>
                <w:color w:val="auto"/>
                <w:sz w:val="24"/>
                <w:szCs w:val="24"/>
                <w:lang w:val="en-US" w:eastAsia="zh-CN"/>
              </w:rPr>
              <w:t>下</w:t>
            </w:r>
            <w:r>
              <w:rPr>
                <w:rFonts w:hint="default" w:ascii="Times New Roman" w:hAnsi="Times New Roman" w:eastAsia="宋体" w:cs="Times New Roman"/>
                <w:color w:val="auto"/>
                <w:sz w:val="24"/>
                <w:szCs w:val="24"/>
              </w:rPr>
              <w:t>表</w:t>
            </w:r>
            <w:r>
              <w:rPr>
                <w:rFonts w:hint="default" w:ascii="Times New Roman" w:hAnsi="Times New Roman" w:eastAsia="宋体" w:cs="Times New Roman"/>
                <w:color w:val="auto"/>
                <w:sz w:val="24"/>
                <w:szCs w:val="24"/>
                <w:lang w:eastAsia="zh-CN"/>
              </w:rPr>
              <w:t>：</w:t>
            </w:r>
          </w:p>
          <w:p>
            <w:pPr>
              <w:pStyle w:val="20"/>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napToGrid w:val="0"/>
                <w:color w:val="auto"/>
                <w:kern w:val="0"/>
                <w:sz w:val="21"/>
                <w:szCs w:val="21"/>
                <w:lang w:val="en-US" w:eastAsia="zh-CN" w:bidi="ar-SA"/>
                <w14:ligatures w14:val="none"/>
              </w:rPr>
            </w:pPr>
            <w:r>
              <w:rPr>
                <w:rFonts w:hint="default" w:ascii="Times New Roman" w:hAnsi="Times New Roman" w:eastAsia="宋体" w:cs="Times New Roman"/>
                <w:b/>
                <w:bCs/>
                <w:snapToGrid w:val="0"/>
                <w:color w:val="auto"/>
                <w:kern w:val="0"/>
                <w:sz w:val="21"/>
                <w:szCs w:val="21"/>
                <w:lang w:val="en-US" w:eastAsia="zh-CN" w:bidi="ar-SA"/>
                <w14:ligatures w14:val="none"/>
              </w:rPr>
              <w:t>表4</w:t>
            </w:r>
            <w:r>
              <w:rPr>
                <w:rFonts w:hint="eastAsia" w:ascii="Times New Roman" w:hAnsi="Times New Roman" w:eastAsia="宋体" w:cs="Times New Roman"/>
                <w:b/>
                <w:bCs/>
                <w:snapToGrid w:val="0"/>
                <w:color w:val="auto"/>
                <w:kern w:val="0"/>
                <w:sz w:val="21"/>
                <w:szCs w:val="21"/>
                <w:lang w:val="en-US" w:eastAsia="zh-CN" w:bidi="ar-SA"/>
                <w14:ligatures w14:val="none"/>
              </w:rPr>
              <w:t>.9-3</w:t>
            </w:r>
            <w:r>
              <w:rPr>
                <w:rFonts w:hint="default" w:ascii="Times New Roman" w:hAnsi="Times New Roman" w:eastAsia="宋体" w:cs="Times New Roman"/>
                <w:b/>
                <w:bCs/>
                <w:snapToGrid w:val="0"/>
                <w:color w:val="auto"/>
                <w:kern w:val="0"/>
                <w:sz w:val="21"/>
                <w:szCs w:val="21"/>
                <w:lang w:val="en-US" w:eastAsia="zh-CN" w:bidi="ar-SA"/>
                <w14:ligatures w14:val="none"/>
              </w:rPr>
              <w:t xml:space="preserve"> </w:t>
            </w:r>
            <w:r>
              <w:rPr>
                <w:rFonts w:hint="eastAsia" w:ascii="Times New Roman" w:hAnsi="Times New Roman" w:eastAsia="宋体" w:cs="Times New Roman"/>
                <w:b/>
                <w:bCs/>
                <w:snapToGrid w:val="0"/>
                <w:color w:val="auto"/>
                <w:kern w:val="0"/>
                <w:sz w:val="21"/>
                <w:szCs w:val="21"/>
                <w:lang w:val="en-US" w:eastAsia="zh-CN" w:bidi="ar-SA"/>
                <w14:ligatures w14:val="none"/>
              </w:rPr>
              <w:t xml:space="preserve"> </w:t>
            </w:r>
            <w:r>
              <w:rPr>
                <w:rFonts w:hint="default" w:ascii="Times New Roman" w:hAnsi="Times New Roman" w:eastAsia="宋体" w:cs="Times New Roman"/>
                <w:b/>
                <w:bCs/>
                <w:snapToGrid w:val="0"/>
                <w:color w:val="auto"/>
                <w:kern w:val="0"/>
                <w:sz w:val="21"/>
                <w:szCs w:val="21"/>
                <w:lang w:val="en-US" w:eastAsia="zh-CN" w:bidi="ar-SA"/>
                <w14:ligatures w14:val="none"/>
              </w:rPr>
              <w:t xml:space="preserve"> 厂界噪声影响预测值      单位dB（A）</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1254"/>
              <w:gridCol w:w="1292"/>
              <w:gridCol w:w="1454"/>
              <w:gridCol w:w="1135"/>
              <w:gridCol w:w="11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570" w:type="dxa"/>
                  <w:vMerge w:val="restar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预测点</w:t>
                  </w:r>
                </w:p>
              </w:tc>
              <w:tc>
                <w:tcPr>
                  <w:tcW w:w="1256" w:type="dxa"/>
                  <w:vMerge w:val="restar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背景值</w:t>
                  </w:r>
                </w:p>
              </w:tc>
              <w:tc>
                <w:tcPr>
                  <w:tcW w:w="1294" w:type="dxa"/>
                  <w:vMerge w:val="restar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贡献值</w:t>
                  </w:r>
                </w:p>
              </w:tc>
              <w:tc>
                <w:tcPr>
                  <w:tcW w:w="1456" w:type="dxa"/>
                  <w:vMerge w:val="restar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预测值</w:t>
                  </w:r>
                </w:p>
              </w:tc>
              <w:tc>
                <w:tcPr>
                  <w:tcW w:w="2273" w:type="dxa"/>
                  <w:gridSpan w:val="2"/>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《工业企业厂界环境噪声排放标准》（GB12348-2008）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570" w:type="dxa"/>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256" w:type="dxa"/>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294" w:type="dxa"/>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456" w:type="dxa"/>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136"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1137"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夜间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73" w:hRule="atLeast"/>
                <w:jc w:val="center"/>
              </w:trPr>
              <w:tc>
                <w:tcPr>
                  <w:tcW w:w="1570"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项目区东侧</w:t>
                  </w:r>
                </w:p>
              </w:tc>
              <w:tc>
                <w:tcPr>
                  <w:tcW w:w="1256"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294"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44.87</w:t>
                  </w:r>
                </w:p>
              </w:tc>
              <w:tc>
                <w:tcPr>
                  <w:tcW w:w="1456"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136" w:type="dxa"/>
                  <w:vMerge w:val="restar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w:t>
                  </w:r>
                  <w:r>
                    <w:rPr>
                      <w:rFonts w:hint="eastAsia" w:cs="Times New Roman"/>
                      <w:color w:val="auto"/>
                      <w:sz w:val="21"/>
                      <w:szCs w:val="21"/>
                      <w:lang w:val="en-US" w:eastAsia="zh-CN"/>
                    </w:rPr>
                    <w:t>5</w:t>
                  </w:r>
                </w:p>
              </w:tc>
              <w:tc>
                <w:tcPr>
                  <w:tcW w:w="1137" w:type="dxa"/>
                  <w:vMerge w:val="restart"/>
                  <w:tcBorders>
                    <w:tl2br w:val="nil"/>
                    <w:tr2bl w:val="nil"/>
                  </w:tcBorders>
                  <w:vAlign w:val="center"/>
                </w:tcPr>
                <w:p>
                  <w:pPr>
                    <w:spacing w:line="240" w:lineRule="auto"/>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不生产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570"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项目区南侧</w:t>
                  </w:r>
                </w:p>
              </w:tc>
              <w:tc>
                <w:tcPr>
                  <w:tcW w:w="1256"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294"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27.69</w:t>
                  </w:r>
                </w:p>
              </w:tc>
              <w:tc>
                <w:tcPr>
                  <w:tcW w:w="1456"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136" w:type="dxa"/>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137" w:type="dxa"/>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570"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项目区西侧</w:t>
                  </w:r>
                </w:p>
              </w:tc>
              <w:tc>
                <w:tcPr>
                  <w:tcW w:w="1256"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294"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22.97</w:t>
                  </w:r>
                </w:p>
              </w:tc>
              <w:tc>
                <w:tcPr>
                  <w:tcW w:w="1456"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136" w:type="dxa"/>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137" w:type="dxa"/>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570"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项目区北侧</w:t>
                  </w:r>
                </w:p>
              </w:tc>
              <w:tc>
                <w:tcPr>
                  <w:tcW w:w="1256"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294"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52.81</w:t>
                  </w:r>
                </w:p>
              </w:tc>
              <w:tc>
                <w:tcPr>
                  <w:tcW w:w="1456"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136" w:type="dxa"/>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137" w:type="dxa"/>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r>
          </w:tbl>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color w:val="auto"/>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59" w:type="dxa"/>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vertAlign w:val="baseline"/>
                    </w:rPr>
                  </w:pPr>
                  <w:r>
                    <w:drawing>
                      <wp:inline distT="0" distB="0" distL="114300" distR="114300">
                        <wp:extent cx="4852035" cy="3707765"/>
                        <wp:effectExtent l="0" t="0" r="5715" b="698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23"/>
                                <a:stretch>
                                  <a:fillRect/>
                                </a:stretch>
                              </pic:blipFill>
                              <pic:spPr>
                                <a:xfrm>
                                  <a:off x="0" y="0"/>
                                  <a:ext cx="4852035" cy="3707765"/>
                                </a:xfrm>
                                <a:prstGeom prst="rect">
                                  <a:avLst/>
                                </a:prstGeom>
                                <a:noFill/>
                                <a:ln>
                                  <a:noFill/>
                                </a:ln>
                              </pic:spPr>
                            </pic:pic>
                          </a:graphicData>
                        </a:graphic>
                      </wp:inline>
                    </w:drawing>
                  </w:r>
                  <w:r>
                    <w:rPr>
                      <w:rFonts w:hint="eastAsia"/>
                      <w:b/>
                      <w:bCs/>
                      <w:color w:val="auto"/>
                      <w:lang w:val="en-US" w:eastAsia="zh-CN"/>
                    </w:rPr>
                    <w:drawing>
                      <wp:anchor distT="0" distB="0" distL="114300" distR="114300" simplePos="0" relativeHeight="251660288" behindDoc="0" locked="0" layoutInCell="1" allowOverlap="1">
                        <wp:simplePos x="0" y="0"/>
                        <wp:positionH relativeFrom="column">
                          <wp:posOffset>96520</wp:posOffset>
                        </wp:positionH>
                        <wp:positionV relativeFrom="paragraph">
                          <wp:posOffset>5715</wp:posOffset>
                        </wp:positionV>
                        <wp:extent cx="304800" cy="304800"/>
                        <wp:effectExtent l="0" t="0" r="0" b="0"/>
                        <wp:wrapNone/>
                        <wp:docPr id="18" name="图片 18" descr="d20fe70f0b5b2fe4e752da91fa22f5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d20fe70f0b5b2fe4e752da91fa22f5e6"/>
                                <pic:cNvPicPr>
                                  <a:picLocks noChangeAspect="1"/>
                                </pic:cNvPicPr>
                              </pic:nvPicPr>
                              <pic:blipFill>
                                <a:blip r:embed="rId24"/>
                                <a:stretch>
                                  <a:fillRect/>
                                </a:stretch>
                              </pic:blipFill>
                              <pic:spPr>
                                <a:xfrm>
                                  <a:off x="0" y="0"/>
                                  <a:ext cx="304800" cy="304800"/>
                                </a:xfrm>
                                <a:prstGeom prst="rect">
                                  <a:avLst/>
                                </a:prstGeom>
                              </pic:spPr>
                            </pic:pic>
                          </a:graphicData>
                        </a:graphic>
                      </wp:anchor>
                    </w:drawing>
                  </w:r>
                </w:p>
              </w:tc>
            </w:tr>
          </w:tbl>
          <w:p>
            <w:pPr>
              <w:pStyle w:val="20"/>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snapToGrid w:val="0"/>
                <w:color w:val="auto"/>
                <w:kern w:val="0"/>
                <w:sz w:val="21"/>
                <w:szCs w:val="21"/>
                <w:lang w:val="en-US" w:eastAsia="zh-CN" w:bidi="ar-SA"/>
                <w14:ligatures w14:val="none"/>
              </w:rPr>
            </w:pPr>
            <w:r>
              <w:rPr>
                <w:rFonts w:hint="eastAsia" w:ascii="Times New Roman" w:hAnsi="Times New Roman" w:eastAsia="宋体" w:cs="Times New Roman"/>
                <w:b/>
                <w:bCs/>
                <w:snapToGrid w:val="0"/>
                <w:color w:val="auto"/>
                <w:kern w:val="0"/>
                <w:sz w:val="21"/>
                <w:szCs w:val="21"/>
                <w:lang w:val="en-US" w:eastAsia="zh-CN" w:bidi="ar-SA"/>
                <w14:ligatures w14:val="none"/>
              </w:rPr>
              <w:t>图</w:t>
            </w:r>
            <w:r>
              <w:rPr>
                <w:rFonts w:hint="default" w:ascii="Times New Roman" w:hAnsi="Times New Roman" w:eastAsia="宋体" w:cs="Times New Roman"/>
                <w:b/>
                <w:bCs/>
                <w:snapToGrid w:val="0"/>
                <w:color w:val="auto"/>
                <w:kern w:val="0"/>
                <w:sz w:val="21"/>
                <w:szCs w:val="21"/>
                <w:lang w:val="en-US" w:eastAsia="zh-CN" w:bidi="ar-SA"/>
                <w14:ligatures w14:val="none"/>
              </w:rPr>
              <w:t>4</w:t>
            </w:r>
            <w:r>
              <w:rPr>
                <w:rFonts w:hint="eastAsia" w:ascii="Times New Roman" w:hAnsi="Times New Roman" w:eastAsia="宋体" w:cs="Times New Roman"/>
                <w:b/>
                <w:bCs/>
                <w:snapToGrid w:val="0"/>
                <w:color w:val="auto"/>
                <w:kern w:val="0"/>
                <w:sz w:val="21"/>
                <w:szCs w:val="21"/>
                <w:lang w:val="en-US" w:eastAsia="zh-CN" w:bidi="ar-SA"/>
                <w14:ligatures w14:val="none"/>
              </w:rPr>
              <w:t>.9-1</w:t>
            </w:r>
            <w:r>
              <w:rPr>
                <w:rFonts w:hint="default" w:ascii="Times New Roman" w:hAnsi="Times New Roman" w:eastAsia="宋体" w:cs="Times New Roman"/>
                <w:b/>
                <w:bCs/>
                <w:snapToGrid w:val="0"/>
                <w:color w:val="auto"/>
                <w:kern w:val="0"/>
                <w:sz w:val="21"/>
                <w:szCs w:val="21"/>
                <w:lang w:val="en-US" w:eastAsia="zh-CN" w:bidi="ar-SA"/>
                <w14:ligatures w14:val="none"/>
              </w:rPr>
              <w:t xml:space="preserve"> </w:t>
            </w:r>
            <w:r>
              <w:rPr>
                <w:rFonts w:hint="eastAsia" w:ascii="Times New Roman" w:hAnsi="Times New Roman" w:eastAsia="宋体" w:cs="Times New Roman"/>
                <w:b/>
                <w:bCs/>
                <w:snapToGrid w:val="0"/>
                <w:color w:val="auto"/>
                <w:kern w:val="0"/>
                <w:sz w:val="21"/>
                <w:szCs w:val="21"/>
                <w:lang w:val="en-US" w:eastAsia="zh-CN" w:bidi="ar-SA"/>
                <w14:ligatures w14:val="none"/>
              </w:rPr>
              <w:t xml:space="preserve"> </w:t>
            </w:r>
            <w:r>
              <w:rPr>
                <w:rFonts w:hint="default" w:ascii="Times New Roman" w:hAnsi="Times New Roman" w:eastAsia="宋体" w:cs="Times New Roman"/>
                <w:b/>
                <w:bCs/>
                <w:snapToGrid w:val="0"/>
                <w:color w:val="auto"/>
                <w:kern w:val="0"/>
                <w:sz w:val="21"/>
                <w:szCs w:val="21"/>
                <w:lang w:val="en-US" w:eastAsia="zh-CN" w:bidi="ar-SA"/>
                <w14:ligatures w14:val="none"/>
              </w:rPr>
              <w:t xml:space="preserve"> 厂界噪声影响预测</w:t>
            </w:r>
            <w:r>
              <w:rPr>
                <w:rFonts w:hint="eastAsia" w:ascii="Times New Roman" w:hAnsi="Times New Roman" w:eastAsia="宋体" w:cs="Times New Roman"/>
                <w:b/>
                <w:bCs/>
                <w:snapToGrid w:val="0"/>
                <w:color w:val="auto"/>
                <w:kern w:val="0"/>
                <w:sz w:val="21"/>
                <w:szCs w:val="21"/>
                <w:lang w:val="en-US" w:eastAsia="zh-CN" w:bidi="ar-SA"/>
                <w14:ligatures w14:val="none"/>
              </w:rPr>
              <w:t>结果图</w:t>
            </w:r>
          </w:p>
          <w:p>
            <w:pPr>
              <w:keepNext w:val="0"/>
              <w:keepLines w:val="0"/>
              <w:pageBreakBefore w:val="0"/>
              <w:widowControl/>
              <w:suppressLineNumbers w:val="0"/>
              <w:kinsoku/>
              <w:wordWrap/>
              <w:overflowPunct/>
              <w:topLinePunct w:val="0"/>
              <w:autoSpaceDE/>
              <w:autoSpaceDN/>
              <w:bidi w:val="0"/>
              <w:spacing w:line="500" w:lineRule="exact"/>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预测结果分析：</w:t>
            </w:r>
            <w:r>
              <w:rPr>
                <w:rFonts w:hint="default" w:ascii="Times New Roman" w:hAnsi="Times New Roman" w:eastAsia="宋体" w:cs="Times New Roman"/>
                <w:color w:val="auto"/>
                <w:sz w:val="24"/>
                <w:szCs w:val="24"/>
              </w:rPr>
              <w:t>考虑噪声源的距离衰减、空气吸收、围墙屏蔽效应等影响因素，按衰减模式，计算出本项目新增噪声源传播到厂界某一监测点的A声级。在本次噪声源衰减的计算过程中，仅考虑距离衰减这个衰减因素，对于声能在传播过程中受到其它因素的影响，忽略不计。</w:t>
            </w:r>
            <w:r>
              <w:rPr>
                <w:rFonts w:hint="default" w:ascii="Times New Roman" w:hAnsi="Times New Roman" w:eastAsia="宋体" w:cs="Times New Roman"/>
                <w:color w:val="auto"/>
                <w:kern w:val="0"/>
                <w:sz w:val="24"/>
                <w:szCs w:val="24"/>
              </w:rPr>
              <w:t>根据《环境影响评价技术导则 声环境》</w:t>
            </w:r>
            <w:r>
              <w:rPr>
                <w:rFonts w:hint="eastAsia" w:cs="Times New Roman"/>
                <w:color w:val="auto"/>
                <w:kern w:val="0"/>
                <w:sz w:val="24"/>
                <w:szCs w:val="24"/>
                <w:lang w:eastAsia="zh-CN"/>
              </w:rPr>
              <w:t>（</w:t>
            </w:r>
            <w:r>
              <w:rPr>
                <w:rFonts w:hint="default" w:ascii="Times New Roman" w:hAnsi="Times New Roman" w:eastAsia="宋体" w:cs="Times New Roman"/>
                <w:color w:val="auto"/>
                <w:kern w:val="0"/>
                <w:sz w:val="24"/>
                <w:szCs w:val="24"/>
              </w:rPr>
              <w:t>HJ2.4-2021</w:t>
            </w:r>
            <w:r>
              <w:rPr>
                <w:rFonts w:hint="eastAsia" w:cs="Times New Roman"/>
                <w:color w:val="auto"/>
                <w:kern w:val="0"/>
                <w:sz w:val="24"/>
                <w:szCs w:val="24"/>
                <w:lang w:eastAsia="zh-CN"/>
              </w:rPr>
              <w:t>）</w:t>
            </w:r>
            <w:r>
              <w:rPr>
                <w:rFonts w:hint="default" w:ascii="Times New Roman" w:hAnsi="Times New Roman" w:eastAsia="宋体" w:cs="Times New Roman"/>
                <w:color w:val="auto"/>
                <w:kern w:val="0"/>
                <w:sz w:val="24"/>
                <w:szCs w:val="24"/>
              </w:rPr>
              <w:t>进行边界噪声评价时，新建项目以工程噪声贡献值作为评价量</w:t>
            </w:r>
            <w:r>
              <w:rPr>
                <w:rFonts w:hint="default"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sz w:val="24"/>
                <w:szCs w:val="24"/>
              </w:rPr>
              <w:t>项目选用低噪声设备，并对高噪声设备进行基础隔声、减振</w:t>
            </w:r>
            <w:r>
              <w:rPr>
                <w:rFonts w:hint="default" w:ascii="Times New Roman" w:hAnsi="Times New Roman" w:eastAsia="宋体" w:cs="Times New Roman"/>
                <w:color w:val="auto"/>
                <w:sz w:val="24"/>
                <w:szCs w:val="24"/>
                <w:lang w:eastAsia="zh-CN"/>
              </w:rPr>
              <w:t>等措施</w:t>
            </w:r>
            <w:r>
              <w:rPr>
                <w:rFonts w:hint="default" w:ascii="Times New Roman" w:hAnsi="Times New Roman" w:eastAsia="宋体" w:cs="Times New Roman"/>
                <w:color w:val="auto"/>
                <w:sz w:val="24"/>
                <w:szCs w:val="24"/>
              </w:rPr>
              <w:t>，</w:t>
            </w:r>
            <w:r>
              <w:rPr>
                <w:rFonts w:hint="eastAsia" w:cs="Times New Roman"/>
                <w:color w:val="auto"/>
                <w:sz w:val="24"/>
                <w:szCs w:val="24"/>
                <w:lang w:val="en-US" w:eastAsia="zh-CN"/>
              </w:rPr>
              <w:t>本项目夜间不生产。</w:t>
            </w:r>
            <w:r>
              <w:rPr>
                <w:rFonts w:hint="default" w:ascii="Times New Roman" w:hAnsi="Times New Roman" w:eastAsia="宋体" w:cs="Times New Roman"/>
                <w:color w:val="auto"/>
                <w:sz w:val="24"/>
                <w:szCs w:val="24"/>
              </w:rPr>
              <w:t>预测结果表明，经处理后厂界噪声符合《工业企业厂界环境噪声排放标准》（GB12348-2008）中</w:t>
            </w: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rPr>
              <w:t>类标准要求，对周围环境影响较小。</w:t>
            </w:r>
          </w:p>
          <w:p>
            <w:pPr>
              <w:pStyle w:val="37"/>
              <w:keepNext w:val="0"/>
              <w:keepLines w:val="0"/>
              <w:pageBreakBefore w:val="0"/>
              <w:numPr>
                <w:ilvl w:val="0"/>
                <w:numId w:val="0"/>
              </w:numPr>
              <w:kinsoku/>
              <w:wordWrap/>
              <w:overflowPunct/>
              <w:topLinePunct w:val="0"/>
              <w:autoSpaceDE/>
              <w:autoSpaceDN/>
              <w:bidi w:val="0"/>
              <w:spacing w:line="500" w:lineRule="exact"/>
              <w:textAlignment w:val="auto"/>
              <w:rPr>
                <w:rFonts w:hint="default" w:ascii="Times New Roman" w:hAnsi="Times New Roman" w:eastAsia="宋体" w:cs="Times New Roman"/>
                <w:b w:val="0"/>
                <w:bCs/>
                <w:snapToGrid w:val="0"/>
                <w:color w:val="auto"/>
                <w:kern w:val="0"/>
                <w:sz w:val="24"/>
                <w:szCs w:val="24"/>
                <w:lang w:val="en-US" w:eastAsia="zh-CN" w:bidi="ar-SA"/>
                <w14:ligatures w14:val="none"/>
              </w:rPr>
            </w:pPr>
            <w:r>
              <w:rPr>
                <w:rFonts w:hint="default" w:ascii="Times New Roman" w:hAnsi="Times New Roman" w:eastAsia="宋体" w:cs="Times New Roman"/>
                <w:b w:val="0"/>
                <w:bCs/>
                <w:snapToGrid w:val="0"/>
                <w:color w:val="auto"/>
                <w:kern w:val="0"/>
                <w:sz w:val="24"/>
                <w:szCs w:val="24"/>
                <w:lang w:val="en-US" w:eastAsia="zh-CN" w:bidi="ar-SA"/>
                <w14:ligatures w14:val="none"/>
              </w:rPr>
              <w:t>（3）噪声监测计划</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根据《排污单位自行监测技术指南 总则》（HJ819-2017）</w:t>
            </w:r>
            <w:r>
              <w:rPr>
                <w:rFonts w:hint="default" w:ascii="Times New Roman" w:hAnsi="Times New Roman" w:eastAsia="宋体" w:cs="Times New Roman"/>
                <w:color w:val="auto"/>
                <w:sz w:val="24"/>
                <w:szCs w:val="24"/>
                <w:lang w:val="en-US" w:eastAsia="zh-CN"/>
              </w:rPr>
              <w:t>和</w:t>
            </w:r>
            <w:r>
              <w:rPr>
                <w:rFonts w:hint="default" w:ascii="Times New Roman" w:hAnsi="Times New Roman" w:eastAsia="宋体" w:cs="Times New Roman"/>
                <w:snapToGrid w:val="0"/>
                <w:color w:val="auto"/>
                <w:sz w:val="24"/>
                <w:szCs w:val="24"/>
                <w:highlight w:val="none"/>
              </w:rPr>
              <w:t>《排污许可证申请与核发技术规范 工业噪声</w:t>
            </w:r>
            <w:r>
              <w:rPr>
                <w:rFonts w:hint="default" w:ascii="Times New Roman" w:hAnsi="Times New Roman" w:eastAsia="宋体" w:cs="Times New Roman"/>
                <w:snapToGrid w:val="0"/>
                <w:color w:val="auto"/>
                <w:sz w:val="24"/>
                <w:szCs w:val="24"/>
                <w:highlight w:val="none"/>
                <w:lang w:eastAsia="zh-CN"/>
              </w:rPr>
              <w:t>》</w:t>
            </w:r>
            <w:r>
              <w:rPr>
                <w:rFonts w:hint="default" w:ascii="Times New Roman" w:hAnsi="Times New Roman" w:eastAsia="宋体" w:cs="Times New Roman"/>
                <w:snapToGrid w:val="0"/>
                <w:color w:val="auto"/>
                <w:sz w:val="24"/>
                <w:szCs w:val="24"/>
                <w:highlight w:val="none"/>
              </w:rPr>
              <w:t>（HJ 1301-2023）</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本项目</w:t>
            </w:r>
            <w:r>
              <w:rPr>
                <w:rFonts w:hint="default" w:ascii="Times New Roman" w:hAnsi="Times New Roman" w:eastAsia="宋体" w:cs="Times New Roman"/>
                <w:color w:val="auto"/>
                <w:sz w:val="24"/>
                <w:szCs w:val="24"/>
                <w:lang w:val="en-US" w:eastAsia="zh-CN"/>
              </w:rPr>
              <w:t>噪声</w:t>
            </w:r>
            <w:r>
              <w:rPr>
                <w:rFonts w:hint="default" w:ascii="Times New Roman" w:hAnsi="Times New Roman" w:eastAsia="宋体" w:cs="Times New Roman"/>
                <w:color w:val="auto"/>
                <w:sz w:val="24"/>
                <w:szCs w:val="24"/>
              </w:rPr>
              <w:t>污染源自行监测计划如下：</w:t>
            </w:r>
          </w:p>
          <w:p>
            <w:pPr>
              <w:pStyle w:val="20"/>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napToGrid w:val="0"/>
                <w:color w:val="auto"/>
                <w:kern w:val="0"/>
                <w:sz w:val="21"/>
                <w:szCs w:val="21"/>
                <w:lang w:val="en-US" w:eastAsia="zh-CN" w:bidi="ar-SA"/>
                <w14:ligatures w14:val="none"/>
              </w:rPr>
            </w:pPr>
            <w:r>
              <w:rPr>
                <w:rFonts w:hint="default" w:ascii="Times New Roman" w:hAnsi="Times New Roman" w:eastAsia="宋体" w:cs="Times New Roman"/>
                <w:b/>
                <w:bCs/>
                <w:snapToGrid w:val="0"/>
                <w:color w:val="auto"/>
                <w:kern w:val="0"/>
                <w:sz w:val="21"/>
                <w:szCs w:val="21"/>
                <w:lang w:val="en-US" w:eastAsia="zh-CN" w:bidi="ar-SA"/>
                <w14:ligatures w14:val="none"/>
              </w:rPr>
              <w:t>表4</w:t>
            </w:r>
            <w:r>
              <w:rPr>
                <w:rFonts w:hint="eastAsia" w:ascii="Times New Roman" w:hAnsi="Times New Roman" w:eastAsia="宋体" w:cs="Times New Roman"/>
                <w:b/>
                <w:bCs/>
                <w:snapToGrid w:val="0"/>
                <w:color w:val="auto"/>
                <w:kern w:val="0"/>
                <w:sz w:val="21"/>
                <w:szCs w:val="21"/>
                <w:lang w:val="en-US" w:eastAsia="zh-CN" w:bidi="ar-SA"/>
                <w14:ligatures w14:val="none"/>
              </w:rPr>
              <w:t>.9-4</w:t>
            </w:r>
            <w:r>
              <w:rPr>
                <w:rFonts w:hint="default" w:ascii="Times New Roman" w:hAnsi="Times New Roman" w:eastAsia="宋体" w:cs="Times New Roman"/>
                <w:b/>
                <w:bCs/>
                <w:snapToGrid w:val="0"/>
                <w:color w:val="auto"/>
                <w:kern w:val="0"/>
                <w:sz w:val="21"/>
                <w:szCs w:val="21"/>
                <w:lang w:val="en-US" w:eastAsia="zh-CN" w:bidi="ar-SA"/>
                <w14:ligatures w14:val="none"/>
              </w:rPr>
              <w:t xml:space="preserve">  </w:t>
            </w:r>
            <w:r>
              <w:rPr>
                <w:rFonts w:hint="eastAsia" w:ascii="Times New Roman" w:hAnsi="Times New Roman" w:eastAsia="宋体" w:cs="Times New Roman"/>
                <w:b/>
                <w:bCs/>
                <w:snapToGrid w:val="0"/>
                <w:color w:val="auto"/>
                <w:kern w:val="0"/>
                <w:sz w:val="21"/>
                <w:szCs w:val="21"/>
                <w:lang w:val="en-US" w:eastAsia="zh-CN" w:bidi="ar-SA"/>
                <w14:ligatures w14:val="none"/>
              </w:rPr>
              <w:t xml:space="preserve"> </w:t>
            </w:r>
            <w:r>
              <w:rPr>
                <w:rFonts w:hint="default" w:ascii="Times New Roman" w:hAnsi="Times New Roman" w:eastAsia="宋体" w:cs="Times New Roman"/>
                <w:b/>
                <w:bCs/>
                <w:snapToGrid w:val="0"/>
                <w:color w:val="auto"/>
                <w:kern w:val="0"/>
                <w:sz w:val="21"/>
                <w:szCs w:val="21"/>
                <w:lang w:val="en-US" w:eastAsia="zh-CN" w:bidi="ar-SA"/>
                <w14:ligatures w14:val="none"/>
              </w:rPr>
              <w:t>运营期噪声监测计划</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1153"/>
              <w:gridCol w:w="1279"/>
              <w:gridCol w:w="36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476" w:type="dxa"/>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监测点位</w:t>
                  </w:r>
                </w:p>
              </w:tc>
              <w:tc>
                <w:tcPr>
                  <w:tcW w:w="984" w:type="dxa"/>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监测指标</w:t>
                  </w:r>
                </w:p>
              </w:tc>
              <w:tc>
                <w:tcPr>
                  <w:tcW w:w="1092" w:type="dxa"/>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监测频次</w:t>
                  </w:r>
                </w:p>
              </w:tc>
              <w:tc>
                <w:tcPr>
                  <w:tcW w:w="3139" w:type="dxa"/>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执行排放标准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43" w:hRule="atLeast"/>
                <w:jc w:val="center"/>
              </w:trPr>
              <w:tc>
                <w:tcPr>
                  <w:tcW w:w="1476" w:type="dxa"/>
                  <w:tcBorders>
                    <w:tl2br w:val="nil"/>
                    <w:tr2bl w:val="nil"/>
                  </w:tcBorders>
                  <w:shd w:val="clear" w:color="auto" w:fill="auto"/>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厂界四周</w:t>
                  </w:r>
                </w:p>
              </w:tc>
              <w:tc>
                <w:tcPr>
                  <w:tcW w:w="984" w:type="dxa"/>
                  <w:tcBorders>
                    <w:tl2br w:val="nil"/>
                    <w:tr2bl w:val="nil"/>
                  </w:tcBorders>
                  <w:shd w:val="clear" w:color="auto" w:fill="auto"/>
                  <w:noWrap w:val="0"/>
                  <w:tcMar>
                    <w:left w:w="0" w:type="dxa"/>
                    <w:right w:w="0" w:type="dxa"/>
                  </w:tcMar>
                  <w:vAlign w:val="center"/>
                </w:tcPr>
                <w:p>
                  <w:pPr>
                    <w:pStyle w:val="35"/>
                    <w:spacing w:beforeLines="0" w:afterLines="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噪声</w:t>
                  </w:r>
                </w:p>
              </w:tc>
              <w:tc>
                <w:tcPr>
                  <w:tcW w:w="1092" w:type="dxa"/>
                  <w:tcBorders>
                    <w:tl2br w:val="nil"/>
                    <w:tr2bl w:val="nil"/>
                  </w:tcBorders>
                  <w:shd w:val="clear" w:color="auto" w:fill="auto"/>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1次/季</w:t>
                  </w:r>
                  <w:r>
                    <w:rPr>
                      <w:rFonts w:hint="eastAsia" w:cs="Times New Roman"/>
                      <w:color w:val="auto"/>
                      <w:sz w:val="21"/>
                      <w:szCs w:val="21"/>
                      <w:highlight w:val="none"/>
                      <w:lang w:val="en-US" w:eastAsia="zh-CN"/>
                    </w:rPr>
                    <w:t>度</w:t>
                  </w:r>
                </w:p>
              </w:tc>
              <w:tc>
                <w:tcPr>
                  <w:tcW w:w="3139" w:type="dxa"/>
                  <w:tcBorders>
                    <w:tl2br w:val="nil"/>
                    <w:tr2bl w:val="nil"/>
                  </w:tcBorders>
                  <w:shd w:val="clear" w:color="auto" w:fill="auto"/>
                  <w:noWrap w:val="0"/>
                  <w:tcMar>
                    <w:left w:w="0" w:type="dxa"/>
                    <w:right w:w="0" w:type="dxa"/>
                  </w:tcMar>
                  <w:vAlign w:val="center"/>
                </w:tcPr>
                <w:p>
                  <w:pPr>
                    <w:adjustRightInd w:val="0"/>
                    <w:snapToGrid w:val="0"/>
                    <w:spacing w:line="240" w:lineRule="auto"/>
                    <w:jc w:val="center"/>
                    <w:rPr>
                      <w:rFonts w:hint="default" w:cs="Times New Roman"/>
                      <w:color w:val="auto"/>
                      <w:sz w:val="21"/>
                      <w:szCs w:val="21"/>
                      <w:lang w:val="en-US" w:eastAsia="zh-CN"/>
                    </w:rPr>
                  </w:pPr>
                  <w:r>
                    <w:rPr>
                      <w:rFonts w:hint="eastAsia" w:cs="Times New Roman"/>
                      <w:color w:val="auto"/>
                      <w:sz w:val="21"/>
                      <w:szCs w:val="21"/>
                      <w:lang w:eastAsia="zh-CN"/>
                    </w:rPr>
                    <w:t>《</w:t>
                  </w:r>
                  <w:r>
                    <w:rPr>
                      <w:rFonts w:hint="eastAsia" w:cs="Times New Roman"/>
                      <w:color w:val="auto"/>
                      <w:sz w:val="21"/>
                      <w:szCs w:val="21"/>
                      <w:lang w:val="en-US" w:eastAsia="zh-CN"/>
                    </w:rPr>
                    <w:t>工业企业厂界环境噪声标准</w:t>
                  </w:r>
                  <w:r>
                    <w:rPr>
                      <w:rFonts w:hint="eastAsia" w:cs="Times New Roman"/>
                      <w:color w:val="auto"/>
                      <w:sz w:val="21"/>
                      <w:szCs w:val="21"/>
                      <w:lang w:eastAsia="zh-CN"/>
                    </w:rPr>
                    <w:t>》</w:t>
                  </w:r>
                  <w:r>
                    <w:rPr>
                      <w:rFonts w:hint="eastAsia" w:cs="Times New Roman"/>
                      <w:color w:val="auto"/>
                      <w:sz w:val="21"/>
                      <w:szCs w:val="21"/>
                      <w:lang w:val="en-US" w:eastAsia="zh-CN"/>
                    </w:rPr>
                    <w:t>表1中3类排放限值</w:t>
                  </w:r>
                </w:p>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昼间：6</w:t>
                  </w:r>
                  <w:r>
                    <w:rPr>
                      <w:rFonts w:hint="eastAsia" w:cs="Times New Roman"/>
                      <w:color w:val="auto"/>
                      <w:sz w:val="21"/>
                      <w:szCs w:val="21"/>
                      <w:lang w:val="en-US" w:eastAsia="zh-CN"/>
                    </w:rPr>
                    <w:t>5</w:t>
                  </w:r>
                  <w:r>
                    <w:rPr>
                      <w:rFonts w:hint="default" w:ascii="Times New Roman" w:hAnsi="Times New Roman" w:eastAsia="宋体" w:cs="Times New Roman"/>
                      <w:color w:val="auto"/>
                      <w:sz w:val="21"/>
                      <w:szCs w:val="21"/>
                    </w:rPr>
                    <w:t>dB（A）</w:t>
                  </w:r>
                </w:p>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rPr>
                    <w:t>夜间：5</w:t>
                  </w:r>
                  <w:r>
                    <w:rPr>
                      <w:rFonts w:hint="eastAsia" w:cs="Times New Roman"/>
                      <w:color w:val="auto"/>
                      <w:sz w:val="21"/>
                      <w:szCs w:val="21"/>
                      <w:lang w:val="en-US" w:eastAsia="zh-CN"/>
                    </w:rPr>
                    <w:t>5</w:t>
                  </w:r>
                  <w:r>
                    <w:rPr>
                      <w:rFonts w:hint="default" w:ascii="Times New Roman" w:hAnsi="Times New Roman" w:eastAsia="宋体" w:cs="Times New Roman"/>
                      <w:color w:val="auto"/>
                      <w:sz w:val="21"/>
                      <w:szCs w:val="21"/>
                    </w:rPr>
                    <w:t>dB（A）</w:t>
                  </w:r>
                </w:p>
              </w:tc>
            </w:tr>
          </w:tbl>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color w:val="auto"/>
              </w:rPr>
            </w:pPr>
            <w:bookmarkStart w:id="11" w:name="_Toc319228420"/>
            <w:bookmarkStart w:id="12" w:name="_Toc16383"/>
            <w:bookmarkStart w:id="13" w:name="_Toc381340756"/>
            <w:bookmarkStart w:id="14" w:name="_Toc249693709"/>
            <w:bookmarkStart w:id="15" w:name="_Toc383796790"/>
            <w:bookmarkStart w:id="16" w:name="_Toc332103732"/>
            <w:bookmarkStart w:id="17" w:name="_Toc332103632"/>
            <w:bookmarkStart w:id="18" w:name="_Toc382903251"/>
            <w:bookmarkStart w:id="19" w:name="_Toc383796785"/>
            <w:bookmarkStart w:id="20" w:name="_Toc384381675"/>
            <w:bookmarkStart w:id="21" w:name="_Toc381340751"/>
            <w:bookmarkStart w:id="22" w:name="_Toc382903246"/>
            <w:r>
              <w:rPr>
                <w:rFonts w:hint="default" w:ascii="Times New Roman" w:hAnsi="Times New Roman" w:eastAsia="宋体" w:cs="Times New Roman"/>
                <w:b/>
                <w:color w:val="auto"/>
              </w:rPr>
              <w:t>4.</w:t>
            </w:r>
            <w:r>
              <w:rPr>
                <w:rFonts w:hint="eastAsia" w:ascii="Times New Roman" w:hAnsi="Times New Roman" w:eastAsia="宋体" w:cs="Times New Roman"/>
                <w:b/>
                <w:color w:val="auto"/>
                <w:lang w:val="en-US" w:eastAsia="zh-CN"/>
              </w:rPr>
              <w:t>10</w:t>
            </w:r>
            <w:r>
              <w:rPr>
                <w:rFonts w:hint="default" w:ascii="Times New Roman" w:hAnsi="Times New Roman" w:eastAsia="宋体" w:cs="Times New Roman"/>
                <w:b/>
                <w:color w:val="auto"/>
              </w:rPr>
              <w:t>固体废物</w:t>
            </w:r>
            <w:bookmarkEnd w:id="11"/>
            <w:bookmarkEnd w:id="12"/>
            <w:bookmarkEnd w:id="13"/>
            <w:bookmarkEnd w:id="14"/>
            <w:bookmarkEnd w:id="15"/>
            <w:bookmarkEnd w:id="16"/>
            <w:bookmarkEnd w:id="17"/>
            <w:bookmarkEnd w:id="18"/>
            <w:r>
              <w:rPr>
                <w:rFonts w:hint="default" w:ascii="Times New Roman" w:hAnsi="Times New Roman" w:eastAsia="宋体" w:cs="Times New Roman"/>
                <w:b/>
                <w:color w:val="auto"/>
              </w:rPr>
              <w:t>影响分析及防治措施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auto"/>
              </w:rPr>
            </w:pPr>
            <w:r>
              <w:rPr>
                <w:rFonts w:hint="default" w:ascii="Times New Roman" w:hAnsi="Times New Roman" w:eastAsia="宋体" w:cs="Times New Roman"/>
                <w:bCs/>
                <w:color w:val="auto"/>
              </w:rPr>
              <w:t>本项目建设完成后，产生的固体废物为：除尘器</w:t>
            </w:r>
            <w:r>
              <w:rPr>
                <w:rFonts w:hint="default" w:ascii="Times New Roman" w:hAnsi="Times New Roman" w:eastAsia="宋体" w:cs="Times New Roman"/>
                <w:bCs/>
                <w:color w:val="auto"/>
                <w:lang w:val="en-US" w:eastAsia="zh-CN"/>
              </w:rPr>
              <w:t>收集粉尘</w:t>
            </w:r>
            <w:r>
              <w:rPr>
                <w:rFonts w:hint="default" w:ascii="Times New Roman" w:hAnsi="Times New Roman" w:eastAsia="宋体" w:cs="Times New Roman"/>
                <w:bCs/>
                <w:color w:val="auto"/>
              </w:rPr>
              <w:t>、除尘器废布袋、不合格的粗渣</w:t>
            </w:r>
            <w:r>
              <w:rPr>
                <w:rFonts w:hint="eastAsia" w:cs="Times New Roman"/>
                <w:bCs/>
                <w:color w:val="auto"/>
                <w:lang w:eastAsia="zh-CN"/>
              </w:rPr>
              <w:t>、</w:t>
            </w:r>
            <w:r>
              <w:rPr>
                <w:rFonts w:hint="default" w:ascii="Times New Roman" w:hAnsi="Times New Roman" w:eastAsia="宋体" w:cs="Times New Roman"/>
                <w:bCs/>
                <w:color w:val="auto"/>
              </w:rPr>
              <w:t>生活垃圾；产生的危险废物主要为：废机油、废油</w:t>
            </w:r>
            <w:r>
              <w:rPr>
                <w:rFonts w:hint="eastAsia" w:cs="Times New Roman"/>
                <w:bCs/>
                <w:color w:val="auto"/>
                <w:lang w:val="en-US" w:eastAsia="zh-CN"/>
              </w:rPr>
              <w:t>桶</w:t>
            </w:r>
            <w:r>
              <w:rPr>
                <w:rFonts w:hint="default" w:ascii="Times New Roman" w:hAnsi="Times New Roman" w:eastAsia="宋体" w:cs="Times New Roman"/>
                <w:bCs/>
                <w:color w:val="auto"/>
              </w:rPr>
              <w:t>，根据建设单位提供资料，固体废物主要产排情况见下表。</w:t>
            </w:r>
          </w:p>
          <w:p>
            <w:pPr>
              <w:pStyle w:val="20"/>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napToGrid w:val="0"/>
                <w:color w:val="auto"/>
                <w:kern w:val="0"/>
                <w:sz w:val="21"/>
                <w:szCs w:val="21"/>
                <w:lang w:val="en-US" w:eastAsia="zh-CN" w:bidi="ar-SA"/>
                <w14:ligatures w14:val="none"/>
              </w:rPr>
            </w:pPr>
            <w:r>
              <w:rPr>
                <w:rFonts w:hint="default" w:ascii="Times New Roman" w:hAnsi="Times New Roman" w:eastAsia="宋体" w:cs="Times New Roman"/>
                <w:b/>
                <w:bCs/>
                <w:snapToGrid w:val="0"/>
                <w:color w:val="auto"/>
                <w:kern w:val="0"/>
                <w:sz w:val="21"/>
                <w:szCs w:val="21"/>
                <w:lang w:val="en-US" w:eastAsia="zh-CN" w:bidi="ar-SA"/>
                <w14:ligatures w14:val="none"/>
              </w:rPr>
              <w:t>表4</w:t>
            </w:r>
            <w:r>
              <w:rPr>
                <w:rFonts w:hint="eastAsia" w:ascii="Times New Roman" w:hAnsi="Times New Roman" w:eastAsia="宋体" w:cs="Times New Roman"/>
                <w:b/>
                <w:bCs/>
                <w:snapToGrid w:val="0"/>
                <w:color w:val="auto"/>
                <w:kern w:val="0"/>
                <w:sz w:val="21"/>
                <w:szCs w:val="21"/>
                <w:lang w:val="en-US" w:eastAsia="zh-CN" w:bidi="ar-SA"/>
                <w14:ligatures w14:val="none"/>
              </w:rPr>
              <w:t>.10-1</w:t>
            </w:r>
            <w:r>
              <w:rPr>
                <w:rFonts w:hint="default" w:ascii="Times New Roman" w:hAnsi="Times New Roman" w:eastAsia="宋体" w:cs="Times New Roman"/>
                <w:b/>
                <w:bCs/>
                <w:snapToGrid w:val="0"/>
                <w:color w:val="auto"/>
                <w:kern w:val="0"/>
                <w:sz w:val="21"/>
                <w:szCs w:val="21"/>
                <w:lang w:val="en-US" w:eastAsia="zh-CN" w:bidi="ar-SA"/>
                <w14:ligatures w14:val="none"/>
              </w:rPr>
              <w:t xml:space="preserve"> </w:t>
            </w:r>
            <w:r>
              <w:rPr>
                <w:rFonts w:hint="eastAsia" w:ascii="Times New Roman" w:hAnsi="Times New Roman" w:eastAsia="宋体" w:cs="Times New Roman"/>
                <w:b/>
                <w:bCs/>
                <w:snapToGrid w:val="0"/>
                <w:color w:val="auto"/>
                <w:kern w:val="0"/>
                <w:sz w:val="21"/>
                <w:szCs w:val="21"/>
                <w:lang w:val="en-US" w:eastAsia="zh-CN" w:bidi="ar-SA"/>
                <w14:ligatures w14:val="none"/>
              </w:rPr>
              <w:t xml:space="preserve"> </w:t>
            </w:r>
            <w:r>
              <w:rPr>
                <w:rFonts w:hint="default" w:ascii="Times New Roman" w:hAnsi="Times New Roman" w:eastAsia="宋体" w:cs="Times New Roman"/>
                <w:b/>
                <w:bCs/>
                <w:snapToGrid w:val="0"/>
                <w:color w:val="auto"/>
                <w:kern w:val="0"/>
                <w:sz w:val="21"/>
                <w:szCs w:val="21"/>
                <w:lang w:val="en-US" w:eastAsia="zh-CN" w:bidi="ar-SA"/>
                <w14:ligatures w14:val="none"/>
              </w:rPr>
              <w:t xml:space="preserve"> 项目固体废物产生及排放情况表</w:t>
            </w:r>
          </w:p>
          <w:tbl>
            <w:tblPr>
              <w:tblStyle w:val="26"/>
              <w:tblW w:w="799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01"/>
              <w:gridCol w:w="487"/>
              <w:gridCol w:w="713"/>
              <w:gridCol w:w="656"/>
              <w:gridCol w:w="919"/>
              <w:gridCol w:w="337"/>
              <w:gridCol w:w="469"/>
              <w:gridCol w:w="675"/>
              <w:gridCol w:w="544"/>
              <w:gridCol w:w="769"/>
              <w:gridCol w:w="787"/>
              <w:gridCol w:w="12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dxa"/>
                  <w:tcBorders>
                    <w:tl2br w:val="nil"/>
                    <w:tr2bl w:val="nil"/>
                  </w:tcBorders>
                  <w:vAlign w:val="center"/>
                </w:tcPr>
                <w:p>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产生环节</w:t>
                  </w:r>
                </w:p>
              </w:tc>
              <w:tc>
                <w:tcPr>
                  <w:tcW w:w="487" w:type="dxa"/>
                  <w:tcBorders>
                    <w:tl2br w:val="nil"/>
                    <w:tr2bl w:val="nil"/>
                  </w:tcBorders>
                  <w:vAlign w:val="center"/>
                </w:tcPr>
                <w:p>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名称</w:t>
                  </w:r>
                </w:p>
              </w:tc>
              <w:tc>
                <w:tcPr>
                  <w:tcW w:w="713" w:type="dxa"/>
                  <w:tcBorders>
                    <w:tl2br w:val="nil"/>
                    <w:tr2bl w:val="nil"/>
                  </w:tcBorders>
                  <w:vAlign w:val="center"/>
                </w:tcPr>
                <w:p>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属性</w:t>
                  </w:r>
                </w:p>
              </w:tc>
              <w:tc>
                <w:tcPr>
                  <w:tcW w:w="656" w:type="dxa"/>
                  <w:tcBorders>
                    <w:tl2br w:val="nil"/>
                    <w:tr2bl w:val="nil"/>
                  </w:tcBorders>
                  <w:vAlign w:val="center"/>
                </w:tcPr>
                <w:p>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有毒</w:t>
                  </w:r>
                  <w:r>
                    <w:rPr>
                      <w:rFonts w:hint="default" w:ascii="Times New Roman" w:hAnsi="Times New Roman" w:eastAsia="宋体" w:cs="Times New Roman"/>
                      <w:b/>
                      <w:color w:val="auto"/>
                      <w:sz w:val="21"/>
                      <w:szCs w:val="21"/>
                      <w:lang w:eastAsia="zh-CN"/>
                    </w:rPr>
                    <w:t>有害物质</w:t>
                  </w:r>
                  <w:r>
                    <w:rPr>
                      <w:rFonts w:hint="default" w:ascii="Times New Roman" w:hAnsi="Times New Roman" w:eastAsia="宋体" w:cs="Times New Roman"/>
                      <w:b/>
                      <w:color w:val="auto"/>
                      <w:sz w:val="21"/>
                      <w:szCs w:val="21"/>
                    </w:rPr>
                    <w:t>名称</w:t>
                  </w:r>
                </w:p>
              </w:tc>
              <w:tc>
                <w:tcPr>
                  <w:tcW w:w="919" w:type="dxa"/>
                  <w:tcBorders>
                    <w:tl2br w:val="nil"/>
                    <w:tr2bl w:val="nil"/>
                  </w:tcBorders>
                  <w:vAlign w:val="center"/>
                </w:tcPr>
                <w:p>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固体废物及危险废物编码</w:t>
                  </w:r>
                </w:p>
              </w:tc>
              <w:tc>
                <w:tcPr>
                  <w:tcW w:w="337" w:type="dxa"/>
                  <w:tcBorders>
                    <w:tl2br w:val="nil"/>
                    <w:tr2bl w:val="nil"/>
                  </w:tcBorders>
                  <w:vAlign w:val="center"/>
                </w:tcPr>
                <w:p>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物理形状</w:t>
                  </w:r>
                </w:p>
              </w:tc>
              <w:tc>
                <w:tcPr>
                  <w:tcW w:w="469" w:type="dxa"/>
                  <w:tcBorders>
                    <w:tl2br w:val="nil"/>
                    <w:tr2bl w:val="nil"/>
                  </w:tcBorders>
                  <w:vAlign w:val="center"/>
                </w:tcPr>
                <w:p>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环境危险特性</w:t>
                  </w:r>
                </w:p>
              </w:tc>
              <w:tc>
                <w:tcPr>
                  <w:tcW w:w="675" w:type="dxa"/>
                  <w:tcBorders>
                    <w:tl2br w:val="nil"/>
                    <w:tr2bl w:val="nil"/>
                  </w:tcBorders>
                  <w:vAlign w:val="center"/>
                </w:tcPr>
                <w:p>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产生量(t/a)</w:t>
                  </w:r>
                </w:p>
              </w:tc>
              <w:tc>
                <w:tcPr>
                  <w:tcW w:w="544" w:type="dxa"/>
                  <w:tcBorders>
                    <w:tl2br w:val="nil"/>
                    <w:tr2bl w:val="nil"/>
                  </w:tcBorders>
                  <w:vAlign w:val="center"/>
                </w:tcPr>
                <w:p>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贮存方式</w:t>
                  </w:r>
                </w:p>
              </w:tc>
              <w:tc>
                <w:tcPr>
                  <w:tcW w:w="769" w:type="dxa"/>
                  <w:tcBorders>
                    <w:tl2br w:val="nil"/>
                    <w:tr2bl w:val="nil"/>
                  </w:tcBorders>
                  <w:vAlign w:val="center"/>
                </w:tcPr>
                <w:p>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利用处置方式和去向</w:t>
                  </w:r>
                </w:p>
              </w:tc>
              <w:tc>
                <w:tcPr>
                  <w:tcW w:w="787" w:type="dxa"/>
                  <w:tcBorders>
                    <w:tl2br w:val="nil"/>
                    <w:tr2bl w:val="nil"/>
                  </w:tcBorders>
                  <w:vAlign w:val="center"/>
                </w:tcPr>
                <w:p>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利用或处置量(t/a)</w:t>
                  </w:r>
                </w:p>
              </w:tc>
              <w:tc>
                <w:tcPr>
                  <w:tcW w:w="1238" w:type="dxa"/>
                  <w:tcBorders>
                    <w:tl2br w:val="nil"/>
                    <w:tr2bl w:val="nil"/>
                  </w:tcBorders>
                  <w:vAlign w:val="center"/>
                </w:tcPr>
                <w:p>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环境管理要求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dxa"/>
                  <w:vMerge w:val="restart"/>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除尘系统</w:t>
                  </w:r>
                </w:p>
              </w:tc>
              <w:tc>
                <w:tcPr>
                  <w:tcW w:w="487"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val="en-US" w:eastAsia="zh-CN"/>
                    </w:rPr>
                    <w:t>收集的除尘灰</w:t>
                  </w:r>
                </w:p>
              </w:tc>
              <w:tc>
                <w:tcPr>
                  <w:tcW w:w="713"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z w:val="21"/>
                      <w:szCs w:val="21"/>
                    </w:rPr>
                    <w:t>一般工业固体废物</w:t>
                  </w:r>
                </w:p>
              </w:tc>
              <w:tc>
                <w:tcPr>
                  <w:tcW w:w="656"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无</w:t>
                  </w:r>
                </w:p>
              </w:tc>
              <w:tc>
                <w:tcPr>
                  <w:tcW w:w="919"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900-</w:t>
                  </w:r>
                  <w:r>
                    <w:rPr>
                      <w:rFonts w:hint="default" w:ascii="Times New Roman" w:hAnsi="Times New Roman" w:eastAsia="宋体" w:cs="Times New Roman"/>
                      <w:bCs/>
                      <w:color w:val="auto"/>
                      <w:sz w:val="21"/>
                      <w:szCs w:val="21"/>
                      <w:lang w:val="en-US" w:eastAsia="zh-CN"/>
                    </w:rPr>
                    <w:t>099</w:t>
                  </w: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S59</w:t>
                  </w:r>
                </w:p>
              </w:tc>
              <w:tc>
                <w:tcPr>
                  <w:tcW w:w="337"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固态</w:t>
                  </w:r>
                </w:p>
              </w:tc>
              <w:tc>
                <w:tcPr>
                  <w:tcW w:w="469"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无</w:t>
                  </w:r>
                </w:p>
              </w:tc>
              <w:tc>
                <w:tcPr>
                  <w:tcW w:w="675"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cs="Times New Roman"/>
                      <w:color w:val="auto"/>
                      <w:sz w:val="21"/>
                      <w:szCs w:val="21"/>
                      <w:highlight w:val="none"/>
                      <w:lang w:val="en-US" w:eastAsia="zh-CN"/>
                    </w:rPr>
                    <w:t>131</w:t>
                  </w:r>
                </w:p>
              </w:tc>
              <w:tc>
                <w:tcPr>
                  <w:tcW w:w="544"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集中收集</w:t>
                  </w:r>
                </w:p>
              </w:tc>
              <w:tc>
                <w:tcPr>
                  <w:tcW w:w="769"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回用于生产</w:t>
                  </w:r>
                </w:p>
              </w:tc>
              <w:tc>
                <w:tcPr>
                  <w:tcW w:w="787"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cs="Times New Roman"/>
                      <w:color w:val="auto"/>
                      <w:sz w:val="21"/>
                      <w:szCs w:val="21"/>
                      <w:highlight w:val="none"/>
                      <w:lang w:val="en-US" w:eastAsia="zh-CN"/>
                    </w:rPr>
                    <w:t>131</w:t>
                  </w:r>
                </w:p>
              </w:tc>
              <w:tc>
                <w:tcPr>
                  <w:tcW w:w="1238" w:type="dxa"/>
                  <w:vMerge w:val="restart"/>
                  <w:tcBorders>
                    <w:tl2br w:val="nil"/>
                    <w:tr2bl w:val="nil"/>
                  </w:tcBorders>
                  <w:vAlign w:val="center"/>
                </w:tcPr>
                <w:p>
                  <w:pPr>
                    <w:spacing w:line="240" w:lineRule="auto"/>
                    <w:jc w:val="center"/>
                    <w:rPr>
                      <w:rFonts w:hint="eastAsia" w:ascii="Times New Roman" w:hAnsi="Times New Roman" w:eastAsia="宋体" w:cs="Times New Roman"/>
                      <w:bCs/>
                      <w:color w:val="auto"/>
                      <w:sz w:val="21"/>
                      <w:szCs w:val="21"/>
                      <w:lang w:eastAsia="zh-CN"/>
                    </w:rPr>
                  </w:pPr>
                  <w:r>
                    <w:rPr>
                      <w:rFonts w:hint="default" w:ascii="Times New Roman" w:hAnsi="Times New Roman" w:eastAsia="宋体" w:cs="Times New Roman"/>
                      <w:color w:val="auto"/>
                      <w:sz w:val="21"/>
                      <w:szCs w:val="21"/>
                    </w:rPr>
                    <w:t>《一般工业固体废物贮存和填埋污染控制标准》</w:t>
                  </w:r>
                  <w:r>
                    <w:rPr>
                      <w:rFonts w:hint="eastAsia" w:cs="Times New Roman"/>
                      <w:color w:val="auto"/>
                      <w:sz w:val="21"/>
                      <w:szCs w:val="21"/>
                      <w:lang w:eastAsia="zh-CN"/>
                    </w:rPr>
                    <w:t>（</w:t>
                  </w:r>
                  <w:r>
                    <w:rPr>
                      <w:rFonts w:hint="default" w:ascii="Times New Roman" w:hAnsi="Times New Roman" w:eastAsia="宋体" w:cs="Times New Roman"/>
                      <w:color w:val="auto"/>
                      <w:sz w:val="21"/>
                      <w:szCs w:val="21"/>
                    </w:rPr>
                    <w:t>GB18599-2020</w:t>
                  </w:r>
                  <w:r>
                    <w:rPr>
                      <w:rFonts w:hint="eastAsia" w:cs="Times New Roman"/>
                      <w:color w:val="auto"/>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dxa"/>
                  <w:vMerge w:val="continue"/>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rPr>
                  </w:pPr>
                </w:p>
              </w:tc>
              <w:tc>
                <w:tcPr>
                  <w:tcW w:w="487"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废布袋</w:t>
                  </w:r>
                </w:p>
              </w:tc>
              <w:tc>
                <w:tcPr>
                  <w:tcW w:w="713"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z w:val="21"/>
                      <w:szCs w:val="21"/>
                    </w:rPr>
                    <w:t>一般工业固体废物</w:t>
                  </w:r>
                </w:p>
              </w:tc>
              <w:tc>
                <w:tcPr>
                  <w:tcW w:w="656"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无</w:t>
                  </w:r>
                </w:p>
              </w:tc>
              <w:tc>
                <w:tcPr>
                  <w:tcW w:w="919"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900-</w:t>
                  </w:r>
                  <w:r>
                    <w:rPr>
                      <w:rFonts w:hint="default" w:ascii="Times New Roman" w:hAnsi="Times New Roman" w:eastAsia="宋体" w:cs="Times New Roman"/>
                      <w:bCs/>
                      <w:color w:val="auto"/>
                      <w:sz w:val="21"/>
                      <w:szCs w:val="21"/>
                      <w:lang w:val="en-US" w:eastAsia="zh-CN"/>
                    </w:rPr>
                    <w:t>099</w:t>
                  </w: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S59</w:t>
                  </w:r>
                </w:p>
              </w:tc>
              <w:tc>
                <w:tcPr>
                  <w:tcW w:w="337"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固态</w:t>
                  </w:r>
                </w:p>
              </w:tc>
              <w:tc>
                <w:tcPr>
                  <w:tcW w:w="469"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无</w:t>
                  </w:r>
                </w:p>
              </w:tc>
              <w:tc>
                <w:tcPr>
                  <w:tcW w:w="675"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0.1</w:t>
                  </w:r>
                </w:p>
              </w:tc>
              <w:tc>
                <w:tcPr>
                  <w:tcW w:w="544"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集中收集</w:t>
                  </w:r>
                </w:p>
              </w:tc>
              <w:tc>
                <w:tcPr>
                  <w:tcW w:w="769"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厂家回收处理</w:t>
                  </w:r>
                </w:p>
              </w:tc>
              <w:tc>
                <w:tcPr>
                  <w:tcW w:w="787"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0.1</w:t>
                  </w:r>
                </w:p>
              </w:tc>
              <w:tc>
                <w:tcPr>
                  <w:tcW w:w="1238" w:type="dxa"/>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dxa"/>
                  <w:vMerge w:val="restart"/>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设备保养</w:t>
                  </w:r>
                </w:p>
              </w:tc>
              <w:tc>
                <w:tcPr>
                  <w:tcW w:w="487" w:type="dxa"/>
                  <w:tcBorders>
                    <w:tl2br w:val="nil"/>
                    <w:tr2bl w:val="nil"/>
                  </w:tcBorders>
                  <w:vAlign w:val="center"/>
                </w:tcPr>
                <w:p>
                  <w:pPr>
                    <w:spacing w:line="240" w:lineRule="auto"/>
                    <w:rPr>
                      <w:rFonts w:hint="default" w:ascii="Times New Roman" w:hAnsi="Times New Roman" w:eastAsia="宋体" w:cs="Times New Roman"/>
                      <w:bCs/>
                      <w:color w:val="auto"/>
                      <w:sz w:val="21"/>
                      <w:szCs w:val="21"/>
                      <w:lang w:val="en-US"/>
                    </w:rPr>
                  </w:pPr>
                  <w:r>
                    <w:rPr>
                      <w:rFonts w:hint="default" w:ascii="Times New Roman" w:hAnsi="Times New Roman" w:eastAsia="宋体" w:cs="Times New Roman"/>
                      <w:bCs/>
                      <w:color w:val="auto"/>
                      <w:sz w:val="21"/>
                      <w:szCs w:val="21"/>
                    </w:rPr>
                    <w:t>废机油</w:t>
                  </w:r>
                </w:p>
              </w:tc>
              <w:tc>
                <w:tcPr>
                  <w:tcW w:w="713"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危险废物</w:t>
                  </w:r>
                </w:p>
              </w:tc>
              <w:tc>
                <w:tcPr>
                  <w:tcW w:w="656"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z w:val="21"/>
                      <w:szCs w:val="21"/>
                    </w:rPr>
                    <w:t>HW08废矿物油与含矿物油废物</w:t>
                  </w:r>
                </w:p>
              </w:tc>
              <w:tc>
                <w:tcPr>
                  <w:tcW w:w="919"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z w:val="21"/>
                      <w:szCs w:val="21"/>
                    </w:rPr>
                    <w:t>900-2</w:t>
                  </w:r>
                  <w:r>
                    <w:rPr>
                      <w:rFonts w:hint="eastAsia" w:cs="Times New Roman"/>
                      <w:color w:val="auto"/>
                      <w:sz w:val="21"/>
                      <w:szCs w:val="21"/>
                      <w:lang w:val="en-US" w:eastAsia="zh-CN"/>
                    </w:rPr>
                    <w:t>49</w:t>
                  </w:r>
                  <w:r>
                    <w:rPr>
                      <w:rFonts w:hint="default" w:ascii="Times New Roman" w:hAnsi="Times New Roman" w:eastAsia="宋体" w:cs="Times New Roman"/>
                      <w:color w:val="auto"/>
                      <w:sz w:val="21"/>
                      <w:szCs w:val="21"/>
                    </w:rPr>
                    <w:t>-08</w:t>
                  </w:r>
                </w:p>
              </w:tc>
              <w:tc>
                <w:tcPr>
                  <w:tcW w:w="337"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液态</w:t>
                  </w:r>
                </w:p>
              </w:tc>
              <w:tc>
                <w:tcPr>
                  <w:tcW w:w="469"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T</w:t>
                  </w:r>
                  <w:r>
                    <w:rPr>
                      <w:rFonts w:hint="eastAsia" w:cs="Times New Roman"/>
                      <w:bCs/>
                      <w:color w:val="auto"/>
                      <w:sz w:val="21"/>
                      <w:szCs w:val="21"/>
                      <w:lang w:val="en-US" w:eastAsia="zh-CN"/>
                    </w:rPr>
                    <w:t>,</w:t>
                  </w:r>
                  <w:r>
                    <w:rPr>
                      <w:rFonts w:hint="default" w:ascii="Times New Roman" w:hAnsi="Times New Roman" w:eastAsia="宋体" w:cs="Times New Roman"/>
                      <w:bCs/>
                      <w:color w:val="auto"/>
                      <w:sz w:val="21"/>
                      <w:szCs w:val="21"/>
                    </w:rPr>
                    <w:t>I</w:t>
                  </w:r>
                </w:p>
              </w:tc>
              <w:tc>
                <w:tcPr>
                  <w:tcW w:w="675"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lang w:val="en-US"/>
                    </w:rPr>
                  </w:pPr>
                  <w:r>
                    <w:rPr>
                      <w:rFonts w:hint="default" w:ascii="Times New Roman" w:hAnsi="Times New Roman" w:eastAsia="宋体" w:cs="Times New Roman"/>
                      <w:bCs/>
                      <w:color w:val="auto"/>
                      <w:sz w:val="21"/>
                      <w:szCs w:val="21"/>
                      <w:lang w:val="en-US" w:eastAsia="zh-CN"/>
                    </w:rPr>
                    <w:t>0.1</w:t>
                  </w:r>
                </w:p>
              </w:tc>
              <w:tc>
                <w:tcPr>
                  <w:tcW w:w="544" w:type="dxa"/>
                  <w:tcBorders>
                    <w:tl2br w:val="nil"/>
                    <w:tr2bl w:val="nil"/>
                  </w:tcBorders>
                  <w:vAlign w:val="center"/>
                </w:tcPr>
                <w:p>
                  <w:pPr>
                    <w:spacing w:line="240" w:lineRule="auto"/>
                    <w:jc w:val="center"/>
                    <w:rPr>
                      <w:rFonts w:hint="eastAsia" w:ascii="Times New Roman" w:hAnsi="Times New Roman" w:eastAsia="宋体" w:cs="Times New Roman"/>
                      <w:bCs/>
                      <w:color w:val="auto"/>
                      <w:sz w:val="21"/>
                      <w:szCs w:val="21"/>
                      <w:lang w:eastAsia="zh-CN"/>
                    </w:rPr>
                  </w:pPr>
                  <w:r>
                    <w:rPr>
                      <w:rFonts w:hint="eastAsia" w:cs="Times New Roman"/>
                      <w:bCs/>
                      <w:color w:val="auto"/>
                      <w:sz w:val="21"/>
                      <w:szCs w:val="21"/>
                      <w:lang w:eastAsia="zh-CN"/>
                    </w:rPr>
                    <w:t>危废贮存点</w:t>
                  </w:r>
                </w:p>
              </w:tc>
              <w:tc>
                <w:tcPr>
                  <w:tcW w:w="769"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委托有资质的单位回收</w:t>
                  </w:r>
                </w:p>
              </w:tc>
              <w:tc>
                <w:tcPr>
                  <w:tcW w:w="787"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lang w:val="en-US"/>
                    </w:rPr>
                  </w:pPr>
                  <w:r>
                    <w:rPr>
                      <w:rFonts w:hint="default" w:ascii="Times New Roman" w:hAnsi="Times New Roman" w:eastAsia="宋体" w:cs="Times New Roman"/>
                      <w:bCs/>
                      <w:color w:val="auto"/>
                      <w:sz w:val="21"/>
                      <w:szCs w:val="21"/>
                      <w:lang w:val="en-US" w:eastAsia="zh-CN"/>
                    </w:rPr>
                    <w:t>0.1</w:t>
                  </w:r>
                </w:p>
              </w:tc>
              <w:tc>
                <w:tcPr>
                  <w:tcW w:w="1238"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z w:val="21"/>
                      <w:szCs w:val="21"/>
                      <w:lang w:eastAsia="zh-CN"/>
                    </w:rPr>
                    <w:t>《危险废物贮存污染控制标准》（GB18597-2023）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dxa"/>
                  <w:vMerge w:val="continue"/>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rPr>
                  </w:pPr>
                </w:p>
              </w:tc>
              <w:tc>
                <w:tcPr>
                  <w:tcW w:w="487" w:type="dxa"/>
                  <w:tcBorders>
                    <w:tl2br w:val="nil"/>
                    <w:tr2bl w:val="nil"/>
                  </w:tcBorders>
                  <w:vAlign w:val="center"/>
                </w:tcPr>
                <w:p>
                  <w:pPr>
                    <w:spacing w:line="240" w:lineRule="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lang w:eastAsia="zh-CN"/>
                    </w:rPr>
                    <w:t>废油</w:t>
                  </w:r>
                  <w:r>
                    <w:rPr>
                      <w:rFonts w:hint="eastAsia" w:cs="Times New Roman"/>
                      <w:bCs/>
                      <w:color w:val="auto"/>
                      <w:sz w:val="21"/>
                      <w:szCs w:val="21"/>
                      <w:lang w:val="en-US" w:eastAsia="zh-CN"/>
                    </w:rPr>
                    <w:t>桶</w:t>
                  </w:r>
                </w:p>
              </w:tc>
              <w:tc>
                <w:tcPr>
                  <w:tcW w:w="713"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auto"/>
                      <w:kern w:val="0"/>
                      <w:sz w:val="21"/>
                      <w:szCs w:val="21"/>
                      <w:lang w:val="en-US" w:eastAsia="zh-CN" w:bidi="ar-SA"/>
                      <w14:ligatures w14:val="none"/>
                    </w:rPr>
                  </w:pPr>
                  <w:r>
                    <w:rPr>
                      <w:rFonts w:hint="default" w:ascii="Times New Roman" w:hAnsi="Times New Roman" w:eastAsia="宋体" w:cs="Times New Roman"/>
                      <w:bCs/>
                      <w:color w:val="auto"/>
                      <w:sz w:val="21"/>
                      <w:szCs w:val="21"/>
                    </w:rPr>
                    <w:t>危险废物</w:t>
                  </w:r>
                </w:p>
              </w:tc>
              <w:tc>
                <w:tcPr>
                  <w:tcW w:w="656"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auto"/>
                      <w:kern w:val="0"/>
                      <w:sz w:val="21"/>
                      <w:szCs w:val="21"/>
                      <w:lang w:val="en-US" w:eastAsia="zh-CN" w:bidi="ar-SA"/>
                      <w14:ligatures w14:val="none"/>
                    </w:rPr>
                  </w:pPr>
                  <w:r>
                    <w:rPr>
                      <w:rFonts w:hint="default" w:ascii="Times New Roman" w:hAnsi="Times New Roman" w:eastAsia="宋体" w:cs="Times New Roman"/>
                      <w:color w:val="auto"/>
                      <w:sz w:val="21"/>
                      <w:szCs w:val="21"/>
                    </w:rPr>
                    <w:t>HW08废矿物油与含矿物油废物</w:t>
                  </w:r>
                </w:p>
              </w:tc>
              <w:tc>
                <w:tcPr>
                  <w:tcW w:w="919"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auto"/>
                      <w:kern w:val="0"/>
                      <w:sz w:val="21"/>
                      <w:szCs w:val="21"/>
                      <w:lang w:val="en-US" w:eastAsia="zh-CN" w:bidi="ar-SA"/>
                      <w14:ligatures w14:val="none"/>
                    </w:rPr>
                  </w:pPr>
                  <w:r>
                    <w:rPr>
                      <w:rFonts w:hint="default" w:ascii="Times New Roman" w:hAnsi="Times New Roman" w:eastAsia="宋体" w:cs="Times New Roman"/>
                      <w:color w:val="auto"/>
                      <w:sz w:val="21"/>
                      <w:szCs w:val="21"/>
                    </w:rPr>
                    <w:t>900-2</w:t>
                  </w:r>
                  <w:r>
                    <w:rPr>
                      <w:rFonts w:hint="default" w:ascii="Times New Roman" w:hAnsi="Times New Roman" w:eastAsia="宋体" w:cs="Times New Roman"/>
                      <w:color w:val="auto"/>
                      <w:sz w:val="21"/>
                      <w:szCs w:val="21"/>
                      <w:lang w:val="en-US" w:eastAsia="zh-CN"/>
                    </w:rPr>
                    <w:t>4</w:t>
                  </w:r>
                  <w:r>
                    <w:rPr>
                      <w:rFonts w:hint="eastAsia" w:cs="Times New Roman"/>
                      <w:color w:val="auto"/>
                      <w:sz w:val="21"/>
                      <w:szCs w:val="21"/>
                      <w:lang w:val="en-US" w:eastAsia="zh-CN"/>
                    </w:rPr>
                    <w:t>9</w:t>
                  </w:r>
                  <w:r>
                    <w:rPr>
                      <w:rFonts w:hint="default" w:ascii="Times New Roman" w:hAnsi="Times New Roman" w:eastAsia="宋体" w:cs="Times New Roman"/>
                      <w:color w:val="auto"/>
                      <w:sz w:val="21"/>
                      <w:szCs w:val="21"/>
                    </w:rPr>
                    <w:t>-08</w:t>
                  </w:r>
                </w:p>
              </w:tc>
              <w:tc>
                <w:tcPr>
                  <w:tcW w:w="337"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auto"/>
                      <w:kern w:val="0"/>
                      <w:sz w:val="21"/>
                      <w:szCs w:val="21"/>
                      <w:lang w:val="en-US" w:eastAsia="zh-CN" w:bidi="ar-SA"/>
                      <w14:ligatures w14:val="none"/>
                    </w:rPr>
                  </w:pPr>
                  <w:r>
                    <w:rPr>
                      <w:rFonts w:hint="eastAsia" w:cs="Times New Roman"/>
                      <w:bCs/>
                      <w:color w:val="auto"/>
                      <w:sz w:val="21"/>
                      <w:szCs w:val="21"/>
                      <w:lang w:val="en-US" w:eastAsia="zh-CN"/>
                    </w:rPr>
                    <w:t>固态</w:t>
                  </w:r>
                </w:p>
              </w:tc>
              <w:tc>
                <w:tcPr>
                  <w:tcW w:w="469"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auto"/>
                      <w:kern w:val="0"/>
                      <w:sz w:val="21"/>
                      <w:szCs w:val="21"/>
                      <w:lang w:val="en-US" w:eastAsia="zh-CN" w:bidi="ar-SA"/>
                      <w14:ligatures w14:val="none"/>
                    </w:rPr>
                  </w:pPr>
                  <w:r>
                    <w:rPr>
                      <w:rFonts w:hint="default" w:ascii="Times New Roman" w:hAnsi="Times New Roman" w:eastAsia="宋体" w:cs="Times New Roman"/>
                      <w:bCs/>
                      <w:color w:val="auto"/>
                      <w:sz w:val="21"/>
                      <w:szCs w:val="21"/>
                    </w:rPr>
                    <w:t>T</w:t>
                  </w:r>
                  <w:r>
                    <w:rPr>
                      <w:rFonts w:hint="eastAsia" w:cs="Times New Roman"/>
                      <w:bCs/>
                      <w:color w:val="auto"/>
                      <w:sz w:val="21"/>
                      <w:szCs w:val="21"/>
                      <w:lang w:val="en-US" w:eastAsia="zh-CN"/>
                    </w:rPr>
                    <w:t>,</w:t>
                  </w:r>
                  <w:r>
                    <w:rPr>
                      <w:rFonts w:hint="default" w:ascii="Times New Roman" w:hAnsi="Times New Roman" w:eastAsia="宋体" w:cs="Times New Roman"/>
                      <w:bCs/>
                      <w:color w:val="auto"/>
                      <w:sz w:val="21"/>
                      <w:szCs w:val="21"/>
                    </w:rPr>
                    <w:t>I</w:t>
                  </w:r>
                </w:p>
              </w:tc>
              <w:tc>
                <w:tcPr>
                  <w:tcW w:w="675"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auto"/>
                      <w:kern w:val="0"/>
                      <w:sz w:val="21"/>
                      <w:szCs w:val="21"/>
                      <w:lang w:val="en-US" w:eastAsia="zh-CN" w:bidi="ar-SA"/>
                      <w14:ligatures w14:val="none"/>
                    </w:rPr>
                  </w:pPr>
                  <w:r>
                    <w:rPr>
                      <w:rFonts w:hint="default" w:ascii="Times New Roman" w:hAnsi="Times New Roman" w:eastAsia="宋体" w:cs="Times New Roman"/>
                      <w:bCs/>
                      <w:color w:val="auto"/>
                      <w:sz w:val="21"/>
                      <w:szCs w:val="21"/>
                      <w:lang w:val="en-US" w:eastAsia="zh-CN"/>
                    </w:rPr>
                    <w:t>0.1</w:t>
                  </w:r>
                </w:p>
              </w:tc>
              <w:tc>
                <w:tcPr>
                  <w:tcW w:w="544"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bCs/>
                      <w:snapToGrid w:val="0"/>
                      <w:color w:val="auto"/>
                      <w:kern w:val="0"/>
                      <w:sz w:val="21"/>
                      <w:szCs w:val="21"/>
                      <w:lang w:val="en-US" w:eastAsia="zh-CN" w:bidi="ar-SA"/>
                      <w14:ligatures w14:val="none"/>
                    </w:rPr>
                  </w:pPr>
                  <w:r>
                    <w:rPr>
                      <w:rFonts w:hint="eastAsia" w:cs="Times New Roman"/>
                      <w:bCs/>
                      <w:color w:val="auto"/>
                      <w:sz w:val="21"/>
                      <w:szCs w:val="21"/>
                      <w:lang w:eastAsia="zh-CN"/>
                    </w:rPr>
                    <w:t>危废贮存点</w:t>
                  </w:r>
                </w:p>
              </w:tc>
              <w:tc>
                <w:tcPr>
                  <w:tcW w:w="769"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default" w:ascii="Times New Roman" w:hAnsi="Times New Roman" w:eastAsia="宋体" w:cs="Times New Roman"/>
                      <w:color w:val="auto"/>
                      <w:sz w:val="21"/>
                      <w:szCs w:val="21"/>
                    </w:rPr>
                    <w:t>委托有资质的单位回收</w:t>
                  </w:r>
                </w:p>
              </w:tc>
              <w:tc>
                <w:tcPr>
                  <w:tcW w:w="787"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auto"/>
                      <w:kern w:val="0"/>
                      <w:sz w:val="21"/>
                      <w:szCs w:val="21"/>
                      <w:lang w:val="en-US" w:eastAsia="zh-CN" w:bidi="ar-SA"/>
                      <w14:ligatures w14:val="none"/>
                    </w:rPr>
                  </w:pPr>
                  <w:r>
                    <w:rPr>
                      <w:rFonts w:hint="default" w:ascii="Times New Roman" w:hAnsi="Times New Roman" w:eastAsia="宋体" w:cs="Times New Roman"/>
                      <w:bCs/>
                      <w:color w:val="auto"/>
                      <w:sz w:val="21"/>
                      <w:szCs w:val="21"/>
                      <w:lang w:val="en-US" w:eastAsia="zh-CN"/>
                    </w:rPr>
                    <w:t>0.1</w:t>
                  </w:r>
                </w:p>
              </w:tc>
              <w:tc>
                <w:tcPr>
                  <w:tcW w:w="1238"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auto"/>
                      <w:kern w:val="0"/>
                      <w:sz w:val="21"/>
                      <w:szCs w:val="21"/>
                      <w:lang w:val="en-US" w:eastAsia="zh-CN" w:bidi="ar-SA"/>
                      <w14:ligatures w14:val="none"/>
                    </w:rPr>
                  </w:pPr>
                  <w:r>
                    <w:rPr>
                      <w:rFonts w:hint="default" w:ascii="Times New Roman" w:hAnsi="Times New Roman" w:eastAsia="宋体" w:cs="Times New Roman"/>
                      <w:color w:val="auto"/>
                      <w:sz w:val="21"/>
                      <w:szCs w:val="21"/>
                      <w:lang w:eastAsia="zh-CN"/>
                    </w:rPr>
                    <w:t>《危险废物贮存污染控制标准》（GB18597-2023）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生活区</w:t>
                  </w:r>
                </w:p>
              </w:tc>
              <w:tc>
                <w:tcPr>
                  <w:tcW w:w="487"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生活垃圾</w:t>
                  </w:r>
                </w:p>
              </w:tc>
              <w:tc>
                <w:tcPr>
                  <w:tcW w:w="713"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生活垃圾</w:t>
                  </w:r>
                </w:p>
              </w:tc>
              <w:tc>
                <w:tcPr>
                  <w:tcW w:w="656"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无</w:t>
                  </w:r>
                </w:p>
              </w:tc>
              <w:tc>
                <w:tcPr>
                  <w:tcW w:w="919"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lang w:val="en-US" w:eastAsia="zh-CN"/>
                    </w:rPr>
                    <w:t>900-002-S62</w:t>
                  </w:r>
                </w:p>
              </w:tc>
              <w:tc>
                <w:tcPr>
                  <w:tcW w:w="337"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固态</w:t>
                  </w:r>
                </w:p>
              </w:tc>
              <w:tc>
                <w:tcPr>
                  <w:tcW w:w="469"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无</w:t>
                  </w:r>
                </w:p>
              </w:tc>
              <w:tc>
                <w:tcPr>
                  <w:tcW w:w="675"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lang w:val="en-US"/>
                    </w:rPr>
                  </w:pPr>
                  <w:r>
                    <w:rPr>
                      <w:rFonts w:hint="eastAsia" w:cs="Times New Roman"/>
                      <w:color w:val="auto"/>
                      <w:sz w:val="21"/>
                      <w:szCs w:val="21"/>
                      <w:lang w:val="en-US" w:eastAsia="zh-CN"/>
                    </w:rPr>
                    <w:t>0.3</w:t>
                  </w:r>
                </w:p>
              </w:tc>
              <w:tc>
                <w:tcPr>
                  <w:tcW w:w="544"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rPr>
                  </w:pPr>
                  <w:r>
                    <w:rPr>
                      <w:rFonts w:hint="eastAsia" w:cs="Times New Roman"/>
                      <w:bCs/>
                      <w:color w:val="auto"/>
                      <w:sz w:val="21"/>
                      <w:szCs w:val="21"/>
                      <w:lang w:val="en-US" w:eastAsia="zh-CN"/>
                    </w:rPr>
                    <w:t>集中收集</w:t>
                  </w:r>
                </w:p>
              </w:tc>
              <w:tc>
                <w:tcPr>
                  <w:tcW w:w="769"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由当地环卫部门统一清运处置</w:t>
                  </w:r>
                </w:p>
              </w:tc>
              <w:tc>
                <w:tcPr>
                  <w:tcW w:w="787"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lang w:val="en-US"/>
                    </w:rPr>
                  </w:pPr>
                  <w:r>
                    <w:rPr>
                      <w:rFonts w:hint="eastAsia" w:cs="Times New Roman"/>
                      <w:color w:val="auto"/>
                      <w:sz w:val="21"/>
                      <w:szCs w:val="21"/>
                      <w:lang w:val="en-US" w:eastAsia="zh-CN"/>
                    </w:rPr>
                    <w:t>0.3</w:t>
                  </w:r>
                </w:p>
              </w:tc>
              <w:tc>
                <w:tcPr>
                  <w:tcW w:w="1238"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color w:val="auto"/>
                      <w:sz w:val="21"/>
                      <w:szCs w:val="21"/>
                    </w:rPr>
                    <w:t>生活垃圾填埋场污染控制标准》（GB16889-20</w:t>
                  </w:r>
                  <w:r>
                    <w:rPr>
                      <w:rFonts w:hint="eastAsia" w:cs="Times New Roman"/>
                      <w:color w:val="auto"/>
                      <w:sz w:val="21"/>
                      <w:szCs w:val="21"/>
                      <w:lang w:val="en-US" w:eastAsia="zh-CN"/>
                    </w:rPr>
                    <w:t>24</w:t>
                  </w:r>
                  <w:r>
                    <w:rPr>
                      <w:rFonts w:hint="default" w:ascii="Times New Roman" w:hAnsi="Times New Roman" w:eastAsia="宋体" w:cs="Times New Roman"/>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auto"/>
                      <w:kern w:val="0"/>
                      <w:sz w:val="21"/>
                      <w:szCs w:val="21"/>
                      <w:lang w:val="en-US" w:eastAsia="zh-CN" w:bidi="ar-SA"/>
                      <w14:ligatures w14:val="none"/>
                    </w:rPr>
                  </w:pPr>
                  <w:r>
                    <w:rPr>
                      <w:rFonts w:hint="eastAsia" w:ascii="Times New Roman" w:hAnsi="Times New Roman" w:eastAsia="宋体" w:cs="Times New Roman"/>
                      <w:color w:val="auto"/>
                      <w:sz w:val="21"/>
                      <w:highlight w:val="none"/>
                      <w:lang w:val="en-US" w:eastAsia="zh-CN"/>
                    </w:rPr>
                    <w:t>筛分工序</w:t>
                  </w:r>
                </w:p>
              </w:tc>
              <w:tc>
                <w:tcPr>
                  <w:tcW w:w="487"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auto"/>
                      <w:kern w:val="0"/>
                      <w:sz w:val="21"/>
                      <w:szCs w:val="21"/>
                      <w:lang w:val="en-US" w:eastAsia="zh-CN" w:bidi="ar-SA"/>
                      <w14:ligatures w14:val="none"/>
                    </w:rPr>
                  </w:pPr>
                  <w:r>
                    <w:rPr>
                      <w:rFonts w:hint="eastAsia" w:ascii="Times New Roman" w:hAnsi="Times New Roman" w:eastAsia="宋体" w:cs="Times New Roman"/>
                      <w:color w:val="auto"/>
                      <w:sz w:val="21"/>
                      <w:highlight w:val="none"/>
                      <w:lang w:val="en-US" w:eastAsia="zh-CN"/>
                    </w:rPr>
                    <w:t>不合格的粗渣</w:t>
                  </w:r>
                </w:p>
              </w:tc>
              <w:tc>
                <w:tcPr>
                  <w:tcW w:w="713" w:type="dxa"/>
                  <w:vMerge w:val="restart"/>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auto"/>
                      <w:kern w:val="0"/>
                      <w:sz w:val="21"/>
                      <w:szCs w:val="21"/>
                      <w:lang w:val="en-US" w:eastAsia="zh-CN" w:bidi="ar-SA"/>
                      <w14:ligatures w14:val="none"/>
                    </w:rPr>
                  </w:pPr>
                  <w:r>
                    <w:rPr>
                      <w:rFonts w:hint="default" w:ascii="Times New Roman" w:hAnsi="Times New Roman" w:eastAsia="宋体" w:cs="Times New Roman"/>
                      <w:color w:val="auto"/>
                      <w:sz w:val="21"/>
                      <w:szCs w:val="21"/>
                    </w:rPr>
                    <w:t>一般工业固体废物</w:t>
                  </w:r>
                </w:p>
              </w:tc>
              <w:tc>
                <w:tcPr>
                  <w:tcW w:w="656"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auto"/>
                      <w:kern w:val="0"/>
                      <w:sz w:val="21"/>
                      <w:szCs w:val="21"/>
                      <w:lang w:val="en-US" w:eastAsia="zh-CN" w:bidi="ar-SA"/>
                      <w14:ligatures w14:val="none"/>
                    </w:rPr>
                  </w:pPr>
                  <w:r>
                    <w:rPr>
                      <w:rFonts w:hint="default" w:ascii="Times New Roman" w:hAnsi="Times New Roman" w:eastAsia="宋体" w:cs="Times New Roman"/>
                      <w:bCs/>
                      <w:color w:val="auto"/>
                      <w:sz w:val="21"/>
                      <w:szCs w:val="21"/>
                    </w:rPr>
                    <w:t>无</w:t>
                  </w:r>
                </w:p>
              </w:tc>
              <w:tc>
                <w:tcPr>
                  <w:tcW w:w="919"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auto"/>
                      <w:kern w:val="0"/>
                      <w:sz w:val="21"/>
                      <w:szCs w:val="21"/>
                      <w:lang w:val="en-US" w:eastAsia="zh-CN" w:bidi="ar-SA"/>
                      <w14:ligatures w14:val="none"/>
                    </w:rPr>
                  </w:pPr>
                  <w:r>
                    <w:rPr>
                      <w:rFonts w:hint="default" w:ascii="Times New Roman" w:hAnsi="Times New Roman" w:eastAsia="宋体" w:cs="Times New Roman"/>
                      <w:bCs/>
                      <w:color w:val="auto"/>
                      <w:sz w:val="21"/>
                      <w:szCs w:val="21"/>
                    </w:rPr>
                    <w:t>900-</w:t>
                  </w:r>
                  <w:r>
                    <w:rPr>
                      <w:rFonts w:hint="default" w:ascii="Times New Roman" w:hAnsi="Times New Roman" w:eastAsia="宋体" w:cs="Times New Roman"/>
                      <w:bCs/>
                      <w:color w:val="auto"/>
                      <w:sz w:val="21"/>
                      <w:szCs w:val="21"/>
                      <w:lang w:val="en-US" w:eastAsia="zh-CN"/>
                    </w:rPr>
                    <w:t>099</w:t>
                  </w: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S59</w:t>
                  </w:r>
                </w:p>
              </w:tc>
              <w:tc>
                <w:tcPr>
                  <w:tcW w:w="337"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bCs/>
                      <w:snapToGrid w:val="0"/>
                      <w:color w:val="auto"/>
                      <w:kern w:val="0"/>
                      <w:sz w:val="21"/>
                      <w:szCs w:val="21"/>
                      <w:lang w:val="en-US" w:eastAsia="zh-CN" w:bidi="ar-SA"/>
                      <w14:ligatures w14:val="none"/>
                    </w:rPr>
                  </w:pPr>
                  <w:r>
                    <w:rPr>
                      <w:rFonts w:hint="default" w:ascii="Times New Roman" w:hAnsi="Times New Roman" w:eastAsia="宋体" w:cs="Times New Roman"/>
                      <w:bCs/>
                      <w:color w:val="auto"/>
                      <w:sz w:val="21"/>
                      <w:szCs w:val="21"/>
                    </w:rPr>
                    <w:t>固态</w:t>
                  </w:r>
                </w:p>
              </w:tc>
              <w:tc>
                <w:tcPr>
                  <w:tcW w:w="469"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auto"/>
                      <w:kern w:val="0"/>
                      <w:sz w:val="21"/>
                      <w:szCs w:val="21"/>
                      <w:lang w:val="en-US" w:eastAsia="zh-CN" w:bidi="ar-SA"/>
                      <w14:ligatures w14:val="none"/>
                    </w:rPr>
                  </w:pPr>
                  <w:r>
                    <w:rPr>
                      <w:rFonts w:hint="default" w:ascii="Times New Roman" w:hAnsi="Times New Roman" w:eastAsia="宋体" w:cs="Times New Roman"/>
                      <w:bCs/>
                      <w:color w:val="auto"/>
                      <w:sz w:val="21"/>
                      <w:szCs w:val="21"/>
                    </w:rPr>
                    <w:t>无</w:t>
                  </w:r>
                </w:p>
              </w:tc>
              <w:tc>
                <w:tcPr>
                  <w:tcW w:w="675"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auto"/>
                      <w:kern w:val="0"/>
                      <w:sz w:val="21"/>
                      <w:szCs w:val="21"/>
                      <w:lang w:val="en-US" w:eastAsia="zh-CN" w:bidi="ar-SA"/>
                      <w14:ligatures w14:val="none"/>
                    </w:rPr>
                  </w:pPr>
                  <w:r>
                    <w:rPr>
                      <w:rFonts w:hint="eastAsia" w:cs="Times New Roman"/>
                      <w:color w:val="auto"/>
                      <w:sz w:val="21"/>
                      <w:szCs w:val="21"/>
                      <w:highlight w:val="none"/>
                      <w:lang w:val="en-US" w:eastAsia="zh-CN"/>
                    </w:rPr>
                    <w:t>369</w:t>
                  </w:r>
                </w:p>
              </w:tc>
              <w:tc>
                <w:tcPr>
                  <w:tcW w:w="544"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auto"/>
                      <w:kern w:val="0"/>
                      <w:sz w:val="21"/>
                      <w:szCs w:val="21"/>
                      <w:lang w:val="en-US" w:eastAsia="zh-CN" w:bidi="ar-SA"/>
                      <w14:ligatures w14:val="none"/>
                    </w:rPr>
                  </w:pPr>
                  <w:r>
                    <w:rPr>
                      <w:rFonts w:hint="eastAsia" w:cs="Times New Roman"/>
                      <w:bCs/>
                      <w:color w:val="auto"/>
                      <w:sz w:val="21"/>
                      <w:szCs w:val="21"/>
                      <w:lang w:val="en-US" w:eastAsia="zh-CN"/>
                    </w:rPr>
                    <w:t>集中收集</w:t>
                  </w:r>
                </w:p>
              </w:tc>
              <w:tc>
                <w:tcPr>
                  <w:tcW w:w="769"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eastAsia" w:cs="Times New Roman"/>
                      <w:color w:val="auto"/>
                      <w:sz w:val="21"/>
                      <w:szCs w:val="21"/>
                      <w:lang w:val="en-US" w:eastAsia="zh-CN"/>
                    </w:rPr>
                    <w:t>回用于生产</w:t>
                  </w:r>
                </w:p>
              </w:tc>
              <w:tc>
                <w:tcPr>
                  <w:tcW w:w="787"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eastAsia" w:cs="Times New Roman"/>
                      <w:color w:val="auto"/>
                      <w:sz w:val="21"/>
                      <w:szCs w:val="21"/>
                      <w:highlight w:val="none"/>
                      <w:lang w:val="en-US" w:eastAsia="zh-CN"/>
                    </w:rPr>
                    <w:t>369</w:t>
                  </w:r>
                </w:p>
              </w:tc>
              <w:tc>
                <w:tcPr>
                  <w:tcW w:w="1238" w:type="dxa"/>
                  <w:vMerge w:val="restart"/>
                  <w:tcBorders>
                    <w:tl2br w:val="nil"/>
                    <w:tr2bl w:val="nil"/>
                  </w:tcBorders>
                  <w:vAlign w:val="center"/>
                </w:tcPr>
                <w:p>
                  <w:pPr>
                    <w:spacing w:line="240" w:lineRule="auto"/>
                    <w:jc w:val="center"/>
                    <w:rPr>
                      <w:rFonts w:hint="eastAsia" w:ascii="Times New Roman" w:hAnsi="Times New Roman" w:eastAsia="宋体" w:cs="Times New Roman"/>
                      <w:bCs/>
                      <w:color w:val="auto"/>
                      <w:sz w:val="21"/>
                      <w:szCs w:val="21"/>
                      <w:lang w:eastAsia="zh-CN"/>
                    </w:rPr>
                  </w:pPr>
                  <w:r>
                    <w:rPr>
                      <w:rFonts w:hint="default" w:ascii="Times New Roman" w:hAnsi="Times New Roman" w:eastAsia="宋体" w:cs="Times New Roman"/>
                      <w:color w:val="auto"/>
                      <w:sz w:val="21"/>
                      <w:szCs w:val="21"/>
                    </w:rPr>
                    <w:t>《一般工业固体废物贮存和填埋污染控制标准》</w:t>
                  </w:r>
                  <w:r>
                    <w:rPr>
                      <w:rFonts w:hint="eastAsia" w:cs="Times New Roman"/>
                      <w:color w:val="auto"/>
                      <w:sz w:val="21"/>
                      <w:szCs w:val="21"/>
                      <w:lang w:eastAsia="zh-CN"/>
                    </w:rPr>
                    <w:t>（</w:t>
                  </w:r>
                  <w:r>
                    <w:rPr>
                      <w:rFonts w:hint="default" w:ascii="Times New Roman" w:hAnsi="Times New Roman" w:eastAsia="宋体" w:cs="Times New Roman"/>
                      <w:color w:val="auto"/>
                      <w:sz w:val="21"/>
                      <w:szCs w:val="21"/>
                    </w:rPr>
                    <w:t>GB18599-2020</w:t>
                  </w:r>
                  <w:r>
                    <w:rPr>
                      <w:rFonts w:hint="eastAsia" w:cs="Times New Roman"/>
                      <w:color w:val="auto"/>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auto"/>
                      <w:sz w:val="21"/>
                      <w:highlight w:val="none"/>
                      <w:lang w:val="en-US" w:eastAsia="zh-CN"/>
                    </w:rPr>
                    <w:t>去磁工序</w:t>
                  </w:r>
                </w:p>
              </w:tc>
              <w:tc>
                <w:tcPr>
                  <w:tcW w:w="487"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000000" w:themeColor="text1"/>
                      <w:sz w:val="21"/>
                      <w:lang w:val="en-US" w:eastAsia="zh-CN"/>
                      <w14:textFill>
                        <w14:solidFill>
                          <w14:schemeClr w14:val="tx1"/>
                        </w14:solidFill>
                      </w14:textFill>
                    </w:rPr>
                    <w:t>废铁</w:t>
                  </w:r>
                </w:p>
              </w:tc>
              <w:tc>
                <w:tcPr>
                  <w:tcW w:w="713" w:type="dxa"/>
                  <w:vMerge w:val="continue"/>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auto"/>
                      <w:sz w:val="21"/>
                      <w:szCs w:val="21"/>
                    </w:rPr>
                  </w:pPr>
                </w:p>
              </w:tc>
              <w:tc>
                <w:tcPr>
                  <w:tcW w:w="656"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无</w:t>
                  </w:r>
                </w:p>
              </w:tc>
              <w:tc>
                <w:tcPr>
                  <w:tcW w:w="919"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color w:val="auto"/>
                      <w:sz w:val="21"/>
                      <w:szCs w:val="21"/>
                      <w:lang w:val="en-US"/>
                    </w:rPr>
                  </w:pPr>
                  <w:r>
                    <w:rPr>
                      <w:rFonts w:hint="default" w:ascii="Times New Roman" w:hAnsi="Times New Roman" w:eastAsia="宋体" w:cs="Times New Roman"/>
                      <w:bCs/>
                      <w:color w:val="auto"/>
                      <w:sz w:val="21"/>
                      <w:szCs w:val="21"/>
                    </w:rPr>
                    <w:t>900-</w:t>
                  </w:r>
                  <w:r>
                    <w:rPr>
                      <w:rFonts w:hint="default" w:ascii="Times New Roman" w:hAnsi="Times New Roman" w:eastAsia="宋体" w:cs="Times New Roman"/>
                      <w:bCs/>
                      <w:color w:val="auto"/>
                      <w:sz w:val="21"/>
                      <w:szCs w:val="21"/>
                      <w:lang w:val="en-US" w:eastAsia="zh-CN"/>
                    </w:rPr>
                    <w:t>099</w:t>
                  </w: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S59</w:t>
                  </w:r>
                </w:p>
              </w:tc>
              <w:tc>
                <w:tcPr>
                  <w:tcW w:w="337"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固态</w:t>
                  </w:r>
                </w:p>
              </w:tc>
              <w:tc>
                <w:tcPr>
                  <w:tcW w:w="469"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无</w:t>
                  </w:r>
                </w:p>
              </w:tc>
              <w:tc>
                <w:tcPr>
                  <w:tcW w:w="675" w:type="dxa"/>
                  <w:tcBorders>
                    <w:tl2br w:val="nil"/>
                    <w:tr2bl w:val="nil"/>
                  </w:tcBorders>
                  <w:shd w:val="clear" w:color="auto" w:fill="auto"/>
                  <w:vAlign w:val="center"/>
                </w:tcPr>
                <w:p>
                  <w:pPr>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0.001</w:t>
                  </w:r>
                </w:p>
              </w:tc>
              <w:tc>
                <w:tcPr>
                  <w:tcW w:w="544" w:type="dxa"/>
                  <w:tcBorders>
                    <w:tl2br w:val="nil"/>
                    <w:tr2bl w:val="nil"/>
                  </w:tcBorders>
                  <w:shd w:val="clear" w:color="auto" w:fill="auto"/>
                  <w:vAlign w:val="center"/>
                </w:tcPr>
                <w:p>
                  <w:pPr>
                    <w:spacing w:line="240" w:lineRule="auto"/>
                    <w:jc w:val="center"/>
                    <w:rPr>
                      <w:rFonts w:hint="default" w:cs="Times New Roman"/>
                      <w:bCs/>
                      <w:color w:val="auto"/>
                      <w:sz w:val="21"/>
                      <w:szCs w:val="21"/>
                      <w:lang w:val="en-US" w:eastAsia="zh-CN"/>
                    </w:rPr>
                  </w:pPr>
                  <w:r>
                    <w:rPr>
                      <w:rFonts w:hint="eastAsia" w:cs="Times New Roman"/>
                      <w:bCs/>
                      <w:color w:val="auto"/>
                      <w:sz w:val="21"/>
                      <w:szCs w:val="21"/>
                      <w:lang w:val="en-US" w:eastAsia="zh-CN"/>
                    </w:rPr>
                    <w:t>集中收集</w:t>
                  </w:r>
                </w:p>
              </w:tc>
              <w:tc>
                <w:tcPr>
                  <w:tcW w:w="769" w:type="dxa"/>
                  <w:tcBorders>
                    <w:tl2br w:val="nil"/>
                    <w:tr2bl w:val="nil"/>
                  </w:tcBorders>
                  <w:shd w:val="clear" w:color="auto" w:fill="auto"/>
                  <w:vAlign w:val="center"/>
                </w:tcPr>
                <w:p>
                  <w:pPr>
                    <w:spacing w:line="240" w:lineRule="auto"/>
                    <w:jc w:val="center"/>
                    <w:rPr>
                      <w:rFonts w:hint="eastAsia" w:cs="Times New Roman"/>
                      <w:color w:val="auto"/>
                      <w:sz w:val="21"/>
                      <w:szCs w:val="21"/>
                      <w:lang w:val="en-US" w:eastAsia="zh-CN"/>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作为废品外售</w:t>
                  </w:r>
                </w:p>
              </w:tc>
              <w:tc>
                <w:tcPr>
                  <w:tcW w:w="787" w:type="dxa"/>
                  <w:tcBorders>
                    <w:tl2br w:val="nil"/>
                    <w:tr2bl w:val="nil"/>
                  </w:tcBorders>
                  <w:shd w:val="clear" w:color="auto" w:fill="auto"/>
                  <w:vAlign w:val="center"/>
                </w:tcPr>
                <w:p>
                  <w:pPr>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0.001</w:t>
                  </w:r>
                </w:p>
              </w:tc>
              <w:tc>
                <w:tcPr>
                  <w:tcW w:w="1238" w:type="dxa"/>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r>
            <w:bookmarkEnd w:id="19"/>
            <w:bookmarkEnd w:id="20"/>
            <w:bookmarkEnd w:id="21"/>
            <w:bookmarkEnd w:id="22"/>
          </w:tbl>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（1）生产固废</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项目产生固废主要是除尘器</w:t>
            </w:r>
            <w:r>
              <w:rPr>
                <w:rFonts w:hint="default" w:ascii="Times New Roman" w:hAnsi="Times New Roman" w:eastAsia="宋体" w:cs="Times New Roman"/>
                <w:color w:val="auto"/>
                <w:sz w:val="24"/>
                <w:szCs w:val="24"/>
                <w:lang w:val="en-US" w:eastAsia="zh-CN"/>
              </w:rPr>
              <w:t>收集的除尘灰</w:t>
            </w:r>
            <w:r>
              <w:rPr>
                <w:rFonts w:hint="default" w:ascii="Times New Roman" w:hAnsi="Times New Roman" w:eastAsia="宋体" w:cs="Times New Roman"/>
                <w:color w:val="auto"/>
                <w:sz w:val="24"/>
                <w:szCs w:val="24"/>
              </w:rPr>
              <w:t>、废旧布袋</w:t>
            </w:r>
            <w:r>
              <w:rPr>
                <w:rFonts w:hint="eastAsia" w:cs="Times New Roman"/>
                <w:color w:val="auto"/>
                <w:sz w:val="24"/>
                <w:szCs w:val="24"/>
                <w:lang w:eastAsia="zh-CN"/>
              </w:rPr>
              <w:t>、不合格的粗渣</w:t>
            </w:r>
            <w:r>
              <w:rPr>
                <w:rFonts w:hint="default" w:ascii="Times New Roman" w:hAnsi="Times New Roman" w:eastAsia="宋体" w:cs="Times New Roman"/>
                <w:color w:val="auto"/>
                <w:sz w:val="24"/>
                <w:szCs w:val="24"/>
              </w:rPr>
              <w:t>。</w:t>
            </w:r>
          </w:p>
          <w:p>
            <w:pPr>
              <w:keepNext w:val="0"/>
              <w:keepLines w:val="0"/>
              <w:pageBreakBefore w:val="0"/>
              <w:widowControl w:val="0"/>
              <w:kinsoku/>
              <w:wordWrap/>
              <w:overflowPunct/>
              <w:topLinePunct w:val="0"/>
              <w:autoSpaceDE/>
              <w:autoSpaceDN/>
              <w:bidi w:val="0"/>
              <w:spacing w:line="500" w:lineRule="exact"/>
              <w:ind w:firstLine="480" w:firstLineChars="200"/>
              <w:jc w:val="both"/>
              <w:textAlignment w:val="auto"/>
              <w:rPr>
                <w:rFonts w:hint="default" w:cs="Times New Roman"/>
                <w:color w:val="auto"/>
                <w:sz w:val="24"/>
                <w:szCs w:val="24"/>
                <w:lang w:val="en-US" w:eastAsia="zh-CN"/>
              </w:rPr>
            </w:pPr>
            <w:r>
              <w:rPr>
                <w:rFonts w:hint="default" w:ascii="Times New Roman" w:hAnsi="Times New Roman" w:eastAsia="宋体" w:cs="Times New Roman"/>
                <w:color w:val="auto"/>
                <w:sz w:val="24"/>
                <w:szCs w:val="24"/>
              </w:rPr>
              <w:t>根据计算除尘器收集粉尘量为</w:t>
            </w:r>
            <w:r>
              <w:rPr>
                <w:rFonts w:hint="eastAsia" w:cs="Times New Roman"/>
                <w:color w:val="auto"/>
                <w:sz w:val="24"/>
                <w:szCs w:val="24"/>
                <w:highlight w:val="none"/>
                <w:lang w:val="en-US" w:eastAsia="zh-CN"/>
              </w:rPr>
              <w:t>131</w:t>
            </w:r>
            <w:r>
              <w:rPr>
                <w:rFonts w:hint="default" w:ascii="Times New Roman" w:hAnsi="Times New Roman" w:eastAsia="宋体" w:cs="Times New Roman"/>
                <w:color w:val="auto"/>
                <w:sz w:val="24"/>
                <w:szCs w:val="24"/>
                <w:highlight w:val="none"/>
              </w:rPr>
              <w:t>t/a</w:t>
            </w:r>
            <w:r>
              <w:rPr>
                <w:rFonts w:hint="default" w:ascii="Times New Roman" w:hAnsi="Times New Roman" w:eastAsia="宋体" w:cs="Times New Roman"/>
                <w:color w:val="auto"/>
                <w:sz w:val="24"/>
                <w:szCs w:val="24"/>
              </w:rPr>
              <w:t>，收集后的粉尘全部回收再利用，不外排</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废布袋由厂家回收</w:t>
            </w:r>
            <w:r>
              <w:rPr>
                <w:rFonts w:hint="eastAsia" w:cs="Times New Roman"/>
                <w:color w:val="auto"/>
                <w:sz w:val="24"/>
                <w:szCs w:val="24"/>
                <w:lang w:eastAsia="zh-CN"/>
              </w:rPr>
              <w:t>；筛分产生的粗渣回用于生产，</w:t>
            </w:r>
            <w:r>
              <w:rPr>
                <w:rFonts w:hint="eastAsia" w:cs="Times New Roman"/>
                <w:color w:val="auto"/>
                <w:sz w:val="24"/>
                <w:szCs w:val="24"/>
                <w:lang w:val="en-US" w:eastAsia="zh-CN"/>
              </w:rPr>
              <w:t>废铁集中收集，作为废品外售。</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（2）生活</w:t>
            </w:r>
            <w:r>
              <w:rPr>
                <w:rFonts w:hint="eastAsia" w:cs="Times New Roman"/>
                <w:color w:val="auto"/>
                <w:sz w:val="24"/>
                <w:szCs w:val="24"/>
                <w:lang w:val="en-US" w:eastAsia="zh-CN"/>
              </w:rPr>
              <w:t>垃圾</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项目劳动定员</w:t>
            </w:r>
            <w:r>
              <w:rPr>
                <w:rFonts w:hint="eastAsia" w:cs="Times New Roman"/>
                <w:color w:val="auto"/>
                <w:sz w:val="24"/>
                <w:szCs w:val="24"/>
                <w:lang w:val="en-US" w:eastAsia="zh-CN"/>
              </w:rPr>
              <w:t>5</w:t>
            </w:r>
            <w:r>
              <w:rPr>
                <w:rFonts w:hint="default" w:ascii="Times New Roman" w:hAnsi="Times New Roman" w:eastAsia="宋体" w:cs="Times New Roman"/>
                <w:color w:val="auto"/>
                <w:sz w:val="24"/>
                <w:szCs w:val="24"/>
              </w:rPr>
              <w:t>人，按每人每天产生生活垃圾0.5kg计算，项目年生产</w:t>
            </w:r>
            <w:r>
              <w:rPr>
                <w:rFonts w:hint="eastAsia" w:cs="Times New Roman"/>
                <w:color w:val="auto"/>
                <w:sz w:val="24"/>
                <w:szCs w:val="24"/>
                <w:lang w:val="en-US" w:eastAsia="zh-CN"/>
              </w:rPr>
              <w:t>120</w:t>
            </w:r>
            <w:r>
              <w:rPr>
                <w:rFonts w:hint="default" w:ascii="Times New Roman" w:hAnsi="Times New Roman" w:eastAsia="宋体" w:cs="Times New Roman"/>
                <w:color w:val="auto"/>
                <w:sz w:val="24"/>
                <w:szCs w:val="24"/>
              </w:rPr>
              <w:t>天，则年产生量为</w:t>
            </w:r>
            <w:r>
              <w:rPr>
                <w:rFonts w:hint="eastAsia" w:cs="Times New Roman"/>
                <w:color w:val="auto"/>
                <w:sz w:val="24"/>
                <w:szCs w:val="24"/>
                <w:lang w:val="en-US" w:eastAsia="zh-CN"/>
              </w:rPr>
              <w:t>0.3</w:t>
            </w:r>
            <w:r>
              <w:rPr>
                <w:rFonts w:hint="default" w:ascii="Times New Roman" w:hAnsi="Times New Roman" w:eastAsia="宋体" w:cs="Times New Roman"/>
                <w:color w:val="auto"/>
                <w:sz w:val="24"/>
                <w:szCs w:val="24"/>
              </w:rPr>
              <w:t>t/a。</w:t>
            </w:r>
          </w:p>
          <w:p>
            <w:pPr>
              <w:pStyle w:val="37"/>
              <w:keepNext w:val="0"/>
              <w:keepLines w:val="0"/>
              <w:pageBreakBefore w:val="0"/>
              <w:widowControl w:val="0"/>
              <w:numPr>
                <w:ilvl w:val="0"/>
                <w:numId w:val="5"/>
              </w:numPr>
              <w:kinsoku/>
              <w:wordWrap/>
              <w:overflowPunct/>
              <w:topLinePunct w:val="0"/>
              <w:autoSpaceDE/>
              <w:autoSpaceDN/>
              <w:bidi w:val="0"/>
              <w:spacing w:line="500" w:lineRule="exact"/>
              <w:ind w:firstLine="480" w:firstLineChars="200"/>
              <w:textAlignment w:val="auto"/>
              <w:rPr>
                <w:rFonts w:hint="eastAsia" w:eastAsia="宋体" w:cs="Times New Roman"/>
                <w:snapToGrid w:val="0"/>
                <w:color w:val="auto"/>
                <w:kern w:val="0"/>
                <w:sz w:val="24"/>
                <w:szCs w:val="24"/>
                <w:lang w:val="en-US" w:eastAsia="zh-CN" w:bidi="ar-SA"/>
                <w14:ligatures w14:val="none"/>
              </w:rPr>
            </w:pPr>
            <w:r>
              <w:rPr>
                <w:rFonts w:hint="eastAsia" w:eastAsia="宋体" w:cs="Times New Roman"/>
                <w:snapToGrid w:val="0"/>
                <w:color w:val="auto"/>
                <w:kern w:val="0"/>
                <w:sz w:val="24"/>
                <w:szCs w:val="24"/>
                <w:lang w:val="en-US" w:eastAsia="zh-CN" w:bidi="ar-SA"/>
                <w14:ligatures w14:val="none"/>
              </w:rPr>
              <w:t>危险废物</w:t>
            </w:r>
          </w:p>
          <w:p>
            <w:pPr>
              <w:pStyle w:val="37"/>
              <w:keepNext w:val="0"/>
              <w:keepLines w:val="0"/>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default" w:eastAsia="宋体" w:cs="Times New Roman"/>
                <w:snapToGrid w:val="0"/>
                <w:color w:val="auto"/>
                <w:kern w:val="0"/>
                <w:sz w:val="24"/>
                <w:szCs w:val="24"/>
                <w:lang w:val="en-US" w:eastAsia="zh-CN" w:bidi="ar-SA"/>
                <w14:ligatures w14:val="none"/>
              </w:rPr>
            </w:pPr>
            <w:r>
              <w:rPr>
                <w:rFonts w:hint="eastAsia" w:eastAsia="宋体" w:cs="Times New Roman"/>
                <w:snapToGrid w:val="0"/>
                <w:color w:val="auto"/>
                <w:kern w:val="0"/>
                <w:sz w:val="24"/>
                <w:szCs w:val="24"/>
                <w:lang w:val="en-US" w:eastAsia="zh-CN" w:bidi="ar-SA"/>
                <w14:ligatures w14:val="none"/>
              </w:rPr>
              <w:t>项目设备保养产生的废机油、废油桶集中收集，交有资质单位回收处理。</w:t>
            </w:r>
          </w:p>
          <w:p>
            <w:pPr>
              <w:keepNext w:val="0"/>
              <w:keepLines w:val="0"/>
              <w:pageBreakBefore w:val="0"/>
              <w:widowControl w:val="0"/>
              <w:kinsoku/>
              <w:wordWrap/>
              <w:overflowPunct/>
              <w:topLinePunct w:val="0"/>
              <w:autoSpaceDE/>
              <w:autoSpaceDN/>
              <w:bidi w:val="0"/>
              <w:spacing w:line="500" w:lineRule="exac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4.</w:t>
            </w:r>
            <w:r>
              <w:rPr>
                <w:rFonts w:hint="eastAsia" w:ascii="Times New Roman" w:hAnsi="Times New Roman" w:eastAsia="宋体" w:cs="Times New Roman"/>
                <w:b/>
                <w:bCs/>
                <w:color w:val="auto"/>
                <w:sz w:val="24"/>
                <w:szCs w:val="24"/>
                <w:lang w:val="en-US" w:eastAsia="zh-CN"/>
              </w:rPr>
              <w:t>10</w:t>
            </w:r>
            <w:r>
              <w:rPr>
                <w:rFonts w:hint="default" w:ascii="Times New Roman" w:hAnsi="Times New Roman" w:eastAsia="宋体" w:cs="Times New Roman"/>
                <w:b/>
                <w:bCs/>
                <w:color w:val="auto"/>
                <w:sz w:val="24"/>
                <w:szCs w:val="24"/>
              </w:rPr>
              <w:t>.1危险废物防治措施</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项目运营过程中废机油、废油</w:t>
            </w:r>
            <w:r>
              <w:rPr>
                <w:rFonts w:hint="eastAsia" w:cs="Times New Roman"/>
                <w:color w:val="auto"/>
                <w:sz w:val="24"/>
                <w:szCs w:val="24"/>
                <w:lang w:val="en-US" w:eastAsia="zh-CN"/>
              </w:rPr>
              <w:t>桶</w:t>
            </w:r>
            <w:r>
              <w:rPr>
                <w:rFonts w:hint="default" w:ascii="Times New Roman" w:hAnsi="Times New Roman" w:eastAsia="宋体" w:cs="Times New Roman"/>
                <w:color w:val="auto"/>
                <w:sz w:val="24"/>
                <w:szCs w:val="24"/>
              </w:rPr>
              <w:t>属于危险废</w:t>
            </w:r>
            <w:r>
              <w:rPr>
                <w:rFonts w:hint="eastAsia" w:cs="Times New Roman"/>
                <w:color w:val="auto"/>
                <w:sz w:val="24"/>
                <w:szCs w:val="24"/>
                <w:lang w:val="en-US" w:eastAsia="zh-CN"/>
              </w:rPr>
              <w:t>物</w:t>
            </w:r>
            <w:r>
              <w:rPr>
                <w:rFonts w:hint="default" w:ascii="Times New Roman" w:hAnsi="Times New Roman" w:eastAsia="宋体" w:cs="Times New Roman"/>
                <w:color w:val="auto"/>
                <w:sz w:val="24"/>
                <w:szCs w:val="24"/>
              </w:rPr>
              <w:t>，应集中收集后委托有资质的处理单位进行处理。本项目危险废物临时贮存场所的建设必须满足《危险废物贮存污染控制标准》（GB18597-2023）相关要求。</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对危险废物的收集、暂存和运输按国家标准有如下要求：</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一</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危险废物的收集包装</w:t>
            </w:r>
          </w:p>
          <w:p>
            <w:pPr>
              <w:keepNext w:val="0"/>
              <w:keepLines w:val="0"/>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auto"/>
                <w:sz w:val="24"/>
                <w:szCs w:val="24"/>
              </w:rPr>
            </w:pPr>
            <w:r>
              <w:rPr>
                <w:rFonts w:hint="eastAsia" w:cs="Times New Roman"/>
                <w:snapToGrid w:val="0"/>
                <w:color w:val="auto"/>
                <w:kern w:val="0"/>
                <w:sz w:val="24"/>
                <w:szCs w:val="24"/>
                <w:lang w:val="en-US" w:eastAsia="zh-CN" w:bidi="ar-SA"/>
                <w14:ligatures w14:val="none"/>
              </w:rPr>
              <w:t>a.</w:t>
            </w:r>
            <w:r>
              <w:rPr>
                <w:rFonts w:hint="default" w:ascii="Times New Roman" w:hAnsi="Times New Roman" w:eastAsia="宋体" w:cs="Times New Roman"/>
                <w:color w:val="auto"/>
                <w:sz w:val="24"/>
                <w:szCs w:val="24"/>
              </w:rPr>
              <w:t>有符合要求的包装容器、收集人员的个人防护设备。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auto"/>
                <w:sz w:val="24"/>
                <w:szCs w:val="24"/>
              </w:rPr>
            </w:pPr>
            <w:r>
              <w:rPr>
                <w:rFonts w:hint="eastAsia" w:cs="Times New Roman"/>
                <w:color w:val="auto"/>
                <w:sz w:val="24"/>
                <w:szCs w:val="24"/>
                <w:lang w:eastAsia="zh-CN"/>
              </w:rPr>
              <w:t>b.</w:t>
            </w:r>
            <w:r>
              <w:rPr>
                <w:rFonts w:hint="default" w:ascii="Times New Roman" w:hAnsi="Times New Roman" w:eastAsia="宋体" w:cs="Times New Roman"/>
                <w:color w:val="auto"/>
                <w:sz w:val="24"/>
                <w:szCs w:val="24"/>
              </w:rPr>
              <w:t>危险废物的收集容器应在醒目位置贴有危险废物标签，在收集场所醒目的地方设置危险废物警告标识。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auto"/>
                <w:sz w:val="24"/>
                <w:szCs w:val="24"/>
              </w:rPr>
            </w:pPr>
            <w:r>
              <w:rPr>
                <w:rFonts w:hint="eastAsia" w:cs="Times New Roman"/>
                <w:color w:val="auto"/>
                <w:sz w:val="24"/>
                <w:szCs w:val="24"/>
                <w:lang w:eastAsia="zh-CN"/>
              </w:rPr>
              <w:t>c.</w:t>
            </w:r>
            <w:r>
              <w:rPr>
                <w:rFonts w:hint="default" w:ascii="Times New Roman" w:hAnsi="Times New Roman" w:eastAsia="宋体" w:cs="Times New Roman"/>
                <w:color w:val="auto"/>
                <w:sz w:val="24"/>
                <w:szCs w:val="24"/>
              </w:rPr>
              <w:t>危险废物标签应标明以下信息：主要化学成分或危险废物名称、数量、物理形态、危险类别、安全措施以及危险废物产生单位名称、地址、联系人及电话。</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二</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危险废物的暂存要求危险废物堆放场所应满足《危险废物贮存污染控制标准》（GB18597-2023）中的有关规定：</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auto"/>
                <w:sz w:val="24"/>
                <w:szCs w:val="24"/>
              </w:rPr>
            </w:pPr>
            <w:r>
              <w:rPr>
                <w:rFonts w:hint="eastAsia" w:cs="Times New Roman"/>
                <w:color w:val="auto"/>
                <w:sz w:val="24"/>
                <w:szCs w:val="24"/>
                <w:lang w:eastAsia="zh-CN"/>
              </w:rPr>
              <w:t>a.</w:t>
            </w:r>
            <w:r>
              <w:rPr>
                <w:rFonts w:hint="default" w:ascii="Times New Roman" w:hAnsi="Times New Roman" w:eastAsia="宋体" w:cs="Times New Roman"/>
                <w:color w:val="auto"/>
                <w:sz w:val="24"/>
                <w:szCs w:val="24"/>
              </w:rPr>
              <w:t>按《环境保护图形标识—固体废物贮存（处置）场》</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GB15562.2</w:t>
            </w:r>
            <w:r>
              <w:rPr>
                <w:rFonts w:hint="default" w:ascii="Times New Roman" w:hAnsi="Times New Roman" w:eastAsia="宋体" w:cs="Times New Roman"/>
                <w:color w:val="auto"/>
                <w:sz w:val="24"/>
                <w:szCs w:val="24"/>
                <w:lang w:val="en-US" w:eastAsia="zh-CN"/>
              </w:rPr>
              <w:t>-1995</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及其修改单</w:t>
            </w:r>
            <w:r>
              <w:rPr>
                <w:rFonts w:hint="default" w:ascii="Times New Roman" w:hAnsi="Times New Roman" w:eastAsia="宋体" w:cs="Times New Roman"/>
                <w:color w:val="auto"/>
                <w:sz w:val="24"/>
                <w:szCs w:val="24"/>
              </w:rPr>
              <w:t>设置警示标志。</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auto"/>
                <w:sz w:val="24"/>
                <w:szCs w:val="24"/>
              </w:rPr>
            </w:pPr>
            <w:r>
              <w:rPr>
                <w:rFonts w:hint="eastAsia" w:cs="Times New Roman"/>
                <w:color w:val="auto"/>
                <w:sz w:val="24"/>
                <w:szCs w:val="24"/>
                <w:lang w:eastAsia="zh-CN"/>
              </w:rPr>
              <w:t>b.</w:t>
            </w:r>
            <w:r>
              <w:rPr>
                <w:rFonts w:hint="default" w:ascii="Times New Roman" w:hAnsi="Times New Roman" w:eastAsia="宋体" w:cs="Times New Roman"/>
                <w:color w:val="auto"/>
                <w:sz w:val="24"/>
                <w:szCs w:val="24"/>
              </w:rPr>
              <w:t>必须有耐腐蚀的硬化地面和基础防渗层，地面无裂隙；设施底部必须高于地下水最高水位。</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auto"/>
                <w:sz w:val="24"/>
                <w:szCs w:val="24"/>
              </w:rPr>
            </w:pPr>
            <w:r>
              <w:rPr>
                <w:rFonts w:hint="eastAsia" w:cs="Times New Roman"/>
                <w:color w:val="auto"/>
                <w:sz w:val="24"/>
                <w:szCs w:val="24"/>
                <w:lang w:eastAsia="zh-CN"/>
              </w:rPr>
              <w:t>c.</w:t>
            </w:r>
            <w:r>
              <w:rPr>
                <w:rFonts w:hint="default" w:ascii="Times New Roman" w:hAnsi="Times New Roman" w:eastAsia="宋体" w:cs="Times New Roman"/>
                <w:color w:val="auto"/>
                <w:sz w:val="24"/>
                <w:szCs w:val="24"/>
              </w:rPr>
              <w:t>要求有必要的防风、防雨、防晒措施。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auto"/>
                <w:sz w:val="24"/>
                <w:szCs w:val="24"/>
              </w:rPr>
            </w:pPr>
            <w:r>
              <w:rPr>
                <w:rFonts w:hint="eastAsia" w:cs="Times New Roman"/>
                <w:color w:val="auto"/>
                <w:sz w:val="24"/>
                <w:szCs w:val="24"/>
                <w:lang w:eastAsia="zh-CN"/>
              </w:rPr>
              <w:t>d.</w:t>
            </w:r>
            <w:r>
              <w:rPr>
                <w:rFonts w:hint="default" w:ascii="Times New Roman" w:hAnsi="Times New Roman" w:eastAsia="宋体" w:cs="Times New Roman"/>
                <w:color w:val="auto"/>
                <w:sz w:val="24"/>
                <w:szCs w:val="24"/>
              </w:rPr>
              <w:t>要有隔离设施或其他防护栅栏。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auto"/>
                <w:sz w:val="24"/>
                <w:szCs w:val="24"/>
              </w:rPr>
            </w:pPr>
            <w:r>
              <w:rPr>
                <w:rFonts w:hint="eastAsia" w:cs="Times New Roman"/>
                <w:color w:val="auto"/>
                <w:sz w:val="24"/>
                <w:szCs w:val="24"/>
                <w:lang w:eastAsia="zh-CN"/>
              </w:rPr>
              <w:t>e.</w:t>
            </w:r>
            <w:r>
              <w:rPr>
                <w:rFonts w:hint="default" w:ascii="Times New Roman" w:hAnsi="Times New Roman" w:eastAsia="宋体" w:cs="Times New Roman"/>
                <w:color w:val="auto"/>
                <w:sz w:val="24"/>
                <w:szCs w:val="24"/>
              </w:rPr>
              <w:t>应配备通讯设备、照明设施、安全防护服装，并设有报警装置和应急防护设施。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三</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危险废物的运输要求危险废物的运输应采取危险废物转移联单制度，保证运输安全，防止非法转移和非法处置，保证危险废物的安全监控，防止危险废物污染事故发生。</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auto"/>
                <w:kern w:val="0"/>
                <w:sz w:val="24"/>
                <w:szCs w:val="24"/>
                <w:lang w:val="en-US" w:eastAsia="zh-CN" w:bidi="ar-SA"/>
                <w14:ligatures w14:val="none"/>
              </w:rPr>
              <w:t>（四）危险废物处置</w:t>
            </w:r>
          </w:p>
          <w:p>
            <w:pPr>
              <w:pStyle w:val="44"/>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产生的危险废物实行分类收集后置于贮存设施内，贮存时限一般不得超过一年，并设专人管理。盛装危险废物的容器和包装物以及产生、收集、贮存、运输、处置危险废物的场所，必须依法设置相应标识、警示标志和标签，标签上应注明贮存的废物类别、危害性以及开始贮存时间等内容。企业必须严格执行危险废物转移计划报批和依法运行危险废物转移联单，并通过信息系统登记转移计划和电子转移联单。企业还需健全</w:t>
            </w:r>
            <w:r>
              <w:rPr>
                <w:rFonts w:hint="default" w:ascii="Times New Roman" w:hAnsi="Times New Roman" w:eastAsia="宋体" w:cs="Times New Roman"/>
                <w:color w:val="auto"/>
                <w:sz w:val="24"/>
                <w:szCs w:val="24"/>
                <w:highlight w:val="none"/>
                <w:lang w:eastAsia="zh-CN"/>
              </w:rPr>
              <w:t>生产</w:t>
            </w:r>
            <w:r>
              <w:rPr>
                <w:rFonts w:hint="default" w:ascii="Times New Roman" w:hAnsi="Times New Roman" w:eastAsia="宋体" w:cs="Times New Roman"/>
                <w:color w:val="auto"/>
                <w:sz w:val="24"/>
                <w:szCs w:val="24"/>
                <w:highlight w:val="none"/>
              </w:rPr>
              <w:t>单位内部管理制度，包括落实危险废物产生信息公开制度，建立员工培训和固体废物管理员制度，完善危险废物相关档案管理制度；建立和完善突发危险废物环境应急</w:t>
            </w:r>
            <w:r>
              <w:rPr>
                <w:rFonts w:hint="default" w:ascii="Times New Roman" w:hAnsi="Times New Roman" w:eastAsia="宋体" w:cs="Times New Roman"/>
                <w:color w:val="auto"/>
                <w:sz w:val="24"/>
                <w:szCs w:val="24"/>
                <w:highlight w:val="none"/>
                <w:lang w:val="en-US" w:eastAsia="zh-CN"/>
              </w:rPr>
              <w:t>预</w:t>
            </w:r>
          </w:p>
          <w:p>
            <w:pPr>
              <w:pStyle w:val="44"/>
              <w:keepNext w:val="0"/>
              <w:keepLines w:val="0"/>
              <w:pageBreakBefore w:val="0"/>
              <w:widowControl w:val="0"/>
              <w:kinsoku/>
              <w:wordWrap/>
              <w:overflowPunct/>
              <w:topLinePunct w:val="0"/>
              <w:autoSpaceDE/>
              <w:autoSpaceDN/>
              <w:bidi w:val="0"/>
              <w:adjustRightInd w:val="0"/>
              <w:snapToGrid w:val="0"/>
              <w:spacing w:line="500" w:lineRule="exact"/>
              <w:ind w:left="0" w:leftChars="0" w:firstLine="0" w:firstLineChars="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highlight w:val="none"/>
              </w:rPr>
              <w:t>案。</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4.</w:t>
            </w:r>
            <w:r>
              <w:rPr>
                <w:rFonts w:hint="eastAsia" w:ascii="Times New Roman" w:hAnsi="Times New Roman" w:eastAsia="宋体" w:cs="Times New Roman"/>
                <w:b/>
                <w:bCs/>
                <w:color w:val="auto"/>
                <w:sz w:val="24"/>
                <w:szCs w:val="24"/>
                <w:lang w:val="en-US" w:eastAsia="zh-CN"/>
              </w:rPr>
              <w:t>10</w:t>
            </w:r>
            <w:r>
              <w:rPr>
                <w:rFonts w:hint="default" w:ascii="Times New Roman" w:hAnsi="Times New Roman" w:eastAsia="宋体" w:cs="Times New Roman"/>
                <w:b/>
                <w:bCs/>
                <w:color w:val="auto"/>
                <w:sz w:val="24"/>
                <w:szCs w:val="24"/>
              </w:rPr>
              <w:t>.2一般工业固废防治措施</w:t>
            </w:r>
          </w:p>
          <w:p>
            <w:pPr>
              <w:keepNext w:val="0"/>
              <w:keepLines w:val="0"/>
              <w:pageBreakBefore w:val="0"/>
              <w:widowControl w:val="0"/>
              <w:kinsoku/>
              <w:wordWrap/>
              <w:overflowPunct/>
              <w:topLinePunct w:val="0"/>
              <w:autoSpaceDE/>
              <w:autoSpaceDN/>
              <w:bidi w:val="0"/>
              <w:spacing w:line="50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一般工业固废包括除尘器收集的除尘灰、废旧布袋、不合格的粗渣</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废铁</w:t>
            </w:r>
            <w:r>
              <w:rPr>
                <w:rFonts w:hint="default" w:ascii="Times New Roman" w:hAnsi="Times New Roman" w:eastAsia="宋体" w:cs="Times New Roman"/>
                <w:color w:val="auto"/>
                <w:sz w:val="24"/>
                <w:szCs w:val="24"/>
                <w:highlight w:val="none"/>
              </w:rPr>
              <w:t>。建设单位</w:t>
            </w:r>
            <w:r>
              <w:rPr>
                <w:rFonts w:hint="default" w:ascii="Times New Roman" w:hAnsi="Times New Roman" w:eastAsia="宋体" w:cs="Times New Roman"/>
                <w:color w:val="auto"/>
                <w:sz w:val="24"/>
                <w:szCs w:val="24"/>
                <w:highlight w:val="none"/>
                <w:lang w:val="en-US" w:eastAsia="zh-CN"/>
              </w:rPr>
              <w:t>应</w:t>
            </w:r>
            <w:r>
              <w:rPr>
                <w:rFonts w:hint="default" w:ascii="Times New Roman" w:hAnsi="Times New Roman" w:eastAsia="宋体" w:cs="Times New Roman"/>
                <w:color w:val="auto"/>
                <w:sz w:val="24"/>
                <w:szCs w:val="24"/>
                <w:highlight w:val="none"/>
              </w:rPr>
              <w:t>按照《一般工业固体废物贮存和填埋污染物控制标准》（GB18599-2020）的要求</w:t>
            </w:r>
            <w:r>
              <w:rPr>
                <w:rFonts w:hint="default" w:ascii="Times New Roman" w:hAnsi="Times New Roman" w:eastAsia="宋体" w:cs="Times New Roman"/>
                <w:color w:val="auto"/>
                <w:sz w:val="24"/>
                <w:szCs w:val="24"/>
                <w:highlight w:val="none"/>
                <w:lang w:val="en-US" w:eastAsia="zh-CN"/>
              </w:rPr>
              <w:t>管理固体废物，</w:t>
            </w:r>
            <w:r>
              <w:rPr>
                <w:rFonts w:hint="default" w:ascii="Times New Roman" w:hAnsi="Times New Roman" w:eastAsia="宋体" w:cs="Times New Roman"/>
                <w:color w:val="auto"/>
                <w:sz w:val="24"/>
                <w:szCs w:val="24"/>
                <w:highlight w:val="none"/>
              </w:rPr>
              <w:t>不得随处堆放，禁止危险废物及生活垃圾混入，固废临时贮存场应满足如下要求：</w:t>
            </w:r>
          </w:p>
          <w:p>
            <w:pPr>
              <w:keepNext w:val="0"/>
              <w:keepLines w:val="0"/>
              <w:pageBreakBefore w:val="0"/>
              <w:widowControl w:val="0"/>
              <w:kinsoku/>
              <w:wordWrap/>
              <w:overflowPunct/>
              <w:topLinePunct w:val="0"/>
              <w:autoSpaceDE/>
              <w:autoSpaceDN/>
              <w:bidi w:val="0"/>
              <w:spacing w:line="50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①地面应采取硬化措施并满足承载力要求，必要时采取相应措施防止地基下沉。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②要求设置必要的防风、防雨、防晒措施，堆放场周边应设置导流渠。</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③按《环境保护图形标识—固体废物贮存（处置）场》（GB15562.2）要求设置环境保护图形标志。</w:t>
            </w:r>
          </w:p>
          <w:p>
            <w:pPr>
              <w:keepNext w:val="0"/>
              <w:keepLines w:val="0"/>
              <w:pageBreakBefore w:val="0"/>
              <w:widowControl w:val="0"/>
              <w:kinsoku/>
              <w:wordWrap/>
              <w:overflowPunct/>
              <w:topLinePunct w:val="0"/>
              <w:autoSpaceDE/>
              <w:autoSpaceDN/>
              <w:bidi w:val="0"/>
              <w:spacing w:line="500" w:lineRule="exact"/>
              <w:ind w:firstLine="480"/>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④收集后的粉尘全部回收再利用，不外排；废布袋由厂家回收；</w:t>
            </w:r>
            <w:r>
              <w:rPr>
                <w:rFonts w:hint="eastAsia" w:cs="Times New Roman"/>
                <w:color w:val="auto"/>
                <w:sz w:val="24"/>
                <w:szCs w:val="24"/>
                <w:highlight w:val="none"/>
                <w:lang w:eastAsia="zh-CN"/>
              </w:rPr>
              <w:t>筛分</w:t>
            </w:r>
            <w:r>
              <w:rPr>
                <w:rFonts w:hint="default" w:ascii="Times New Roman" w:hAnsi="Times New Roman" w:eastAsia="宋体" w:cs="Times New Roman"/>
                <w:color w:val="auto"/>
                <w:sz w:val="24"/>
                <w:szCs w:val="24"/>
                <w:highlight w:val="none"/>
              </w:rPr>
              <w:t>产生的粗渣回用于生产</w:t>
            </w:r>
            <w:r>
              <w:rPr>
                <w:rFonts w:hint="eastAsia" w:cs="Times New Roman"/>
                <w:color w:val="auto"/>
                <w:sz w:val="24"/>
                <w:szCs w:val="24"/>
                <w:highlight w:val="none"/>
                <w:lang w:eastAsia="zh-CN"/>
              </w:rPr>
              <w:t>；废铁，集中收集，作为废品外售</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4.</w:t>
            </w:r>
            <w:r>
              <w:rPr>
                <w:rFonts w:hint="eastAsia" w:ascii="Times New Roman" w:hAnsi="Times New Roman" w:eastAsia="宋体" w:cs="Times New Roman"/>
                <w:b/>
                <w:bCs/>
                <w:color w:val="auto"/>
                <w:sz w:val="24"/>
                <w:szCs w:val="24"/>
                <w:lang w:val="en-US" w:eastAsia="zh-CN"/>
              </w:rPr>
              <w:t>10</w:t>
            </w:r>
            <w:r>
              <w:rPr>
                <w:rFonts w:hint="default" w:ascii="Times New Roman" w:hAnsi="Times New Roman" w:eastAsia="宋体" w:cs="Times New Roman"/>
                <w:b/>
                <w:bCs/>
                <w:color w:val="auto"/>
                <w:sz w:val="24"/>
                <w:szCs w:val="24"/>
              </w:rPr>
              <w:t>.3生活垃圾防治措施</w:t>
            </w:r>
          </w:p>
          <w:p>
            <w:pPr>
              <w:keepNext w:val="0"/>
              <w:keepLines w:val="0"/>
              <w:pageBreakBefore w:val="0"/>
              <w:widowControl w:val="0"/>
              <w:kinsoku/>
              <w:wordWrap/>
              <w:overflowPunct/>
              <w:topLinePunct w:val="0"/>
              <w:autoSpaceDE/>
              <w:autoSpaceDN/>
              <w:bidi w:val="0"/>
              <w:spacing w:line="500" w:lineRule="exact"/>
              <w:ind w:firstLine="480" w:firstLineChars="200"/>
              <w:jc w:val="both"/>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项目厂区生活</w:t>
            </w:r>
            <w:r>
              <w:rPr>
                <w:rFonts w:hint="eastAsia" w:cs="Times New Roman"/>
                <w:color w:val="auto"/>
                <w:sz w:val="24"/>
                <w:szCs w:val="24"/>
                <w:lang w:val="en-US" w:eastAsia="zh-CN"/>
              </w:rPr>
              <w:t>区</w:t>
            </w:r>
            <w:r>
              <w:rPr>
                <w:rFonts w:hint="default" w:ascii="Times New Roman" w:hAnsi="Times New Roman" w:eastAsia="宋体" w:cs="Times New Roman"/>
                <w:color w:val="auto"/>
                <w:sz w:val="24"/>
                <w:szCs w:val="24"/>
              </w:rPr>
              <w:t>设置室内垃圾桶收集生活垃圾，厂区内设置环保垃圾箱对生活垃圾集中分类收集，自行清运至环卫部门</w:t>
            </w:r>
            <w:r>
              <w:rPr>
                <w:rFonts w:hint="default" w:ascii="Times New Roman" w:hAnsi="Times New Roman" w:eastAsia="宋体" w:cs="Times New Roman"/>
                <w:color w:val="auto"/>
                <w:sz w:val="24"/>
                <w:szCs w:val="24"/>
                <w:lang w:val="en-US" w:eastAsia="zh-CN"/>
              </w:rPr>
              <w:t>指定</w:t>
            </w:r>
            <w:r>
              <w:rPr>
                <w:rFonts w:hint="default" w:ascii="Times New Roman" w:hAnsi="Times New Roman" w:eastAsia="宋体" w:cs="Times New Roman"/>
                <w:color w:val="auto"/>
                <w:sz w:val="24"/>
                <w:szCs w:val="24"/>
              </w:rPr>
              <w:t>地点</w:t>
            </w:r>
            <w:r>
              <w:rPr>
                <w:rFonts w:hint="default" w:ascii="Times New Roman" w:hAnsi="Times New Roman" w:eastAsia="宋体"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4.</w:t>
            </w:r>
            <w:r>
              <w:rPr>
                <w:rFonts w:hint="eastAsia" w:ascii="Times New Roman" w:hAnsi="Times New Roman" w:eastAsia="宋体" w:cs="Times New Roman"/>
                <w:b/>
                <w:bCs/>
                <w:color w:val="auto"/>
                <w:sz w:val="24"/>
                <w:szCs w:val="24"/>
                <w:lang w:val="en-US" w:eastAsia="zh-CN"/>
              </w:rPr>
              <w:t>10</w:t>
            </w:r>
            <w:r>
              <w:rPr>
                <w:rFonts w:hint="default" w:ascii="Times New Roman" w:hAnsi="Times New Roman" w:eastAsia="宋体" w:cs="Times New Roman"/>
                <w:b/>
                <w:bCs/>
                <w:color w:val="auto"/>
                <w:sz w:val="24"/>
                <w:szCs w:val="24"/>
              </w:rPr>
              <w:t>.4环境管理要求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项目应按照《一般工业固体废物管理台账制定指南（试行）》（公告·2021年·第82号）、《排污许可证申请与核发技术规范 工业固体废物（试行）》（HJ1200-2021）、《危险废物管理计划和管理台账制定技术导则》（HJ1259-2022）、《危险废物识别标志设置技术规范》（HJ 1276-2022）的要求规范管理一般工业固体废物和危险废物。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一般</w:t>
            </w:r>
            <w:r>
              <w:rPr>
                <w:rFonts w:hint="default" w:ascii="Times New Roman" w:hAnsi="Times New Roman" w:eastAsia="宋体" w:cs="Times New Roman"/>
                <w:color w:val="auto"/>
                <w:sz w:val="24"/>
                <w:szCs w:val="24"/>
                <w:highlight w:val="none"/>
              </w:rPr>
              <w:t>固体废物产生及处置情况</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rPr>
              <w:t>收集后的粉尘全部回收再利用，不外排；废布袋由厂家回收；</w:t>
            </w:r>
            <w:r>
              <w:rPr>
                <w:rFonts w:hint="eastAsia" w:cs="Times New Roman"/>
                <w:color w:val="auto"/>
                <w:sz w:val="24"/>
                <w:szCs w:val="24"/>
                <w:highlight w:val="none"/>
                <w:lang w:eastAsia="zh-CN"/>
              </w:rPr>
              <w:t>筛分</w:t>
            </w:r>
            <w:r>
              <w:rPr>
                <w:rFonts w:hint="default" w:ascii="Times New Roman" w:hAnsi="Times New Roman" w:eastAsia="宋体" w:cs="Times New Roman"/>
                <w:color w:val="auto"/>
                <w:sz w:val="24"/>
                <w:szCs w:val="24"/>
                <w:highlight w:val="none"/>
              </w:rPr>
              <w:t>产生的粗渣回用于生产。</w:t>
            </w:r>
            <w:r>
              <w:rPr>
                <w:rFonts w:hint="default" w:ascii="Times New Roman" w:hAnsi="Times New Roman" w:eastAsia="宋体" w:cs="Times New Roman"/>
                <w:color w:val="auto"/>
                <w:sz w:val="24"/>
                <w:szCs w:val="24"/>
                <w:highlight w:val="none"/>
                <w:lang w:val="en-US" w:eastAsia="zh-CN"/>
              </w:rPr>
              <w:t>贮存场所参照执行《一般工业固体废物贮存和填埋污染控制标准》（GB 18599-2020）防渗等环保要求。为加强监督管理，贮存场所按照《环境保护图形标志—固体废物贮存（处置）场》（GB15562.2-1995）及修改单的要求设置环保图形标志，此外一般固废需按照《一般工业固体废物管理台账制定指南（试行）》（公告2021年第82号）的要求制定一般工业固体废物管理台账，并设立专人负责台账的管理与归档，一般工业固体废物管理台账保存期限不少于5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auto"/>
                <w:kern w:val="0"/>
                <w:sz w:val="24"/>
                <w:szCs w:val="24"/>
                <w:lang w:val="en-US" w:eastAsia="zh-CN" w:bidi="ar-SA"/>
                <w14:ligatures w14:val="none"/>
              </w:rPr>
              <w:t>（2）危险废物暂存要求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auto"/>
                <w:kern w:val="0"/>
                <w:sz w:val="24"/>
                <w:szCs w:val="24"/>
                <w:highlight w:val="none"/>
                <w:lang w:val="en-US" w:eastAsia="zh-CN" w:bidi="ar-SA"/>
                <w14:ligatures w14:val="none"/>
              </w:rPr>
              <w:t>本项目拟建设</w:t>
            </w:r>
            <w:r>
              <w:rPr>
                <w:rFonts w:hint="eastAsia" w:cs="Times New Roman"/>
                <w:snapToGrid w:val="0"/>
                <w:color w:val="auto"/>
                <w:kern w:val="0"/>
                <w:sz w:val="24"/>
                <w:szCs w:val="24"/>
                <w:highlight w:val="none"/>
                <w:lang w:val="en-US" w:eastAsia="zh-CN" w:bidi="ar-SA"/>
                <w14:ligatures w14:val="none"/>
              </w:rPr>
              <w:t>危废贮存点</w:t>
            </w:r>
            <w:r>
              <w:rPr>
                <w:rFonts w:hint="default" w:ascii="Times New Roman" w:hAnsi="Times New Roman" w:eastAsia="宋体" w:cs="Times New Roman"/>
                <w:snapToGrid w:val="0"/>
                <w:color w:val="auto"/>
                <w:kern w:val="0"/>
                <w:sz w:val="24"/>
                <w:szCs w:val="24"/>
                <w:highlight w:val="none"/>
                <w:lang w:val="en-US" w:eastAsia="zh-CN" w:bidi="ar-SA"/>
                <w14:ligatures w14:val="none"/>
              </w:rPr>
              <w:t>一</w:t>
            </w:r>
            <w:r>
              <w:rPr>
                <w:rFonts w:hint="eastAsia" w:cs="Times New Roman"/>
                <w:snapToGrid w:val="0"/>
                <w:color w:val="auto"/>
                <w:kern w:val="0"/>
                <w:sz w:val="24"/>
                <w:szCs w:val="24"/>
                <w:highlight w:val="none"/>
                <w:lang w:val="en-US" w:eastAsia="zh-CN" w:bidi="ar-SA"/>
                <w14:ligatures w14:val="none"/>
              </w:rPr>
              <w:t>间</w:t>
            </w:r>
            <w:r>
              <w:rPr>
                <w:rFonts w:hint="default" w:ascii="Times New Roman" w:hAnsi="Times New Roman" w:eastAsia="宋体" w:cs="Times New Roman"/>
                <w:snapToGrid w:val="0"/>
                <w:color w:val="auto"/>
                <w:kern w:val="0"/>
                <w:sz w:val="24"/>
                <w:szCs w:val="24"/>
                <w:highlight w:val="none"/>
                <w:lang w:val="en-US" w:eastAsia="zh-CN" w:bidi="ar-SA"/>
                <w14:ligatures w14:val="none"/>
              </w:rPr>
              <w:t>，面积约</w:t>
            </w:r>
            <w:r>
              <w:rPr>
                <w:rFonts w:hint="eastAsia" w:cs="Times New Roman"/>
                <w:snapToGrid w:val="0"/>
                <w:color w:val="auto"/>
                <w:kern w:val="0"/>
                <w:sz w:val="24"/>
                <w:szCs w:val="24"/>
                <w:highlight w:val="none"/>
                <w:lang w:val="en-US" w:eastAsia="zh-CN" w:bidi="ar-SA"/>
                <w14:ligatures w14:val="none"/>
              </w:rPr>
              <w:t>5</w:t>
            </w:r>
            <w:r>
              <w:rPr>
                <w:rFonts w:hint="default" w:ascii="Times New Roman" w:hAnsi="Times New Roman" w:eastAsia="宋体" w:cs="Times New Roman"/>
                <w:snapToGrid w:val="0"/>
                <w:color w:val="auto"/>
                <w:kern w:val="0"/>
                <w:sz w:val="24"/>
                <w:szCs w:val="24"/>
                <w:highlight w:val="none"/>
                <w:lang w:val="en-US" w:eastAsia="zh-CN" w:bidi="ar-SA"/>
                <w14:ligatures w14:val="none"/>
              </w:rPr>
              <w:t>m</w:t>
            </w:r>
            <w:r>
              <w:rPr>
                <w:rFonts w:hint="default" w:ascii="Times New Roman" w:hAnsi="Times New Roman" w:eastAsia="宋体" w:cs="Times New Roman"/>
                <w:snapToGrid w:val="0"/>
                <w:color w:val="auto"/>
                <w:kern w:val="0"/>
                <w:sz w:val="24"/>
                <w:szCs w:val="24"/>
                <w:highlight w:val="none"/>
                <w:vertAlign w:val="superscript"/>
                <w:lang w:val="en-US" w:eastAsia="zh-CN" w:bidi="ar-SA"/>
                <w14:ligatures w14:val="none"/>
              </w:rPr>
              <w:t>2</w:t>
            </w:r>
            <w:r>
              <w:rPr>
                <w:rFonts w:hint="default" w:ascii="Times New Roman" w:hAnsi="Times New Roman" w:eastAsia="宋体" w:cs="Times New Roman"/>
                <w:snapToGrid w:val="0"/>
                <w:color w:val="auto"/>
                <w:kern w:val="0"/>
                <w:sz w:val="24"/>
                <w:szCs w:val="24"/>
                <w:highlight w:val="none"/>
                <w:lang w:val="en-US" w:eastAsia="zh-CN" w:bidi="ar-SA"/>
                <w14:ligatures w14:val="none"/>
              </w:rPr>
              <w:t>，危险废物拟1年委托处置一次。</w:t>
            </w:r>
            <w:r>
              <w:rPr>
                <w:rFonts w:hint="default" w:ascii="Times New Roman" w:hAnsi="Times New Roman" w:eastAsia="宋体" w:cs="Times New Roman"/>
                <w:snapToGrid w:val="0"/>
                <w:color w:val="auto"/>
                <w:kern w:val="0"/>
                <w:sz w:val="24"/>
                <w:szCs w:val="24"/>
                <w:lang w:val="en-US" w:eastAsia="zh-CN" w:bidi="ar-SA"/>
                <w14:ligatures w14:val="none"/>
              </w:rPr>
              <w:t>项目</w:t>
            </w:r>
            <w:r>
              <w:rPr>
                <w:rFonts w:hint="eastAsia" w:cs="Times New Roman"/>
                <w:snapToGrid w:val="0"/>
                <w:color w:val="auto"/>
                <w:kern w:val="0"/>
                <w:sz w:val="24"/>
                <w:szCs w:val="24"/>
                <w:lang w:val="en-US" w:eastAsia="zh-CN" w:bidi="ar-SA"/>
                <w14:ligatures w14:val="none"/>
              </w:rPr>
              <w:t>产生的</w:t>
            </w:r>
            <w:r>
              <w:rPr>
                <w:rFonts w:hint="default" w:ascii="Times New Roman" w:hAnsi="Times New Roman" w:eastAsia="宋体" w:cs="Times New Roman"/>
                <w:snapToGrid w:val="0"/>
                <w:color w:val="auto"/>
                <w:kern w:val="0"/>
                <w:sz w:val="24"/>
                <w:szCs w:val="24"/>
                <w:lang w:val="en-US" w:eastAsia="zh-CN" w:bidi="ar-SA"/>
                <w14:ligatures w14:val="none"/>
              </w:rPr>
              <w:t>危废于</w:t>
            </w:r>
            <w:r>
              <w:rPr>
                <w:rFonts w:hint="eastAsia" w:cs="Times New Roman"/>
                <w:snapToGrid w:val="0"/>
                <w:color w:val="auto"/>
                <w:kern w:val="0"/>
                <w:sz w:val="24"/>
                <w:szCs w:val="24"/>
                <w:lang w:val="en-US" w:eastAsia="zh-CN" w:bidi="ar-SA"/>
                <w14:ligatures w14:val="none"/>
              </w:rPr>
              <w:t>危废贮存点</w:t>
            </w:r>
            <w:r>
              <w:rPr>
                <w:rFonts w:hint="default" w:ascii="Times New Roman" w:hAnsi="Times New Roman" w:eastAsia="宋体" w:cs="Times New Roman"/>
                <w:snapToGrid w:val="0"/>
                <w:color w:val="auto"/>
                <w:kern w:val="0"/>
                <w:sz w:val="24"/>
                <w:szCs w:val="24"/>
                <w:lang w:val="en-US" w:eastAsia="zh-CN" w:bidi="ar-SA"/>
                <w14:ligatures w14:val="none"/>
              </w:rPr>
              <w:t>密封暂存后，定期送具有危险废物处置资质单位进行处理，</w:t>
            </w:r>
            <w:r>
              <w:rPr>
                <w:rFonts w:hint="eastAsia" w:cs="Times New Roman"/>
                <w:snapToGrid w:val="0"/>
                <w:color w:val="auto"/>
                <w:kern w:val="0"/>
                <w:sz w:val="24"/>
                <w:szCs w:val="24"/>
                <w:lang w:val="en-US" w:eastAsia="zh-CN" w:bidi="ar-SA"/>
                <w14:ligatures w14:val="none"/>
              </w:rPr>
              <w:t>危废贮存点</w:t>
            </w:r>
            <w:r>
              <w:rPr>
                <w:rFonts w:hint="default" w:ascii="Times New Roman" w:hAnsi="Times New Roman" w:eastAsia="宋体" w:cs="Times New Roman"/>
                <w:snapToGrid w:val="0"/>
                <w:color w:val="auto"/>
                <w:kern w:val="0"/>
                <w:sz w:val="24"/>
                <w:szCs w:val="24"/>
                <w:lang w:val="en-US" w:eastAsia="zh-CN" w:bidi="ar-SA"/>
                <w14:ligatures w14:val="none"/>
              </w:rPr>
              <w:t>设有防腐、防渗、防雨等设施。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auto"/>
                <w:kern w:val="0"/>
                <w:sz w:val="24"/>
                <w:szCs w:val="24"/>
                <w:lang w:val="en-US" w:eastAsia="zh-CN" w:bidi="ar-SA"/>
                <w14:ligatures w14:val="none"/>
              </w:rPr>
              <w:t>（3）</w:t>
            </w:r>
            <w:r>
              <w:rPr>
                <w:rFonts w:hint="eastAsia" w:cs="Times New Roman"/>
                <w:snapToGrid w:val="0"/>
                <w:color w:val="auto"/>
                <w:kern w:val="0"/>
                <w:sz w:val="24"/>
                <w:szCs w:val="24"/>
                <w:lang w:val="en-US" w:eastAsia="zh-CN" w:bidi="ar-SA"/>
                <w14:ligatures w14:val="none"/>
              </w:rPr>
              <w:t>危废贮存点</w:t>
            </w:r>
            <w:r>
              <w:rPr>
                <w:rFonts w:hint="default" w:ascii="Times New Roman" w:hAnsi="Times New Roman" w:eastAsia="宋体" w:cs="Times New Roman"/>
                <w:snapToGrid w:val="0"/>
                <w:color w:val="auto"/>
                <w:kern w:val="0"/>
                <w:sz w:val="24"/>
                <w:szCs w:val="24"/>
                <w:lang w:val="en-US" w:eastAsia="zh-CN" w:bidi="ar-SA"/>
                <w14:ligatures w14:val="none"/>
              </w:rPr>
              <w:t>处置要求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auto"/>
                <w:kern w:val="0"/>
                <w:sz w:val="24"/>
                <w:szCs w:val="24"/>
                <w:lang w:val="en-US" w:eastAsia="zh-CN" w:bidi="ar-SA"/>
                <w14:ligatures w14:val="none"/>
              </w:rPr>
              <w:t>1）危险废物暂存处建设要求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auto"/>
                <w:kern w:val="0"/>
                <w:sz w:val="24"/>
                <w:szCs w:val="24"/>
                <w:lang w:val="en-US" w:eastAsia="zh-CN" w:bidi="ar-SA"/>
                <w14:ligatures w14:val="none"/>
              </w:rPr>
              <w:t>设置专门的</w:t>
            </w:r>
            <w:r>
              <w:rPr>
                <w:rFonts w:hint="eastAsia" w:cs="Times New Roman"/>
                <w:snapToGrid w:val="0"/>
                <w:color w:val="auto"/>
                <w:kern w:val="0"/>
                <w:sz w:val="24"/>
                <w:szCs w:val="24"/>
                <w:lang w:val="en-US" w:eastAsia="zh-CN" w:bidi="ar-SA"/>
                <w14:ligatures w14:val="none"/>
              </w:rPr>
              <w:t>危废贮存点</w:t>
            </w:r>
            <w:r>
              <w:rPr>
                <w:rFonts w:hint="default" w:ascii="Times New Roman" w:hAnsi="Times New Roman" w:eastAsia="宋体" w:cs="Times New Roman"/>
                <w:snapToGrid w:val="0"/>
                <w:color w:val="auto"/>
                <w:kern w:val="0"/>
                <w:sz w:val="24"/>
                <w:szCs w:val="24"/>
                <w:lang w:val="en-US" w:eastAsia="zh-CN" w:bidi="ar-SA"/>
                <w14:ligatures w14:val="none"/>
              </w:rPr>
              <w:t>，用于收集暂存废机油、废油</w:t>
            </w:r>
            <w:r>
              <w:rPr>
                <w:rFonts w:hint="eastAsia" w:cs="Times New Roman"/>
                <w:snapToGrid w:val="0"/>
                <w:color w:val="auto"/>
                <w:kern w:val="0"/>
                <w:sz w:val="24"/>
                <w:szCs w:val="24"/>
                <w:lang w:val="en-US" w:eastAsia="zh-CN" w:bidi="ar-SA"/>
                <w14:ligatures w14:val="none"/>
              </w:rPr>
              <w:t>桶</w:t>
            </w:r>
            <w:r>
              <w:rPr>
                <w:rFonts w:hint="default" w:ascii="Times New Roman" w:hAnsi="Times New Roman" w:eastAsia="宋体" w:cs="Times New Roman"/>
                <w:snapToGrid w:val="0"/>
                <w:color w:val="auto"/>
                <w:kern w:val="0"/>
                <w:sz w:val="24"/>
                <w:szCs w:val="24"/>
                <w:lang w:val="en-US" w:eastAsia="zh-CN" w:bidi="ar-SA"/>
                <w14:ligatures w14:val="none"/>
              </w:rPr>
              <w:t>。堆放满足《危险废物贮存污染控制标准》（GB18597-2023）中相关建设要求：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auto"/>
                <w:kern w:val="0"/>
                <w:sz w:val="24"/>
                <w:szCs w:val="24"/>
                <w:lang w:val="en-US" w:eastAsia="zh-CN" w:bidi="ar-SA"/>
                <w14:ligatures w14:val="none"/>
              </w:rPr>
              <w:t>①贮存设施应根据危险废物的形态、物理化学性质、包装形式和污染物迁移途径，采取必要的防风、防晒、防雨、防漏、防渗、防腐以及其他环境污染防治措施，不应露天堆放危险废物。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auto"/>
                <w:kern w:val="0"/>
                <w:sz w:val="24"/>
                <w:szCs w:val="24"/>
                <w:lang w:val="en-US" w:eastAsia="zh-CN" w:bidi="ar-SA"/>
                <w14:ligatures w14:val="none"/>
              </w:rPr>
              <w:t>②贮存设施应根据危险废物的类别、数量、形态、物理化学性质和污染防治等要求设置必要的贮存分区，避免不相容的危险废物接触、混合。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auto"/>
                <w:kern w:val="0"/>
                <w:sz w:val="24"/>
                <w:szCs w:val="24"/>
                <w:lang w:val="en-US" w:eastAsia="zh-CN" w:bidi="ar-SA"/>
                <w14:ligatures w14:val="none"/>
              </w:rPr>
              <w:t>③贮存设施或贮存分区内地面、墙面</w:t>
            </w:r>
            <w:r>
              <w:rPr>
                <w:rFonts w:hint="eastAsia" w:cs="Times New Roman"/>
                <w:snapToGrid w:val="0"/>
                <w:color w:val="auto"/>
                <w:kern w:val="0"/>
                <w:sz w:val="24"/>
                <w:szCs w:val="24"/>
                <w:lang w:val="en-US" w:eastAsia="zh-CN" w:bidi="ar-SA"/>
                <w14:ligatures w14:val="none"/>
              </w:rPr>
              <w:t>裙角</w:t>
            </w:r>
            <w:r>
              <w:rPr>
                <w:rFonts w:hint="default" w:ascii="Times New Roman" w:hAnsi="Times New Roman" w:eastAsia="宋体" w:cs="Times New Roman"/>
                <w:snapToGrid w:val="0"/>
                <w:color w:val="auto"/>
                <w:kern w:val="0"/>
                <w:sz w:val="24"/>
                <w:szCs w:val="24"/>
                <w:lang w:val="en-US" w:eastAsia="zh-CN" w:bidi="ar-SA"/>
                <w14:ligatures w14:val="none"/>
              </w:rPr>
              <w:t>、堵截泄漏的围堰、接触危险废物的隔板和墙体等应采用坚固的材料建造，表面无裂缝。</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auto"/>
                <w:kern w:val="0"/>
                <w:sz w:val="24"/>
                <w:szCs w:val="24"/>
                <w:lang w:val="en-US" w:eastAsia="zh-CN" w:bidi="ar-SA"/>
                <w14:ligatures w14:val="none"/>
              </w:rPr>
              <w:t>④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1m厚黏土层（渗透系数不大于10</w:t>
            </w:r>
            <w:r>
              <w:rPr>
                <w:rFonts w:hint="default" w:ascii="Times New Roman" w:hAnsi="Times New Roman" w:eastAsia="宋体" w:cs="Times New Roman"/>
                <w:snapToGrid w:val="0"/>
                <w:color w:val="auto"/>
                <w:kern w:val="0"/>
                <w:sz w:val="24"/>
                <w:szCs w:val="24"/>
                <w:vertAlign w:val="superscript"/>
                <w:lang w:val="en-US" w:eastAsia="zh-CN" w:bidi="ar-SA"/>
                <w14:ligatures w14:val="none"/>
              </w:rPr>
              <w:t>-7</w:t>
            </w:r>
            <w:r>
              <w:rPr>
                <w:rFonts w:hint="default" w:ascii="Times New Roman" w:hAnsi="Times New Roman" w:eastAsia="宋体" w:cs="Times New Roman"/>
                <w:snapToGrid w:val="0"/>
                <w:color w:val="auto"/>
                <w:kern w:val="0"/>
                <w:sz w:val="24"/>
                <w:szCs w:val="24"/>
                <w:lang w:val="en-US" w:eastAsia="zh-CN" w:bidi="ar-SA"/>
                <w14:ligatures w14:val="none"/>
              </w:rPr>
              <w:t>cm/s），或至少2mm厚高密度聚乙烯膜等人工防渗材料（渗透系数不大于10</w:t>
            </w:r>
            <w:r>
              <w:rPr>
                <w:rFonts w:hint="default" w:ascii="Times New Roman" w:hAnsi="Times New Roman" w:eastAsia="宋体" w:cs="Times New Roman"/>
                <w:snapToGrid w:val="0"/>
                <w:color w:val="auto"/>
                <w:kern w:val="0"/>
                <w:sz w:val="24"/>
                <w:szCs w:val="24"/>
                <w:vertAlign w:val="superscript"/>
                <w:lang w:val="en-US" w:eastAsia="zh-CN" w:bidi="ar-SA"/>
                <w14:ligatures w14:val="none"/>
              </w:rPr>
              <w:t>-10</w:t>
            </w:r>
            <w:r>
              <w:rPr>
                <w:rFonts w:hint="default" w:ascii="Times New Roman" w:hAnsi="Times New Roman" w:eastAsia="宋体" w:cs="Times New Roman"/>
                <w:snapToGrid w:val="0"/>
                <w:color w:val="auto"/>
                <w:kern w:val="0"/>
                <w:sz w:val="24"/>
                <w:szCs w:val="24"/>
                <w:lang w:val="en-US" w:eastAsia="zh-CN" w:bidi="ar-SA"/>
                <w14:ligatures w14:val="none"/>
              </w:rPr>
              <w:t>cm/s），或其他防渗性能等效的材料。</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auto"/>
                <w:kern w:val="0"/>
                <w:sz w:val="24"/>
                <w:szCs w:val="24"/>
                <w:lang w:val="en-US" w:eastAsia="zh-CN" w:bidi="ar-SA"/>
                <w14:ligatures w14:val="none"/>
              </w:rPr>
              <w:t>⑤同一贮存设施宜采用相同的防渗、防腐工艺（包括防渗、防腐结构或材料），防渗、防腐材料应覆盖所有可能与废物及其渗滤液、渗漏液等接触的构筑物表面；采用不同防渗、防腐工艺应分别建设贮存分区。</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auto"/>
                <w:kern w:val="0"/>
                <w:sz w:val="24"/>
                <w:szCs w:val="24"/>
                <w:lang w:val="en-US" w:eastAsia="zh-CN" w:bidi="ar-SA"/>
                <w14:ligatures w14:val="none"/>
              </w:rPr>
              <w:t>⑥贮存设施应采取技术和管理措施防止无关人员进入。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auto"/>
                <w:kern w:val="0"/>
                <w:sz w:val="24"/>
                <w:szCs w:val="24"/>
                <w:lang w:val="en-US" w:eastAsia="zh-CN" w:bidi="ar-SA"/>
                <w14:ligatures w14:val="none"/>
              </w:rPr>
              <w:t>2）容器和包装物污染控制要求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auto"/>
                <w:kern w:val="0"/>
                <w:sz w:val="24"/>
                <w:szCs w:val="24"/>
                <w:lang w:val="en-US" w:eastAsia="zh-CN" w:bidi="ar-SA"/>
                <w14:ligatures w14:val="none"/>
              </w:rPr>
              <w:t>①容器和包装物材质、内衬应与盛装的危险废物相容。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auto"/>
                <w:kern w:val="0"/>
                <w:sz w:val="24"/>
                <w:szCs w:val="24"/>
                <w:lang w:val="en-US" w:eastAsia="zh-CN" w:bidi="ar-SA"/>
                <w14:ligatures w14:val="none"/>
              </w:rPr>
              <w:t>②针对不同类别、形态、物理化学性质的危险废物，其容器和包装物应满足相应的防渗、防漏、防腐和强度等要求。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auto"/>
                <w:kern w:val="0"/>
                <w:sz w:val="24"/>
                <w:szCs w:val="24"/>
                <w:lang w:val="en-US" w:eastAsia="zh-CN" w:bidi="ar-SA"/>
                <w14:ligatures w14:val="none"/>
              </w:rPr>
              <w:t>③硬质容器和包装物及其支护结构堆叠码放时不应有明显变形，无破损泄漏。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auto"/>
                <w:kern w:val="0"/>
                <w:sz w:val="24"/>
                <w:szCs w:val="24"/>
                <w:lang w:val="en-US" w:eastAsia="zh-CN" w:bidi="ar-SA"/>
                <w14:ligatures w14:val="none"/>
              </w:rPr>
              <w:t>④柔性容器和包装物堆叠码放时应封口严密，无破损泄漏。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auto"/>
                <w:kern w:val="0"/>
                <w:sz w:val="24"/>
                <w:szCs w:val="24"/>
                <w:lang w:val="en-US" w:eastAsia="zh-CN" w:bidi="ar-SA"/>
                <w14:ligatures w14:val="none"/>
              </w:rPr>
              <w:t>⑤使用容器盛装液态、半固态危险废物时，容器内部应留有适当的空间，以适应因温度变化等可能引发的收缩和膨胀，防止其导致容器渗漏或永久变形。</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auto"/>
                <w:kern w:val="0"/>
                <w:sz w:val="24"/>
                <w:szCs w:val="24"/>
                <w:lang w:val="en-US" w:eastAsia="zh-CN" w:bidi="ar-SA"/>
                <w14:ligatures w14:val="none"/>
              </w:rPr>
              <w:t>⑥容器和包装物外表面应保持清洁。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auto"/>
                <w:kern w:val="0"/>
                <w:sz w:val="24"/>
                <w:szCs w:val="24"/>
                <w:lang w:val="en-US" w:eastAsia="zh-CN" w:bidi="ar-SA"/>
                <w14:ligatures w14:val="none"/>
              </w:rPr>
              <w:t>3）危险废物贮存设施的运行与管理要求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auto"/>
                <w:kern w:val="0"/>
                <w:sz w:val="24"/>
                <w:szCs w:val="24"/>
                <w:lang w:val="en-US" w:eastAsia="zh-CN" w:bidi="ar-SA"/>
                <w14:ligatures w14:val="none"/>
              </w:rPr>
              <w:t>①危险废物存入贮存设施前应对危险废物类别和特性与危险废物标签等危险废物识别标志的一致性进行核验，不一致的或类别、特性不明的不应存入。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auto"/>
                <w:kern w:val="0"/>
                <w:sz w:val="24"/>
                <w:szCs w:val="24"/>
                <w:lang w:val="en-US" w:eastAsia="zh-CN" w:bidi="ar-SA"/>
                <w14:ligatures w14:val="none"/>
              </w:rPr>
              <w:t>②应定期检查危险废物的贮存状况，及时清理贮存设施地面，更换破损泄漏的危险废物贮存容器和包装物，保证堆存危险废物的防雨、防风、防扬尘等设施功能完好。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auto"/>
                <w:kern w:val="0"/>
                <w:sz w:val="24"/>
                <w:szCs w:val="24"/>
                <w:lang w:val="en-US" w:eastAsia="zh-CN" w:bidi="ar-SA"/>
                <w14:ligatures w14:val="none"/>
              </w:rPr>
              <w:t>③作业设备及车辆等结束作业离开贮存设施时，应对其残留的危险废物进行清理，清理的废物或清洗废水应收集处理。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auto"/>
                <w:kern w:val="0"/>
                <w:sz w:val="24"/>
                <w:szCs w:val="24"/>
                <w:lang w:val="en-US" w:eastAsia="zh-CN" w:bidi="ar-SA"/>
                <w14:ligatures w14:val="none"/>
              </w:rPr>
              <w:t>④贮存设施运行期间，应按国家有关标准和规定建立危险废物管理台账并保存。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auto"/>
                <w:kern w:val="0"/>
                <w:sz w:val="24"/>
                <w:szCs w:val="24"/>
                <w:lang w:val="en-US" w:eastAsia="zh-CN" w:bidi="ar-SA"/>
                <w14:ligatures w14:val="none"/>
              </w:rPr>
              <w:t>⑤贮存设施所有者或运营者应建立贮存设施环境管理制度、管理人员岗位职责制度、设施运行操作制度、人员岗位培训制度等。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auto"/>
                <w:kern w:val="0"/>
                <w:sz w:val="24"/>
                <w:szCs w:val="24"/>
                <w:lang w:val="en-US" w:eastAsia="zh-CN" w:bidi="ar-SA"/>
                <w14:ligatures w14:val="none"/>
              </w:rPr>
              <w:t>⑥贮存设施所有者或运营者应依据国家土壤和地下水污染防治的有关规定，结合贮存设施特点建立土壤和地下水污染隐患排查制度，并定期开展隐患排查；发现隐患应及时采取措施消除隐患，并建立档案。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auto"/>
                <w:kern w:val="0"/>
                <w:sz w:val="24"/>
                <w:szCs w:val="24"/>
                <w:lang w:val="en-US" w:eastAsia="zh-CN" w:bidi="ar-SA"/>
                <w14:ligatures w14:val="none"/>
              </w:rPr>
              <w:t>⑦贮存设施所有者或运营者应建立贮存设施全部档案，包括设计、施工、验收、运行、监测和环境应急等，应按国家有关档案管理的法律法规进行整理和归档。</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auto"/>
                <w:kern w:val="0"/>
                <w:sz w:val="24"/>
                <w:szCs w:val="24"/>
                <w:lang w:val="en-US" w:eastAsia="zh-CN" w:bidi="ar-SA"/>
                <w14:ligatures w14:val="none"/>
              </w:rPr>
              <w:t>4）危险废物贮存设施的安全防护</w:t>
            </w:r>
            <w:r>
              <w:rPr>
                <w:rFonts w:hint="eastAsia" w:cs="Times New Roman"/>
                <w:snapToGrid w:val="0"/>
                <w:color w:val="auto"/>
                <w:kern w:val="0"/>
                <w:sz w:val="24"/>
                <w:szCs w:val="24"/>
                <w:lang w:val="en-US" w:eastAsia="zh-CN" w:bidi="ar-SA"/>
                <w14:ligatures w14:val="none"/>
              </w:rPr>
              <w:t>及环境管理</w:t>
            </w:r>
            <w:r>
              <w:rPr>
                <w:rFonts w:hint="default" w:ascii="Times New Roman" w:hAnsi="Times New Roman" w:eastAsia="宋体" w:cs="Times New Roman"/>
                <w:snapToGrid w:val="0"/>
                <w:color w:val="auto"/>
                <w:kern w:val="0"/>
                <w:sz w:val="24"/>
                <w:szCs w:val="24"/>
                <w:lang w:val="en-US" w:eastAsia="zh-CN" w:bidi="ar-SA"/>
                <w14:ligatures w14:val="none"/>
              </w:rPr>
              <w:t>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auto"/>
                <w:kern w:val="0"/>
                <w:sz w:val="24"/>
                <w:szCs w:val="24"/>
                <w:lang w:val="en-US" w:eastAsia="zh-CN" w:bidi="ar-SA"/>
                <w14:ligatures w14:val="none"/>
              </w:rPr>
              <w:t>①危险废物贮存</w:t>
            </w:r>
            <w:r>
              <w:rPr>
                <w:rFonts w:hint="eastAsia" w:cs="Times New Roman"/>
                <w:snapToGrid w:val="0"/>
                <w:color w:val="auto"/>
                <w:kern w:val="0"/>
                <w:sz w:val="24"/>
                <w:szCs w:val="24"/>
                <w:lang w:val="en-US" w:eastAsia="zh-CN" w:bidi="ar-SA"/>
                <w14:ligatures w14:val="none"/>
              </w:rPr>
              <w:t>设施</w:t>
            </w:r>
            <w:r>
              <w:rPr>
                <w:rFonts w:hint="default" w:ascii="Times New Roman" w:hAnsi="Times New Roman" w:eastAsia="宋体" w:cs="Times New Roman"/>
                <w:snapToGrid w:val="0"/>
                <w:color w:val="auto"/>
                <w:kern w:val="0"/>
                <w:sz w:val="24"/>
                <w:szCs w:val="24"/>
                <w:lang w:val="en-US" w:eastAsia="zh-CN" w:bidi="ar-SA"/>
                <w14:ligatures w14:val="none"/>
              </w:rPr>
              <w:t>必须按GB15562.2及修改单的规定设置警示标志。</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auto"/>
                <w:kern w:val="0"/>
                <w:sz w:val="24"/>
                <w:szCs w:val="24"/>
                <w:lang w:val="en-US" w:eastAsia="zh-CN" w:bidi="ar-SA"/>
                <w14:ligatures w14:val="none"/>
              </w:rPr>
              <w:t>②危险废物贮存设施周围应设置围墙或其他防护栅栏。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auto"/>
                <w:kern w:val="0"/>
                <w:sz w:val="24"/>
                <w:szCs w:val="24"/>
                <w:lang w:val="en-US" w:eastAsia="zh-CN" w:bidi="ar-SA"/>
                <w14:ligatures w14:val="none"/>
              </w:rPr>
              <w:t>③危险废物贮存设施应配备通讯设备、照明设施、安全防护服装及工具，并设有应急防护设施。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auto"/>
                <w:kern w:val="0"/>
                <w:sz w:val="24"/>
                <w:szCs w:val="24"/>
                <w:lang w:val="en-US" w:eastAsia="zh-CN" w:bidi="ar-SA"/>
                <w14:ligatures w14:val="none"/>
              </w:rPr>
              <w:t>④危险废物贮存设施内清理出来的泄漏物，一律按危险废物处理。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cs="Times New Roman"/>
                <w:snapToGrid w:val="0"/>
                <w:color w:val="auto"/>
                <w:kern w:val="0"/>
                <w:sz w:val="24"/>
                <w:szCs w:val="24"/>
                <w:lang w:val="en-US" w:eastAsia="zh-CN" w:bidi="ar-SA"/>
                <w14:ligatures w14:val="none"/>
              </w:rPr>
            </w:pPr>
            <w:r>
              <w:rPr>
                <w:rFonts w:hint="eastAsia" w:cs="Times New Roman"/>
                <w:snapToGrid w:val="0"/>
                <w:color w:val="auto"/>
                <w:kern w:val="0"/>
                <w:sz w:val="24"/>
                <w:szCs w:val="24"/>
                <w:lang w:val="en-US" w:eastAsia="zh-CN" w:bidi="ar-SA"/>
                <w14:ligatures w14:val="none"/>
              </w:rPr>
              <w:t>⑤贮存点应具有固定的区域边界，并应采取与其他区域进行隔离的措施。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cs="Times New Roman"/>
                <w:snapToGrid w:val="0"/>
                <w:color w:val="auto"/>
                <w:kern w:val="0"/>
                <w:sz w:val="24"/>
                <w:szCs w:val="24"/>
                <w:lang w:val="en-US" w:eastAsia="zh-CN" w:bidi="ar-SA"/>
                <w14:ligatures w14:val="none"/>
              </w:rPr>
            </w:pPr>
            <w:r>
              <w:rPr>
                <w:rFonts w:hint="eastAsia" w:cs="Times New Roman"/>
                <w:snapToGrid w:val="0"/>
                <w:color w:val="auto"/>
                <w:kern w:val="0"/>
                <w:sz w:val="24"/>
                <w:szCs w:val="24"/>
                <w:lang w:val="en-US" w:eastAsia="zh-CN" w:bidi="ar-SA"/>
                <w14:ligatures w14:val="none"/>
              </w:rPr>
              <w:t>⑥贮存点应采取防风、防雨、防晒和防止危险废物流失、扬散等措施。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cs="Times New Roman"/>
                <w:snapToGrid w:val="0"/>
                <w:color w:val="auto"/>
                <w:kern w:val="0"/>
                <w:sz w:val="24"/>
                <w:szCs w:val="24"/>
                <w:lang w:val="en-US" w:eastAsia="zh-CN" w:bidi="ar-SA"/>
                <w14:ligatures w14:val="none"/>
              </w:rPr>
            </w:pPr>
            <w:r>
              <w:rPr>
                <w:rFonts w:hint="eastAsia" w:cs="Times New Roman"/>
                <w:snapToGrid w:val="0"/>
                <w:color w:val="auto"/>
                <w:kern w:val="0"/>
                <w:sz w:val="24"/>
                <w:szCs w:val="24"/>
                <w:lang w:val="en-US" w:eastAsia="zh-CN" w:bidi="ar-SA"/>
                <w14:ligatures w14:val="none"/>
              </w:rPr>
              <w:t>⑦贮存点贮存的危险废物应置于容器或包装物中，不应直接散堆。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cs="Times New Roman"/>
                <w:snapToGrid w:val="0"/>
                <w:color w:val="auto"/>
                <w:kern w:val="0"/>
                <w:sz w:val="24"/>
                <w:szCs w:val="24"/>
                <w:lang w:val="en-US" w:eastAsia="zh-CN" w:bidi="ar-SA"/>
                <w14:ligatures w14:val="none"/>
              </w:rPr>
            </w:pPr>
            <w:r>
              <w:rPr>
                <w:rFonts w:hint="eastAsia" w:cs="Times New Roman"/>
                <w:snapToGrid w:val="0"/>
                <w:color w:val="auto"/>
                <w:kern w:val="0"/>
                <w:sz w:val="24"/>
                <w:szCs w:val="24"/>
                <w:lang w:val="en-US" w:eastAsia="zh-CN" w:bidi="ar-SA"/>
                <w14:ligatures w14:val="none"/>
              </w:rPr>
              <w:t>⑧贮存点应根据危险废物的形态、物理化学性质、包装形式等，采取防渗、防漏等污染防治措施或采用具有相应功能的装置。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cs="Times New Roman"/>
                <w:snapToGrid w:val="0"/>
                <w:color w:val="auto"/>
                <w:kern w:val="0"/>
                <w:sz w:val="24"/>
                <w:szCs w:val="24"/>
                <w:lang w:val="en-US" w:eastAsia="zh-CN" w:bidi="ar-SA"/>
                <w14:ligatures w14:val="none"/>
              </w:rPr>
            </w:pPr>
            <w:r>
              <w:rPr>
                <w:rFonts w:hint="eastAsia" w:cs="Times New Roman"/>
                <w:snapToGrid w:val="0"/>
                <w:color w:val="auto"/>
                <w:kern w:val="0"/>
                <w:sz w:val="24"/>
                <w:szCs w:val="24"/>
                <w:lang w:val="en-US" w:eastAsia="zh-CN" w:bidi="ar-SA"/>
                <w14:ligatures w14:val="none"/>
              </w:rPr>
              <w:t>⑨贮存点应及时清运贮存的危险废物，实时贮存量不应超过3吨。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auto"/>
                <w:kern w:val="0"/>
                <w:sz w:val="24"/>
                <w:szCs w:val="24"/>
                <w:lang w:val="en-US" w:eastAsia="zh-CN" w:bidi="ar-SA"/>
                <w14:ligatures w14:val="none"/>
              </w:rPr>
              <w:t>5）危险废物的转运要求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auto"/>
                <w:kern w:val="0"/>
                <w:sz w:val="24"/>
                <w:szCs w:val="24"/>
                <w:lang w:val="en-US" w:eastAsia="zh-CN" w:bidi="ar-SA"/>
                <w14:ligatures w14:val="none"/>
              </w:rPr>
              <w:t>危险废物应按照国家有关规定向当地环境保护行政主管部门申报登记，接受当地环境保护行政主管部门监督管理。在危险废物外运至处置单位时必须严格遵守以下要求：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auto"/>
                <w:kern w:val="0"/>
                <w:sz w:val="24"/>
                <w:szCs w:val="24"/>
                <w:lang w:val="en-US" w:eastAsia="zh-CN" w:bidi="ar-SA"/>
                <w14:ligatures w14:val="none"/>
              </w:rPr>
              <w:t>①做好每次外运处置废弃物的运输登记，做好危险废物电子转移联单工作。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auto"/>
                <w:kern w:val="0"/>
                <w:sz w:val="24"/>
                <w:szCs w:val="24"/>
                <w:lang w:val="en-US" w:eastAsia="zh-CN" w:bidi="ar-SA"/>
                <w14:ligatures w14:val="none"/>
              </w:rPr>
              <w:t>②废弃物处置单位的运输人员必须掌握危险化学品运输的安全知识，对化学品的性质、危害特性、包装容器的使用特性和发生意外时的应急措施了解所运载的危险。运输车辆必须具有车辆危险货物运输许可证。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auto"/>
                <w:kern w:val="0"/>
                <w:sz w:val="24"/>
                <w:szCs w:val="24"/>
                <w:lang w:val="en-US" w:eastAsia="zh-CN" w:bidi="ar-SA"/>
                <w14:ligatures w14:val="none"/>
              </w:rPr>
              <w:t>③处置单位在运输危险废物时必须配备押运人员，并随时处于押运人员的监管之下，不得超装、超载，严格按照所在城市规定的行车时间和行车路线行驶，不得进入危险化学品运输车辆禁止通行的区域。</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auto"/>
                <w:kern w:val="0"/>
                <w:sz w:val="24"/>
                <w:szCs w:val="24"/>
                <w:lang w:val="en-US" w:eastAsia="zh-CN" w:bidi="ar-SA"/>
                <w14:ligatures w14:val="none"/>
              </w:rPr>
              <w:t>④危险废物在运输途中若发生被盗、丢失、流散、泄漏等情况时，公司及押运人员必须立即向当地公安部门报告，并采取一切可能的警示措施。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auto"/>
                <w:kern w:val="0"/>
                <w:sz w:val="24"/>
                <w:szCs w:val="24"/>
                <w:lang w:val="en-US" w:eastAsia="zh-CN" w:bidi="ar-SA"/>
                <w14:ligatures w14:val="none"/>
              </w:rPr>
              <w:t>⑤一旦发生废弃物泄漏事故，公司和废弃物处置单位都应积极协助有关部门采取必要的安全措施，减少事故损失，防止事故蔓延、扩大；针对事故对人体、动植物、土壤、水源、空气造成的现实危害和可能产生的危害，应迅速采取封闭、隔离、洗消等措施，并对事故造成的危害进行监测、处置，直至符合国家环境保护标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auto"/>
                <w:kern w:val="0"/>
                <w:sz w:val="24"/>
                <w:szCs w:val="24"/>
                <w:lang w:val="en-US" w:eastAsia="zh-CN" w:bidi="ar-SA"/>
                <w14:ligatures w14:val="none"/>
              </w:rPr>
              <w:t>企业危险废物需按照《危险废物管理计划和管理台账制定技术导则》（HJ1259-2022）中的要求制定危险废物管理计划和管理台账，根据危险废物产生、贮存利用、处置等环节的动态流向，如实建立各环节的危险废物管理台账，危险废物管理台账保存时间原则上应存档5年以上。</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auto"/>
                <w:kern w:val="0"/>
                <w:sz w:val="24"/>
                <w:szCs w:val="24"/>
                <w:lang w:val="en-US" w:eastAsia="zh-CN" w:bidi="ar-SA"/>
                <w14:ligatures w14:val="none"/>
              </w:rPr>
            </w:pPr>
            <w:r>
              <w:rPr>
                <w:rFonts w:hint="default" w:ascii="Times New Roman" w:hAnsi="Times New Roman" w:eastAsia="宋体" w:cs="Times New Roman"/>
                <w:snapToGrid w:val="0"/>
                <w:color w:val="auto"/>
                <w:kern w:val="0"/>
                <w:sz w:val="24"/>
                <w:szCs w:val="24"/>
                <w:lang w:val="en-US" w:eastAsia="zh-CN" w:bidi="ar-SA"/>
                <w14:ligatures w14:val="none"/>
              </w:rPr>
              <w:t>综上，本项</w:t>
            </w:r>
            <w:r>
              <w:rPr>
                <w:rFonts w:hint="eastAsia" w:cs="Times New Roman"/>
                <w:snapToGrid w:val="0"/>
                <w:color w:val="auto"/>
                <w:kern w:val="0"/>
                <w:sz w:val="24"/>
                <w:szCs w:val="24"/>
                <w:lang w:val="en-US" w:eastAsia="zh-CN" w:bidi="ar-SA"/>
                <w14:ligatures w14:val="none"/>
              </w:rPr>
              <w:t>目在</w:t>
            </w:r>
            <w:r>
              <w:rPr>
                <w:rFonts w:hint="default" w:ascii="Times New Roman" w:hAnsi="Times New Roman" w:eastAsia="宋体" w:cs="Times New Roman"/>
                <w:snapToGrid w:val="0"/>
                <w:color w:val="auto"/>
                <w:kern w:val="0"/>
                <w:sz w:val="24"/>
                <w:szCs w:val="24"/>
                <w:lang w:val="en-US" w:eastAsia="zh-CN" w:bidi="ar-SA"/>
                <w14:ligatures w14:val="none"/>
              </w:rPr>
              <w:t>确保固体废物得到以上妥善处理的情况下，对周围环境的影响较小。</w:t>
            </w:r>
          </w:p>
          <w:p>
            <w:pPr>
              <w:keepNext w:val="0"/>
              <w:keepLines w:val="0"/>
              <w:pageBreakBefore w:val="0"/>
              <w:widowControl w:val="0"/>
              <w:kinsoku/>
              <w:wordWrap/>
              <w:overflowPunct/>
              <w:topLinePunct w:val="0"/>
              <w:autoSpaceDE/>
              <w:autoSpaceDN/>
              <w:bidi w:val="0"/>
              <w:spacing w:line="500" w:lineRule="exact"/>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4.</w:t>
            </w:r>
            <w:r>
              <w:rPr>
                <w:rFonts w:hint="eastAsia" w:ascii="Times New Roman" w:hAnsi="Times New Roman" w:eastAsia="宋体" w:cs="Times New Roman"/>
                <w:b/>
                <w:bCs/>
                <w:color w:val="auto"/>
                <w:sz w:val="24"/>
                <w:szCs w:val="24"/>
                <w:lang w:val="en-US" w:eastAsia="zh-CN"/>
              </w:rPr>
              <w:t>11</w:t>
            </w:r>
            <w:r>
              <w:rPr>
                <w:rFonts w:hint="default" w:ascii="Times New Roman" w:hAnsi="Times New Roman" w:eastAsia="宋体" w:cs="Times New Roman"/>
                <w:b/>
                <w:bCs/>
                <w:color w:val="auto"/>
                <w:sz w:val="24"/>
                <w:szCs w:val="24"/>
              </w:rPr>
              <w:t>地下水、土壤环境影响分析</w:t>
            </w:r>
          </w:p>
          <w:p>
            <w:pPr>
              <w:keepNext w:val="0"/>
              <w:keepLines w:val="0"/>
              <w:pageBreakBefore w:val="0"/>
              <w:widowControl w:val="0"/>
              <w:kinsoku/>
              <w:wordWrap/>
              <w:overflowPunct/>
              <w:topLinePunct w:val="0"/>
              <w:autoSpaceDE/>
              <w:autoSpaceDN/>
              <w:bidi w:val="0"/>
              <w:spacing w:line="500" w:lineRule="exact"/>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4.</w:t>
            </w:r>
            <w:r>
              <w:rPr>
                <w:rFonts w:hint="eastAsia" w:ascii="Times New Roman" w:hAnsi="Times New Roman" w:eastAsia="宋体" w:cs="Times New Roman"/>
                <w:b/>
                <w:bCs/>
                <w:color w:val="auto"/>
                <w:sz w:val="24"/>
                <w:szCs w:val="24"/>
                <w:lang w:val="en-US" w:eastAsia="zh-CN"/>
              </w:rPr>
              <w:t>11</w:t>
            </w:r>
            <w:r>
              <w:rPr>
                <w:rFonts w:hint="default" w:ascii="Times New Roman" w:hAnsi="Times New Roman" w:eastAsia="宋体" w:cs="Times New Roman"/>
                <w:b/>
                <w:bCs/>
                <w:color w:val="auto"/>
                <w:sz w:val="24"/>
                <w:szCs w:val="24"/>
              </w:rPr>
              <w:t>.1污染源及污染途径</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正常情况下本项目运营期严格落实防渗漏措施，污染物不会发生渗漏对地下水和土壤造成影响；非正常情况下</w:t>
            </w:r>
            <w:r>
              <w:rPr>
                <w:rFonts w:hint="default" w:ascii="Times New Roman" w:hAnsi="Times New Roman" w:eastAsia="宋体" w:cs="Times New Roman"/>
                <w:color w:val="auto"/>
                <w:sz w:val="24"/>
                <w:szCs w:val="24"/>
                <w:lang w:val="en-US" w:eastAsia="zh-CN"/>
              </w:rPr>
              <w:t>废机油泄漏地面漫流进入地下水和土壤，对地下水和土壤环境造成影响。</w:t>
            </w:r>
            <w:r>
              <w:rPr>
                <w:rFonts w:hint="default" w:ascii="Times New Roman" w:hAnsi="Times New Roman" w:eastAsia="宋体" w:cs="Times New Roman"/>
                <w:color w:val="auto"/>
                <w:sz w:val="24"/>
                <w:szCs w:val="24"/>
              </w:rPr>
              <w:t>因此，本项目建设单位必须做好防渗漏措施，杜绝非正常情况的发生。</w:t>
            </w:r>
          </w:p>
          <w:p>
            <w:pPr>
              <w:keepNext w:val="0"/>
              <w:keepLines w:val="0"/>
              <w:pageBreakBefore w:val="0"/>
              <w:widowControl w:val="0"/>
              <w:kinsoku/>
              <w:wordWrap/>
              <w:overflowPunct/>
              <w:topLinePunct w:val="0"/>
              <w:autoSpaceDE/>
              <w:autoSpaceDN/>
              <w:bidi w:val="0"/>
              <w:spacing w:line="500" w:lineRule="exact"/>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4.</w:t>
            </w:r>
            <w:r>
              <w:rPr>
                <w:rFonts w:hint="eastAsia" w:ascii="Times New Roman" w:hAnsi="Times New Roman" w:eastAsia="宋体" w:cs="Times New Roman"/>
                <w:b/>
                <w:bCs/>
                <w:color w:val="auto"/>
                <w:lang w:val="en-US" w:eastAsia="zh-CN"/>
              </w:rPr>
              <w:t>11</w:t>
            </w:r>
            <w:r>
              <w:rPr>
                <w:rFonts w:hint="default" w:ascii="Times New Roman" w:hAnsi="Times New Roman" w:eastAsia="宋体" w:cs="Times New Roman"/>
                <w:b/>
                <w:bCs/>
                <w:color w:val="auto"/>
              </w:rPr>
              <w:t>.2污染防控措施</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根据建设项目废水污染物特性，具体防渗措施如下：</w:t>
            </w:r>
          </w:p>
          <w:p>
            <w:pPr>
              <w:pStyle w:val="20"/>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napToGrid w:val="0"/>
                <w:color w:val="auto"/>
                <w:kern w:val="0"/>
                <w:sz w:val="21"/>
                <w:szCs w:val="21"/>
                <w:lang w:val="en-US" w:eastAsia="zh-CN" w:bidi="ar-SA"/>
                <w14:ligatures w14:val="none"/>
              </w:rPr>
            </w:pPr>
            <w:r>
              <w:rPr>
                <w:rFonts w:hint="default" w:ascii="Times New Roman" w:hAnsi="Times New Roman" w:eastAsia="宋体" w:cs="Times New Roman"/>
                <w:b/>
                <w:bCs/>
                <w:snapToGrid w:val="0"/>
                <w:color w:val="auto"/>
                <w:kern w:val="0"/>
                <w:sz w:val="21"/>
                <w:szCs w:val="21"/>
                <w:lang w:val="en-US" w:eastAsia="zh-CN" w:bidi="ar-SA"/>
                <w14:ligatures w14:val="none"/>
              </w:rPr>
              <w:t>表4</w:t>
            </w:r>
            <w:r>
              <w:rPr>
                <w:rFonts w:hint="eastAsia" w:ascii="Times New Roman" w:hAnsi="Times New Roman" w:eastAsia="宋体" w:cs="Times New Roman"/>
                <w:b/>
                <w:bCs/>
                <w:snapToGrid w:val="0"/>
                <w:color w:val="auto"/>
                <w:kern w:val="0"/>
                <w:sz w:val="21"/>
                <w:szCs w:val="21"/>
                <w:lang w:val="en-US" w:eastAsia="zh-CN" w:bidi="ar-SA"/>
                <w14:ligatures w14:val="none"/>
              </w:rPr>
              <w:t>.11-</w:t>
            </w:r>
            <w:r>
              <w:rPr>
                <w:rFonts w:hint="eastAsia" w:cs="Times New Roman"/>
                <w:b/>
                <w:bCs/>
                <w:snapToGrid w:val="0"/>
                <w:color w:val="auto"/>
                <w:kern w:val="0"/>
                <w:sz w:val="21"/>
                <w:szCs w:val="21"/>
                <w:lang w:val="en-US" w:eastAsia="zh-CN" w:bidi="ar-SA"/>
                <w14:ligatures w14:val="none"/>
              </w:rPr>
              <w:t>1</w:t>
            </w:r>
            <w:r>
              <w:rPr>
                <w:rFonts w:hint="default" w:ascii="Times New Roman" w:hAnsi="Times New Roman" w:eastAsia="宋体" w:cs="Times New Roman"/>
                <w:b/>
                <w:bCs/>
                <w:snapToGrid w:val="0"/>
                <w:color w:val="auto"/>
                <w:kern w:val="0"/>
                <w:sz w:val="21"/>
                <w:szCs w:val="21"/>
                <w:lang w:val="en-US" w:eastAsia="zh-CN" w:bidi="ar-SA"/>
                <w14:ligatures w14:val="none"/>
              </w:rPr>
              <w:t xml:space="preserve">  </w:t>
            </w:r>
            <w:r>
              <w:rPr>
                <w:rFonts w:hint="eastAsia" w:ascii="Times New Roman" w:hAnsi="Times New Roman" w:eastAsia="宋体" w:cs="Times New Roman"/>
                <w:b/>
                <w:bCs/>
                <w:snapToGrid w:val="0"/>
                <w:color w:val="auto"/>
                <w:kern w:val="0"/>
                <w:sz w:val="21"/>
                <w:szCs w:val="21"/>
                <w:lang w:val="en-US" w:eastAsia="zh-CN" w:bidi="ar-SA"/>
                <w14:ligatures w14:val="none"/>
              </w:rPr>
              <w:t xml:space="preserve"> </w:t>
            </w:r>
            <w:r>
              <w:rPr>
                <w:rFonts w:hint="default" w:ascii="Times New Roman" w:hAnsi="Times New Roman" w:eastAsia="宋体" w:cs="Times New Roman"/>
                <w:b/>
                <w:bCs/>
                <w:snapToGrid w:val="0"/>
                <w:color w:val="auto"/>
                <w:kern w:val="0"/>
                <w:sz w:val="21"/>
                <w:szCs w:val="21"/>
                <w:lang w:val="en-US" w:eastAsia="zh-CN" w:bidi="ar-SA"/>
                <w14:ligatures w14:val="none"/>
              </w:rPr>
              <w:t>厂区工程防渗措施一览表</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66"/>
              <w:gridCol w:w="2846"/>
              <w:gridCol w:w="28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168" w:type="dxa"/>
                  <w:tcBorders>
                    <w:tl2br w:val="nil"/>
                    <w:tr2bl w:val="nil"/>
                  </w:tcBorders>
                  <w:vAlign w:val="center"/>
                </w:tcPr>
                <w:p>
                  <w:pPr>
                    <w:adjustRightInd/>
                    <w:snapToGrid/>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污染区</w:t>
                  </w:r>
                </w:p>
              </w:tc>
              <w:tc>
                <w:tcPr>
                  <w:tcW w:w="2850" w:type="dxa"/>
                  <w:tcBorders>
                    <w:tl2br w:val="nil"/>
                    <w:tr2bl w:val="nil"/>
                  </w:tcBorders>
                  <w:vAlign w:val="center"/>
                </w:tcPr>
                <w:p>
                  <w:pPr>
                    <w:adjustRightInd/>
                    <w:snapToGrid/>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防渗结构</w:t>
                  </w:r>
                </w:p>
              </w:tc>
              <w:tc>
                <w:tcPr>
                  <w:tcW w:w="2831" w:type="dxa"/>
                  <w:tcBorders>
                    <w:tl2br w:val="nil"/>
                    <w:tr2bl w:val="nil"/>
                  </w:tcBorders>
                  <w:vAlign w:val="center"/>
                </w:tcPr>
                <w:p>
                  <w:pPr>
                    <w:adjustRightInd/>
                    <w:snapToGrid/>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防渗技术要求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168" w:type="dxa"/>
                  <w:tcBorders>
                    <w:tl2br w:val="nil"/>
                    <w:tr2bl w:val="nil"/>
                  </w:tcBorders>
                  <w:vAlign w:val="center"/>
                </w:tcPr>
                <w:p>
                  <w:pPr>
                    <w:adjustRightInd/>
                    <w:snapToGrid/>
                    <w:spacing w:line="240" w:lineRule="auto"/>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危废贮存点</w:t>
                  </w:r>
                </w:p>
              </w:tc>
              <w:tc>
                <w:tcPr>
                  <w:tcW w:w="2850" w:type="dxa"/>
                  <w:tcBorders>
                    <w:tl2br w:val="nil"/>
                    <w:tr2bl w:val="nil"/>
                  </w:tcBorders>
                  <w:vAlign w:val="center"/>
                </w:tcPr>
                <w:p>
                  <w:pPr>
                    <w:adjustRightInd/>
                    <w:snapToGrid/>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人工防渗层：2mm厚高密度聚乙烯+20cm水泥硬化</w:t>
                  </w:r>
                </w:p>
              </w:tc>
              <w:tc>
                <w:tcPr>
                  <w:tcW w:w="2831" w:type="dxa"/>
                  <w:tcBorders>
                    <w:tl2br w:val="nil"/>
                    <w:tr2bl w:val="nil"/>
                  </w:tcBorders>
                  <w:vAlign w:val="center"/>
                </w:tcPr>
                <w:p>
                  <w:pPr>
                    <w:adjustRightInd/>
                    <w:snapToGrid/>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等效黏土防渗层Mb≥6m渗透系数K≤1×10</w:t>
                  </w:r>
                  <w:r>
                    <w:rPr>
                      <w:rFonts w:hint="default" w:ascii="Times New Roman" w:hAnsi="Times New Roman" w:eastAsia="宋体" w:cs="Times New Roman"/>
                      <w:color w:val="auto"/>
                      <w:sz w:val="21"/>
                      <w:szCs w:val="21"/>
                      <w:vertAlign w:val="superscript"/>
                    </w:rPr>
                    <w:t>-10</w:t>
                  </w:r>
                  <w:r>
                    <w:rPr>
                      <w:rFonts w:hint="default" w:ascii="Times New Roman" w:hAnsi="Times New Roman" w:eastAsia="宋体" w:cs="Times New Roman"/>
                      <w:color w:val="auto"/>
                      <w:sz w:val="21"/>
                      <w:szCs w:val="21"/>
                    </w:rPr>
                    <w:t>cm/s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168" w:type="dxa"/>
                  <w:tcBorders>
                    <w:tl2br w:val="nil"/>
                    <w:tr2bl w:val="nil"/>
                  </w:tcBorders>
                  <w:vAlign w:val="center"/>
                </w:tcPr>
                <w:p>
                  <w:pPr>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生产车间</w:t>
                  </w:r>
                </w:p>
              </w:tc>
              <w:tc>
                <w:tcPr>
                  <w:tcW w:w="2850" w:type="dxa"/>
                  <w:tcBorders>
                    <w:tl2br w:val="nil"/>
                    <w:tr2bl w:val="nil"/>
                  </w:tcBorders>
                  <w:vAlign w:val="center"/>
                </w:tcPr>
                <w:p>
                  <w:pPr>
                    <w:adjustRightInd/>
                    <w:snapToGrid/>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人工防渗层：水泥混凝土硬化地面，厚度20cm</w:t>
                  </w:r>
                </w:p>
              </w:tc>
              <w:tc>
                <w:tcPr>
                  <w:tcW w:w="2831" w:type="dxa"/>
                  <w:tcBorders>
                    <w:tl2br w:val="nil"/>
                    <w:tr2bl w:val="nil"/>
                  </w:tcBorders>
                  <w:vAlign w:val="center"/>
                </w:tcPr>
                <w:p>
                  <w:pPr>
                    <w:adjustRightInd/>
                    <w:snapToGrid/>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等效黏土防渗层Mb≥1.5m渗透系数K≤1×10</w:t>
                  </w:r>
                  <w:r>
                    <w:rPr>
                      <w:rFonts w:hint="default" w:ascii="Times New Roman" w:hAnsi="Times New Roman" w:eastAsia="宋体" w:cs="Times New Roman"/>
                      <w:color w:val="auto"/>
                      <w:sz w:val="21"/>
                      <w:szCs w:val="21"/>
                      <w:vertAlign w:val="superscript"/>
                    </w:rPr>
                    <w:t>-10</w:t>
                  </w:r>
                  <w:r>
                    <w:rPr>
                      <w:rFonts w:hint="default" w:ascii="Times New Roman" w:hAnsi="Times New Roman" w:eastAsia="宋体" w:cs="Times New Roman"/>
                      <w:color w:val="auto"/>
                      <w:sz w:val="21"/>
                      <w:szCs w:val="21"/>
                    </w:rPr>
                    <w:t>cm/s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168" w:type="dxa"/>
                  <w:tcBorders>
                    <w:tl2br w:val="nil"/>
                    <w:tr2bl w:val="nil"/>
                  </w:tcBorders>
                  <w:vAlign w:val="center"/>
                </w:tcPr>
                <w:p>
                  <w:pPr>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道路</w:t>
                  </w:r>
                </w:p>
              </w:tc>
              <w:tc>
                <w:tcPr>
                  <w:tcW w:w="2850" w:type="dxa"/>
                  <w:tcBorders>
                    <w:tl2br w:val="nil"/>
                    <w:tr2bl w:val="nil"/>
                  </w:tcBorders>
                  <w:vAlign w:val="center"/>
                </w:tcPr>
                <w:p>
                  <w:pPr>
                    <w:adjustRightInd/>
                    <w:snapToGrid/>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水泥混凝土硬化地面</w:t>
                  </w:r>
                </w:p>
              </w:tc>
              <w:tc>
                <w:tcPr>
                  <w:tcW w:w="2831" w:type="dxa"/>
                  <w:tcBorders>
                    <w:tl2br w:val="nil"/>
                    <w:tr2bl w:val="nil"/>
                  </w:tcBorders>
                  <w:vAlign w:val="center"/>
                </w:tcPr>
                <w:p>
                  <w:pPr>
                    <w:adjustRightInd/>
                    <w:snapToGrid/>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一般地面硬化</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本项目地下水、</w:t>
            </w:r>
            <w:r>
              <w:rPr>
                <w:rFonts w:hint="default" w:ascii="Times New Roman" w:hAnsi="Times New Roman" w:eastAsia="宋体" w:cs="Times New Roman"/>
                <w:color w:val="auto"/>
                <w:lang w:eastAsia="zh-CN"/>
              </w:rPr>
              <w:t>土壤污染防治</w:t>
            </w:r>
            <w:r>
              <w:rPr>
                <w:rFonts w:hint="default" w:ascii="Times New Roman" w:hAnsi="Times New Roman" w:eastAsia="宋体" w:cs="Times New Roman"/>
                <w:color w:val="auto"/>
              </w:rPr>
              <w:t>措施应在做好防止和减少</w:t>
            </w:r>
            <w:r>
              <w:rPr>
                <w:rFonts w:hint="eastAsia" w:cs="Times New Roman"/>
                <w:color w:val="auto"/>
                <w:lang w:eastAsia="zh-CN"/>
              </w:rPr>
              <w:t>“</w:t>
            </w:r>
            <w:r>
              <w:rPr>
                <w:rFonts w:hint="default" w:ascii="Times New Roman" w:hAnsi="Times New Roman" w:eastAsia="宋体" w:cs="Times New Roman"/>
                <w:color w:val="auto"/>
              </w:rPr>
              <w:t>跑、冒、滴、漏</w:t>
            </w:r>
            <w:r>
              <w:rPr>
                <w:rFonts w:hint="eastAsia" w:cs="Times New Roman"/>
                <w:color w:val="auto"/>
                <w:lang w:eastAsia="zh-CN"/>
              </w:rPr>
              <w:t>”</w:t>
            </w:r>
            <w:r>
              <w:rPr>
                <w:rFonts w:hint="default" w:ascii="Times New Roman" w:hAnsi="Times New Roman" w:eastAsia="宋体" w:cs="Times New Roman"/>
                <w:color w:val="auto"/>
              </w:rPr>
              <w:t>等源头控制措施的基础上，对项目区域进行分区防渗处理。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①积极推行实施清洁生产，实现各类废物循环利用，减少污染物的排放量；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②应根据国家现行相关规范加强环境管理，采取防止和降低污染物跑、冒、滴、漏的措施。正常运营过程中应加强巡检及时处理污染物跑、冒、滴、漏，同时应加强对防渗工程的检查，若发现防渗密封材料老化或损坏，应及时维修更换；</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③对工艺、管道、设备、污水储存及处理构筑物采取控制措施，防止污染物的跑、冒、滴、漏，将污染物泄漏的环境风险事故降到最低限度。</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4.</w:t>
            </w:r>
            <w:r>
              <w:rPr>
                <w:rFonts w:hint="eastAsia" w:ascii="Times New Roman" w:hAnsi="Times New Roman" w:eastAsia="宋体" w:cs="Times New Roman"/>
                <w:b/>
                <w:bCs/>
                <w:color w:val="auto"/>
                <w:lang w:val="en-US" w:eastAsia="zh-CN"/>
              </w:rPr>
              <w:t>11</w:t>
            </w:r>
            <w:r>
              <w:rPr>
                <w:rFonts w:hint="default" w:ascii="Times New Roman" w:hAnsi="Times New Roman" w:eastAsia="宋体" w:cs="Times New Roman"/>
                <w:b/>
                <w:bCs/>
                <w:color w:val="auto"/>
              </w:rPr>
              <w:t>.3分区防渗处理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将本项目区域按物料或者污染物泄漏的途径和生产功能单元所处的位置划分为重点防渗区、一般防渗区和简单防渗区。</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color w:val="auto"/>
                <w:lang w:eastAsia="zh-CN"/>
              </w:rPr>
            </w:pPr>
            <w:r>
              <w:rPr>
                <w:rFonts w:hint="default" w:ascii="Times New Roman" w:hAnsi="Times New Roman" w:eastAsia="宋体" w:cs="Times New Roman"/>
                <w:color w:val="auto"/>
              </w:rPr>
              <w:t>①重点防渗区：</w:t>
            </w:r>
            <w:r>
              <w:rPr>
                <w:rFonts w:hint="eastAsia" w:cs="Times New Roman"/>
                <w:color w:val="auto"/>
                <w:lang w:eastAsia="zh-CN"/>
              </w:rPr>
              <w:t>危废贮存点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rPr>
            </w:pPr>
            <w:r>
              <w:rPr>
                <w:rFonts w:hint="eastAsia" w:cs="Times New Roman"/>
                <w:color w:val="auto"/>
                <w:lang w:eastAsia="zh-CN"/>
              </w:rPr>
              <w:t>危废贮存点</w:t>
            </w:r>
            <w:r>
              <w:rPr>
                <w:rFonts w:hint="default" w:ascii="Times New Roman" w:hAnsi="Times New Roman" w:eastAsia="宋体" w:cs="Times New Roman"/>
                <w:color w:val="auto"/>
              </w:rPr>
              <w:t>防渗要求：</w:t>
            </w:r>
            <w:r>
              <w:rPr>
                <w:rFonts w:hint="eastAsia" w:cs="Times New Roman"/>
                <w:color w:val="auto"/>
                <w:lang w:eastAsia="zh-CN"/>
              </w:rPr>
              <w:t>危废贮存点</w:t>
            </w:r>
            <w:r>
              <w:rPr>
                <w:rFonts w:hint="default" w:ascii="Times New Roman" w:hAnsi="Times New Roman" w:eastAsia="宋体" w:cs="Times New Roman"/>
                <w:color w:val="auto"/>
              </w:rPr>
              <w:t>应严格按照《危险废物贮存污染控制标准》（GB18597-2023）中要求进行重点防渗，防渗层为至少1m厚黏土层（渗透系数≤10</w:t>
            </w:r>
            <w:r>
              <w:rPr>
                <w:rFonts w:hint="default" w:ascii="Times New Roman" w:hAnsi="Times New Roman" w:eastAsia="宋体" w:cs="Times New Roman"/>
                <w:color w:val="auto"/>
                <w:vertAlign w:val="superscript"/>
              </w:rPr>
              <w:t>-7</w:t>
            </w:r>
            <w:r>
              <w:rPr>
                <w:rFonts w:hint="default" w:ascii="Times New Roman" w:hAnsi="Times New Roman" w:eastAsia="宋体" w:cs="Times New Roman"/>
                <w:color w:val="auto"/>
              </w:rPr>
              <w:t>cm/s），或2mm厚高密度聚乙烯，或至少2mm厚的</w:t>
            </w:r>
            <w:r>
              <w:rPr>
                <w:rFonts w:hint="eastAsia" w:cs="Times New Roman"/>
                <w:color w:val="auto"/>
                <w:lang w:eastAsia="zh-CN"/>
              </w:rPr>
              <w:t>其他人工</w:t>
            </w:r>
            <w:r>
              <w:rPr>
                <w:rFonts w:hint="default" w:ascii="Times New Roman" w:hAnsi="Times New Roman" w:eastAsia="宋体" w:cs="Times New Roman"/>
                <w:color w:val="auto"/>
              </w:rPr>
              <w:t>材料，渗透系数K≤10</w:t>
            </w:r>
            <w:r>
              <w:rPr>
                <w:rFonts w:hint="default" w:ascii="Times New Roman" w:hAnsi="Times New Roman" w:eastAsia="宋体" w:cs="Times New Roman"/>
                <w:color w:val="auto"/>
                <w:vertAlign w:val="superscript"/>
              </w:rPr>
              <w:t>-10</w:t>
            </w:r>
            <w:r>
              <w:rPr>
                <w:rFonts w:hint="default" w:ascii="Times New Roman" w:hAnsi="Times New Roman" w:eastAsia="宋体" w:cs="Times New Roman"/>
                <w:color w:val="auto"/>
              </w:rPr>
              <w:t>cm/s。</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②一般防渗区：</w:t>
            </w:r>
            <w:r>
              <w:rPr>
                <w:rFonts w:hint="default" w:ascii="Times New Roman" w:hAnsi="Times New Roman" w:eastAsia="宋体" w:cs="Times New Roman"/>
                <w:color w:val="auto"/>
                <w:lang w:val="en-US" w:eastAsia="zh-CN"/>
              </w:rPr>
              <w:t>生产</w:t>
            </w:r>
            <w:r>
              <w:rPr>
                <w:rFonts w:hint="eastAsia" w:cs="Times New Roman"/>
                <w:color w:val="auto"/>
                <w:lang w:val="en-US" w:eastAsia="zh-CN"/>
              </w:rPr>
              <w:t>车间</w:t>
            </w:r>
            <w:r>
              <w:rPr>
                <w:rFonts w:hint="default" w:ascii="Times New Roman" w:hAnsi="Times New Roman" w:eastAsia="宋体" w:cs="Times New Roman"/>
                <w:color w:val="auto"/>
              </w:rPr>
              <w:t>。一般防渗区防渗要求：等效黏土防渗层Mb≥1.5m，渗透系数K≤1×10</w:t>
            </w:r>
            <w:r>
              <w:rPr>
                <w:rFonts w:hint="default" w:ascii="Times New Roman" w:hAnsi="Times New Roman" w:eastAsia="宋体" w:cs="Times New Roman"/>
                <w:color w:val="auto"/>
                <w:vertAlign w:val="superscript"/>
              </w:rPr>
              <w:t>-7</w:t>
            </w:r>
            <w:r>
              <w:rPr>
                <w:rFonts w:hint="default" w:ascii="Times New Roman" w:hAnsi="Times New Roman" w:eastAsia="宋体" w:cs="Times New Roman"/>
                <w:color w:val="auto"/>
              </w:rPr>
              <w:t>cm/s；或参照GB16889执行。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③简单防渗区：</w:t>
            </w:r>
            <w:r>
              <w:rPr>
                <w:rFonts w:hint="eastAsia" w:cs="Times New Roman"/>
                <w:color w:val="auto"/>
                <w:lang w:val="en-US" w:eastAsia="zh-CN"/>
              </w:rPr>
              <w:t>道路</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简单防渗区防渗要求：一般地面硬化。</w:t>
            </w:r>
          </w:p>
          <w:p>
            <w:pPr>
              <w:pStyle w:val="20"/>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napToGrid w:val="0"/>
                <w:color w:val="auto"/>
                <w:kern w:val="0"/>
                <w:sz w:val="21"/>
                <w:szCs w:val="21"/>
                <w:lang w:val="en-US" w:eastAsia="zh-CN" w:bidi="ar-SA"/>
                <w14:ligatures w14:val="none"/>
              </w:rPr>
            </w:pPr>
            <w:r>
              <w:rPr>
                <w:rFonts w:hint="default" w:ascii="Times New Roman" w:hAnsi="Times New Roman" w:eastAsia="宋体" w:cs="Times New Roman"/>
                <w:b/>
                <w:bCs/>
                <w:snapToGrid w:val="0"/>
                <w:color w:val="auto"/>
                <w:kern w:val="0"/>
                <w:sz w:val="21"/>
                <w:szCs w:val="21"/>
                <w:lang w:val="en-US" w:eastAsia="zh-CN" w:bidi="ar-SA"/>
                <w14:ligatures w14:val="none"/>
              </w:rPr>
              <w:t>表4</w:t>
            </w:r>
            <w:r>
              <w:rPr>
                <w:rFonts w:hint="eastAsia" w:ascii="Times New Roman" w:hAnsi="Times New Roman" w:eastAsia="宋体" w:cs="Times New Roman"/>
                <w:b/>
                <w:bCs/>
                <w:snapToGrid w:val="0"/>
                <w:color w:val="auto"/>
                <w:kern w:val="0"/>
                <w:sz w:val="21"/>
                <w:szCs w:val="21"/>
                <w:lang w:val="en-US" w:eastAsia="zh-CN" w:bidi="ar-SA"/>
                <w14:ligatures w14:val="none"/>
              </w:rPr>
              <w:t>.11-</w:t>
            </w:r>
            <w:r>
              <w:rPr>
                <w:rFonts w:hint="eastAsia" w:cs="Times New Roman"/>
                <w:b/>
                <w:bCs/>
                <w:snapToGrid w:val="0"/>
                <w:color w:val="auto"/>
                <w:kern w:val="0"/>
                <w:sz w:val="21"/>
                <w:szCs w:val="21"/>
                <w:lang w:val="en-US" w:eastAsia="zh-CN" w:bidi="ar-SA"/>
                <w14:ligatures w14:val="none"/>
              </w:rPr>
              <w:t>2</w:t>
            </w:r>
            <w:r>
              <w:rPr>
                <w:rFonts w:hint="default" w:ascii="Times New Roman" w:hAnsi="Times New Roman" w:eastAsia="宋体" w:cs="Times New Roman"/>
                <w:b/>
                <w:bCs/>
                <w:snapToGrid w:val="0"/>
                <w:color w:val="auto"/>
                <w:kern w:val="0"/>
                <w:sz w:val="21"/>
                <w:szCs w:val="21"/>
                <w:lang w:val="en-US" w:eastAsia="zh-CN" w:bidi="ar-SA"/>
                <w14:ligatures w14:val="none"/>
              </w:rPr>
              <w:t xml:space="preserve">  </w:t>
            </w:r>
            <w:r>
              <w:rPr>
                <w:rFonts w:hint="eastAsia" w:ascii="Times New Roman" w:hAnsi="Times New Roman" w:eastAsia="宋体" w:cs="Times New Roman"/>
                <w:b/>
                <w:bCs/>
                <w:snapToGrid w:val="0"/>
                <w:color w:val="auto"/>
                <w:kern w:val="0"/>
                <w:sz w:val="21"/>
                <w:szCs w:val="21"/>
                <w:lang w:val="en-US" w:eastAsia="zh-CN" w:bidi="ar-SA"/>
                <w14:ligatures w14:val="none"/>
              </w:rPr>
              <w:t xml:space="preserve"> </w:t>
            </w:r>
            <w:r>
              <w:rPr>
                <w:rFonts w:hint="default" w:ascii="Times New Roman" w:hAnsi="Times New Roman" w:eastAsia="宋体" w:cs="Times New Roman"/>
                <w:b/>
                <w:bCs/>
                <w:snapToGrid w:val="0"/>
                <w:color w:val="auto"/>
                <w:kern w:val="0"/>
                <w:sz w:val="21"/>
                <w:szCs w:val="21"/>
                <w:lang w:val="en-US" w:eastAsia="zh-CN" w:bidi="ar-SA"/>
                <w14:ligatures w14:val="none"/>
              </w:rPr>
              <w:t>本项目地下水分区防渗情况一览表</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381"/>
              <w:gridCol w:w="3169"/>
              <w:gridCol w:w="22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095" w:type="dxa"/>
                  <w:tcBorders>
                    <w:tl2br w:val="nil"/>
                    <w:tr2bl w:val="nil"/>
                  </w:tcBorders>
                  <w:vAlign w:val="center"/>
                </w:tcPr>
                <w:p>
                  <w:pPr>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防渗分区</w:t>
                  </w:r>
                </w:p>
              </w:tc>
              <w:tc>
                <w:tcPr>
                  <w:tcW w:w="1417" w:type="dxa"/>
                  <w:tcBorders>
                    <w:tl2br w:val="nil"/>
                    <w:tr2bl w:val="nil"/>
                  </w:tcBorders>
                  <w:vAlign w:val="center"/>
                </w:tcPr>
                <w:p>
                  <w:pPr>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防渗区域</w:t>
                  </w:r>
                </w:p>
              </w:tc>
              <w:tc>
                <w:tcPr>
                  <w:tcW w:w="3261" w:type="dxa"/>
                  <w:tcBorders>
                    <w:tl2br w:val="nil"/>
                    <w:tr2bl w:val="nil"/>
                  </w:tcBorders>
                  <w:vAlign w:val="center"/>
                </w:tcPr>
                <w:p>
                  <w:pPr>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防渗要求</w:t>
                  </w:r>
                </w:p>
              </w:tc>
              <w:tc>
                <w:tcPr>
                  <w:tcW w:w="2283" w:type="dxa"/>
                  <w:tcBorders>
                    <w:tl2br w:val="nil"/>
                    <w:tr2bl w:val="nil"/>
                  </w:tcBorders>
                  <w:vAlign w:val="center"/>
                </w:tcPr>
                <w:p>
                  <w:pPr>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防渗措施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095"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重点防渗区</w:t>
                  </w:r>
                </w:p>
              </w:tc>
              <w:tc>
                <w:tcPr>
                  <w:tcW w:w="1417" w:type="dxa"/>
                  <w:tcBorders>
                    <w:tl2br w:val="nil"/>
                    <w:tr2bl w:val="nil"/>
                  </w:tcBorders>
                  <w:vAlign w:val="center"/>
                </w:tcPr>
                <w:p>
                  <w:pPr>
                    <w:spacing w:line="240" w:lineRule="auto"/>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危废贮存点</w:t>
                  </w:r>
                </w:p>
              </w:tc>
              <w:tc>
                <w:tcPr>
                  <w:tcW w:w="3261"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防渗层为至少1m厚黏土层（渗透系数≤10</w:t>
                  </w:r>
                  <w:r>
                    <w:rPr>
                      <w:rFonts w:hint="default" w:ascii="Times New Roman" w:hAnsi="Times New Roman" w:eastAsia="宋体" w:cs="Times New Roman"/>
                      <w:color w:val="auto"/>
                      <w:sz w:val="21"/>
                      <w:szCs w:val="21"/>
                      <w:vertAlign w:val="superscript"/>
                    </w:rPr>
                    <w:t>-7</w:t>
                  </w:r>
                  <w:r>
                    <w:rPr>
                      <w:rFonts w:hint="default" w:ascii="Times New Roman" w:hAnsi="Times New Roman" w:eastAsia="宋体" w:cs="Times New Roman"/>
                      <w:color w:val="auto"/>
                      <w:sz w:val="21"/>
                      <w:szCs w:val="21"/>
                    </w:rPr>
                    <w:t>cm/s），或2mm厚高密度聚乙烯，或至少2mm厚的</w:t>
                  </w:r>
                  <w:r>
                    <w:rPr>
                      <w:rFonts w:hint="eastAsia" w:cs="Times New Roman"/>
                      <w:color w:val="auto"/>
                      <w:sz w:val="21"/>
                      <w:szCs w:val="21"/>
                      <w:lang w:eastAsia="zh-CN"/>
                    </w:rPr>
                    <w:t>其他人工</w:t>
                  </w:r>
                  <w:r>
                    <w:rPr>
                      <w:rFonts w:hint="default" w:ascii="Times New Roman" w:hAnsi="Times New Roman" w:eastAsia="宋体" w:cs="Times New Roman"/>
                      <w:color w:val="auto"/>
                      <w:sz w:val="21"/>
                      <w:szCs w:val="21"/>
                    </w:rPr>
                    <w:t>材料，渗透系数K≤10</w:t>
                  </w:r>
                  <w:r>
                    <w:rPr>
                      <w:rFonts w:hint="default" w:ascii="Times New Roman" w:hAnsi="Times New Roman" w:eastAsia="宋体" w:cs="Times New Roman"/>
                      <w:color w:val="auto"/>
                      <w:sz w:val="21"/>
                      <w:szCs w:val="21"/>
                      <w:vertAlign w:val="superscript"/>
                    </w:rPr>
                    <w:t>-10</w:t>
                  </w:r>
                  <w:r>
                    <w:rPr>
                      <w:rFonts w:hint="default" w:ascii="Times New Roman" w:hAnsi="Times New Roman" w:eastAsia="宋体" w:cs="Times New Roman"/>
                      <w:color w:val="auto"/>
                      <w:sz w:val="21"/>
                      <w:szCs w:val="21"/>
                    </w:rPr>
                    <w:t>cm/s</w:t>
                  </w:r>
                </w:p>
              </w:tc>
              <w:tc>
                <w:tcPr>
                  <w:tcW w:w="2283"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采用防渗混凝土硬化+2mm 厚高密度聚乙烯防渗，满足渗透系数K≤1×10</w:t>
                  </w:r>
                  <w:r>
                    <w:rPr>
                      <w:rFonts w:hint="default" w:ascii="Times New Roman" w:hAnsi="Times New Roman" w:eastAsia="宋体" w:cs="Times New Roman"/>
                      <w:color w:val="auto"/>
                      <w:sz w:val="21"/>
                      <w:szCs w:val="21"/>
                      <w:vertAlign w:val="superscript"/>
                    </w:rPr>
                    <w:t>-10</w:t>
                  </w:r>
                  <w:r>
                    <w:rPr>
                      <w:rFonts w:hint="default" w:ascii="Times New Roman" w:hAnsi="Times New Roman" w:eastAsia="宋体" w:cs="Times New Roman"/>
                      <w:color w:val="auto"/>
                      <w:sz w:val="21"/>
                      <w:szCs w:val="21"/>
                    </w:rPr>
                    <w:t>cm/s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095"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一般防渗区</w:t>
                  </w:r>
                </w:p>
              </w:tc>
              <w:tc>
                <w:tcPr>
                  <w:tcW w:w="1417" w:type="dxa"/>
                  <w:tcBorders>
                    <w:tl2br w:val="nil"/>
                    <w:tr2bl w:val="nil"/>
                  </w:tcBorders>
                  <w:vAlign w:val="center"/>
                </w:tcPr>
                <w:p>
                  <w:pPr>
                    <w:spacing w:line="240" w:lineRule="auto"/>
                    <w:jc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生产</w:t>
                  </w:r>
                  <w:r>
                    <w:rPr>
                      <w:rFonts w:hint="eastAsia" w:cs="Times New Roman"/>
                      <w:color w:val="auto"/>
                      <w:sz w:val="21"/>
                      <w:szCs w:val="21"/>
                      <w:lang w:val="en-US" w:eastAsia="zh-CN"/>
                    </w:rPr>
                    <w:t>车间</w:t>
                  </w:r>
                </w:p>
              </w:tc>
              <w:tc>
                <w:tcPr>
                  <w:tcW w:w="3261" w:type="dxa"/>
                  <w:tcBorders>
                    <w:tl2br w:val="nil"/>
                    <w:tr2bl w:val="nil"/>
                  </w:tcBorders>
                  <w:vAlign w:val="center"/>
                </w:tcPr>
                <w:p>
                  <w:pPr>
                    <w:spacing w:line="240" w:lineRule="auto"/>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等效黏土防渗层Mb≥1.5m，渗透系数K≤1×10</w:t>
                  </w:r>
                  <w:r>
                    <w:rPr>
                      <w:rFonts w:hint="default" w:ascii="Times New Roman" w:hAnsi="Times New Roman" w:eastAsia="宋体" w:cs="Times New Roman"/>
                      <w:color w:val="auto"/>
                      <w:sz w:val="21"/>
                      <w:szCs w:val="21"/>
                      <w:vertAlign w:val="superscript"/>
                    </w:rPr>
                    <w:t>-7</w:t>
                  </w:r>
                  <w:r>
                    <w:rPr>
                      <w:rFonts w:hint="default" w:ascii="Times New Roman" w:hAnsi="Times New Roman" w:eastAsia="宋体" w:cs="Times New Roman"/>
                      <w:color w:val="auto"/>
                      <w:sz w:val="21"/>
                      <w:szCs w:val="21"/>
                    </w:rPr>
                    <w:t>cm/s；或参照GB16889执行</w:t>
                  </w:r>
                </w:p>
              </w:tc>
              <w:tc>
                <w:tcPr>
                  <w:tcW w:w="2283"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采用防渗混凝土硬化，满足等效黏土防渗层Mb≥1.5m，渗透系数K≤1×10</w:t>
                  </w:r>
                  <w:r>
                    <w:rPr>
                      <w:rFonts w:hint="default" w:ascii="Times New Roman" w:hAnsi="Times New Roman" w:eastAsia="宋体" w:cs="Times New Roman"/>
                      <w:color w:val="auto"/>
                      <w:sz w:val="21"/>
                      <w:szCs w:val="21"/>
                      <w:vertAlign w:val="superscript"/>
                    </w:rPr>
                    <w:t>-7</w:t>
                  </w:r>
                  <w:r>
                    <w:rPr>
                      <w:rFonts w:hint="default" w:ascii="Times New Roman" w:hAnsi="Times New Roman" w:eastAsia="宋体" w:cs="Times New Roman"/>
                      <w:color w:val="auto"/>
                      <w:sz w:val="21"/>
                      <w:szCs w:val="21"/>
                    </w:rPr>
                    <w:t>cm/s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095"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简单防渗区</w:t>
                  </w:r>
                </w:p>
              </w:tc>
              <w:tc>
                <w:tcPr>
                  <w:tcW w:w="1417"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道路</w:t>
                  </w:r>
                </w:p>
              </w:tc>
              <w:tc>
                <w:tcPr>
                  <w:tcW w:w="3261"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一般地面硬化</w:t>
                  </w:r>
                </w:p>
              </w:tc>
              <w:tc>
                <w:tcPr>
                  <w:tcW w:w="2283"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采用混凝土硬化，满足一般地面硬化</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由上述措施可知，本项目针对可能造成地下水和土壤污染影响的各途径均进行有效预防，在确保各项防控措施得以落实，并加强环境管理的前提下，可有效杜绝地下水和土壤污染。</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综上所述，本项目在采取上述防控措施后，可有效防止地下水和土壤的污染。</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4.</w:t>
            </w:r>
            <w:r>
              <w:rPr>
                <w:rFonts w:hint="eastAsia" w:ascii="Times New Roman" w:hAnsi="Times New Roman" w:eastAsia="宋体" w:cs="Times New Roman"/>
                <w:b/>
                <w:color w:val="auto"/>
                <w:sz w:val="24"/>
                <w:szCs w:val="24"/>
                <w:lang w:val="en-US" w:eastAsia="zh-CN"/>
              </w:rPr>
              <w:t>12</w:t>
            </w:r>
            <w:r>
              <w:rPr>
                <w:rFonts w:hint="default" w:ascii="Times New Roman" w:hAnsi="Times New Roman" w:eastAsia="宋体" w:cs="Times New Roman"/>
                <w:b/>
                <w:color w:val="auto"/>
                <w:sz w:val="24"/>
                <w:szCs w:val="24"/>
              </w:rPr>
              <w:t>环境风险分析</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
                <w:color w:val="auto"/>
                <w:sz w:val="24"/>
                <w:szCs w:val="24"/>
              </w:rPr>
              <w:t>4.</w:t>
            </w:r>
            <w:r>
              <w:rPr>
                <w:rFonts w:hint="eastAsia" w:ascii="Times New Roman" w:hAnsi="Times New Roman" w:eastAsia="宋体" w:cs="Times New Roman"/>
                <w:b/>
                <w:color w:val="auto"/>
                <w:sz w:val="24"/>
                <w:szCs w:val="24"/>
                <w:lang w:val="en-US" w:eastAsia="zh-CN"/>
              </w:rPr>
              <w:t>12</w:t>
            </w:r>
            <w:r>
              <w:rPr>
                <w:rFonts w:hint="default" w:ascii="Times New Roman" w:hAnsi="Times New Roman" w:eastAsia="宋体" w:cs="Times New Roman"/>
                <w:b/>
                <w:color w:val="auto"/>
                <w:sz w:val="24"/>
                <w:szCs w:val="24"/>
              </w:rPr>
              <w:t>.1风险识别</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对照《建设项目环境风险评价技术导则》（HJ169-2018）附录B，本项目所使用的原辅材料涉及的风险物质为废机油、</w:t>
            </w:r>
            <w:r>
              <w:rPr>
                <w:rFonts w:hint="default" w:ascii="Times New Roman" w:hAnsi="Times New Roman" w:eastAsia="宋体" w:cs="Times New Roman"/>
                <w:bCs/>
                <w:color w:val="auto"/>
                <w:sz w:val="24"/>
                <w:szCs w:val="24"/>
                <w:lang w:val="en-US" w:eastAsia="zh-CN"/>
              </w:rPr>
              <w:t>废</w:t>
            </w:r>
            <w:r>
              <w:rPr>
                <w:rFonts w:hint="default" w:ascii="Times New Roman" w:hAnsi="Times New Roman" w:eastAsia="宋体" w:cs="Times New Roman"/>
                <w:bCs/>
                <w:color w:val="auto"/>
                <w:sz w:val="24"/>
                <w:szCs w:val="24"/>
              </w:rPr>
              <w:t>油</w:t>
            </w:r>
            <w:r>
              <w:rPr>
                <w:rFonts w:hint="eastAsia" w:cs="Times New Roman"/>
                <w:bCs/>
                <w:color w:val="auto"/>
                <w:sz w:val="24"/>
                <w:szCs w:val="24"/>
                <w:lang w:val="en-US" w:eastAsia="zh-CN"/>
              </w:rPr>
              <w:t>桶</w:t>
            </w:r>
            <w:r>
              <w:rPr>
                <w:rFonts w:hint="default" w:ascii="Times New Roman" w:hAnsi="Times New Roman" w:eastAsia="宋体" w:cs="Times New Roman"/>
                <w:bCs/>
                <w:color w:val="auto"/>
                <w:sz w:val="24"/>
                <w:szCs w:val="24"/>
              </w:rPr>
              <w:t>，经收集后临时贮存在</w:t>
            </w:r>
            <w:r>
              <w:rPr>
                <w:rFonts w:hint="eastAsia" w:cs="Times New Roman"/>
                <w:bCs/>
                <w:color w:val="auto"/>
                <w:sz w:val="24"/>
                <w:szCs w:val="24"/>
                <w:lang w:eastAsia="zh-CN"/>
              </w:rPr>
              <w:t>危废贮存点</w:t>
            </w:r>
            <w:r>
              <w:rPr>
                <w:rFonts w:hint="default" w:ascii="Times New Roman" w:hAnsi="Times New Roman" w:eastAsia="宋体" w:cs="Times New Roman"/>
                <w:bCs/>
                <w:color w:val="auto"/>
                <w:sz w:val="24"/>
                <w:szCs w:val="24"/>
              </w:rPr>
              <w:t>内，委托</w:t>
            </w:r>
            <w:r>
              <w:rPr>
                <w:rFonts w:hint="default" w:ascii="Times New Roman" w:hAnsi="Times New Roman" w:eastAsia="宋体" w:cs="Times New Roman"/>
                <w:bCs/>
                <w:color w:val="auto"/>
                <w:sz w:val="24"/>
                <w:szCs w:val="24"/>
                <w:lang w:val="en-US" w:eastAsia="zh-CN"/>
              </w:rPr>
              <w:t>有</w:t>
            </w:r>
            <w:r>
              <w:rPr>
                <w:rFonts w:hint="default" w:ascii="Times New Roman" w:hAnsi="Times New Roman" w:eastAsia="宋体" w:cs="Times New Roman"/>
                <w:bCs/>
                <w:color w:val="auto"/>
                <w:sz w:val="24"/>
                <w:szCs w:val="24"/>
              </w:rPr>
              <w:t>资质的单位定期清运处置。</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4.</w:t>
            </w:r>
            <w:r>
              <w:rPr>
                <w:rFonts w:hint="eastAsia" w:ascii="Times New Roman" w:hAnsi="Times New Roman" w:eastAsia="宋体" w:cs="Times New Roman"/>
                <w:b/>
                <w:color w:val="auto"/>
                <w:sz w:val="24"/>
                <w:szCs w:val="24"/>
                <w:lang w:val="en-US" w:eastAsia="zh-CN"/>
              </w:rPr>
              <w:t>12</w:t>
            </w:r>
            <w:r>
              <w:rPr>
                <w:rFonts w:hint="default" w:ascii="Times New Roman" w:hAnsi="Times New Roman" w:eastAsia="宋体" w:cs="Times New Roman"/>
                <w:b/>
                <w:color w:val="auto"/>
                <w:sz w:val="24"/>
                <w:szCs w:val="24"/>
              </w:rPr>
              <w:t>.2风险源分布情况及可能影响途径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本项目风险源主要为</w:t>
            </w:r>
            <w:r>
              <w:rPr>
                <w:rFonts w:hint="eastAsia" w:cs="Times New Roman"/>
                <w:bCs/>
                <w:color w:val="auto"/>
                <w:sz w:val="24"/>
                <w:szCs w:val="24"/>
                <w:lang w:eastAsia="zh-CN"/>
              </w:rPr>
              <w:t>危废贮存点</w:t>
            </w:r>
            <w:r>
              <w:rPr>
                <w:rFonts w:hint="default" w:ascii="Times New Roman" w:hAnsi="Times New Roman" w:eastAsia="宋体" w:cs="Times New Roman"/>
                <w:bCs/>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废机油</w:t>
            </w:r>
            <w:r>
              <w:rPr>
                <w:rFonts w:hint="default" w:ascii="Times New Roman" w:hAnsi="Times New Roman" w:eastAsia="宋体" w:cs="Times New Roman"/>
                <w:bCs/>
                <w:color w:val="auto"/>
                <w:sz w:val="24"/>
                <w:szCs w:val="24"/>
                <w:lang w:eastAsia="zh-CN"/>
              </w:rPr>
              <w:t>泄漏</w:t>
            </w:r>
            <w:r>
              <w:rPr>
                <w:rFonts w:hint="default" w:ascii="Times New Roman" w:hAnsi="Times New Roman" w:eastAsia="宋体" w:cs="Times New Roman"/>
                <w:bCs/>
                <w:color w:val="auto"/>
                <w:sz w:val="24"/>
                <w:szCs w:val="24"/>
              </w:rPr>
              <w:t>会造成有毒有害物质渗透至附近土壤和地下水，从而对土壤、地下水环境产生影响，因此本项目</w:t>
            </w:r>
            <w:r>
              <w:rPr>
                <w:rFonts w:hint="eastAsia" w:cs="Times New Roman"/>
                <w:bCs/>
                <w:color w:val="auto"/>
                <w:sz w:val="24"/>
                <w:szCs w:val="24"/>
                <w:lang w:eastAsia="zh-CN"/>
              </w:rPr>
              <w:t>危废贮存点</w:t>
            </w:r>
            <w:r>
              <w:rPr>
                <w:rFonts w:hint="default" w:ascii="Times New Roman" w:hAnsi="Times New Roman" w:eastAsia="宋体" w:cs="Times New Roman"/>
                <w:bCs/>
                <w:color w:val="auto"/>
                <w:sz w:val="24"/>
                <w:szCs w:val="24"/>
              </w:rPr>
              <w:t>要严格按照《危险废物收集贮存运输技术规范》（HJ2025-2012）中的要求进行建设。本项目产生危险废物量较少，发生</w:t>
            </w:r>
            <w:r>
              <w:rPr>
                <w:rFonts w:hint="default" w:ascii="Times New Roman" w:hAnsi="Times New Roman" w:eastAsia="宋体" w:cs="Times New Roman"/>
                <w:bCs/>
                <w:color w:val="auto"/>
                <w:sz w:val="24"/>
                <w:szCs w:val="24"/>
                <w:lang w:eastAsia="zh-CN"/>
              </w:rPr>
              <w:t>泄漏</w:t>
            </w:r>
            <w:r>
              <w:rPr>
                <w:rFonts w:hint="default" w:ascii="Times New Roman" w:hAnsi="Times New Roman" w:eastAsia="宋体" w:cs="Times New Roman"/>
                <w:bCs/>
                <w:color w:val="auto"/>
                <w:sz w:val="24"/>
                <w:szCs w:val="24"/>
              </w:rPr>
              <w:t>可能性较小，因此对周边土壤、地下水环境影响较小。</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4.</w:t>
            </w:r>
            <w:r>
              <w:rPr>
                <w:rFonts w:hint="eastAsia" w:ascii="Times New Roman" w:hAnsi="Times New Roman" w:eastAsia="宋体" w:cs="Times New Roman"/>
                <w:b/>
                <w:color w:val="auto"/>
                <w:sz w:val="24"/>
                <w:szCs w:val="24"/>
                <w:lang w:val="en-US" w:eastAsia="zh-CN"/>
              </w:rPr>
              <w:t>12</w:t>
            </w:r>
            <w:r>
              <w:rPr>
                <w:rFonts w:hint="default" w:ascii="Times New Roman" w:hAnsi="Times New Roman" w:eastAsia="宋体" w:cs="Times New Roman"/>
                <w:b/>
                <w:color w:val="auto"/>
                <w:sz w:val="24"/>
                <w:szCs w:val="24"/>
              </w:rPr>
              <w:t>.3环境风险防范措施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①建设单位应组建安全环保管理机构，配备管理人员，通过技能培训，承担该公司运行中的环保安全工作。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②安全环保机构将根据相关的环境管理要求，制定各项安全生产管理制度、严格的生产操作规则和完善的事故应急计划及相应的应急处理手段和设施，同时加强安全教育，以</w:t>
            </w:r>
            <w:r>
              <w:rPr>
                <w:rFonts w:hint="default" w:ascii="Times New Roman" w:hAnsi="Times New Roman" w:eastAsia="宋体" w:cs="Times New Roman"/>
                <w:bCs/>
                <w:color w:val="auto"/>
                <w:sz w:val="24"/>
                <w:szCs w:val="24"/>
                <w:lang w:eastAsia="zh-CN"/>
              </w:rPr>
              <w:t>增强</w:t>
            </w:r>
            <w:r>
              <w:rPr>
                <w:rFonts w:hint="default" w:ascii="Times New Roman" w:hAnsi="Times New Roman" w:eastAsia="宋体" w:cs="Times New Roman"/>
                <w:bCs/>
                <w:color w:val="auto"/>
                <w:sz w:val="24"/>
                <w:szCs w:val="24"/>
              </w:rPr>
              <w:t>职工的安全意识和安全防范能力。</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③应保持作业场所良好的通风。生产厂房的通风设计应充分考虑自然通风和机械通风相结合。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④生产装置区的配电和照明均应按《爆炸和火灾危险环境电力装置设计规范》的规定，选用相应防爆级别的电气设备和照明灯具及开关，线路敷设均应满足安全要求。</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4.</w:t>
            </w:r>
            <w:r>
              <w:rPr>
                <w:rFonts w:hint="eastAsia" w:ascii="Times New Roman" w:hAnsi="Times New Roman" w:eastAsia="宋体" w:cs="Times New Roman"/>
                <w:b/>
                <w:color w:val="auto"/>
                <w:sz w:val="24"/>
                <w:szCs w:val="24"/>
                <w:lang w:val="en-US" w:eastAsia="zh-CN"/>
              </w:rPr>
              <w:t>12</w:t>
            </w:r>
            <w:r>
              <w:rPr>
                <w:rFonts w:hint="default" w:ascii="Times New Roman" w:hAnsi="Times New Roman" w:eastAsia="宋体" w:cs="Times New Roman"/>
                <w:b/>
                <w:color w:val="auto"/>
                <w:sz w:val="24"/>
                <w:szCs w:val="24"/>
              </w:rPr>
              <w:t>.4环境风险分析结论及建议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本项目具有一定的环境风险，但是发生风险事故的可能性较小，即使发生风险，也能控制在可接受的范围内，因此，本项目的环境风险影响较小。根据《建设项目环境风险评价技术导则》（HJ169-2018）附录A1</w:t>
            </w:r>
            <w:r>
              <w:rPr>
                <w:rFonts w:hint="eastAsia" w:cs="Times New Roman"/>
                <w:bCs/>
                <w:color w:val="auto"/>
                <w:sz w:val="24"/>
                <w:szCs w:val="24"/>
                <w:lang w:eastAsia="zh-CN"/>
              </w:rPr>
              <w:t>“</w:t>
            </w:r>
            <w:r>
              <w:rPr>
                <w:rFonts w:hint="default" w:ascii="Times New Roman" w:hAnsi="Times New Roman" w:eastAsia="宋体" w:cs="Times New Roman"/>
                <w:bCs/>
                <w:color w:val="auto"/>
                <w:sz w:val="24"/>
                <w:szCs w:val="24"/>
              </w:rPr>
              <w:t>有毒物质、易燃物质及爆炸物质的临界量</w:t>
            </w:r>
            <w:r>
              <w:rPr>
                <w:rFonts w:hint="eastAsia" w:cs="Times New Roman"/>
                <w:bCs/>
                <w:color w:val="auto"/>
                <w:sz w:val="24"/>
                <w:szCs w:val="24"/>
                <w:lang w:eastAsia="zh-CN"/>
              </w:rPr>
              <w:t>”</w:t>
            </w:r>
            <w:r>
              <w:rPr>
                <w:rFonts w:hint="default" w:ascii="Times New Roman" w:hAnsi="Times New Roman" w:eastAsia="宋体" w:cs="Times New Roman"/>
                <w:bCs/>
                <w:color w:val="auto"/>
                <w:sz w:val="24"/>
                <w:szCs w:val="24"/>
              </w:rPr>
              <w:t>，废机油临界量见表4</w:t>
            </w:r>
            <w:r>
              <w:rPr>
                <w:rFonts w:hint="eastAsia" w:cs="Times New Roman"/>
                <w:bCs/>
                <w:color w:val="auto"/>
                <w:sz w:val="24"/>
                <w:szCs w:val="24"/>
                <w:lang w:val="en-US" w:eastAsia="zh-CN"/>
              </w:rPr>
              <w:t>.12-1</w:t>
            </w:r>
            <w:r>
              <w:rPr>
                <w:rFonts w:hint="default" w:ascii="Times New Roman" w:hAnsi="Times New Roman" w:eastAsia="宋体" w:cs="Times New Roman"/>
                <w:bCs/>
                <w:color w:val="auto"/>
                <w:sz w:val="24"/>
                <w:szCs w:val="24"/>
              </w:rPr>
              <w:t>。</w:t>
            </w:r>
          </w:p>
          <w:p>
            <w:pPr>
              <w:pStyle w:val="20"/>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napToGrid w:val="0"/>
                <w:color w:val="auto"/>
                <w:kern w:val="0"/>
                <w:sz w:val="21"/>
                <w:szCs w:val="21"/>
                <w:lang w:val="en-US" w:eastAsia="zh-CN" w:bidi="ar-SA"/>
                <w14:ligatures w14:val="none"/>
              </w:rPr>
            </w:pPr>
            <w:r>
              <w:rPr>
                <w:rFonts w:hint="default" w:ascii="Times New Roman" w:hAnsi="Times New Roman" w:eastAsia="宋体" w:cs="Times New Roman"/>
                <w:b/>
                <w:bCs/>
                <w:snapToGrid w:val="0"/>
                <w:color w:val="auto"/>
                <w:kern w:val="0"/>
                <w:sz w:val="21"/>
                <w:szCs w:val="21"/>
                <w:lang w:val="en-US" w:eastAsia="zh-CN" w:bidi="ar-SA"/>
                <w14:ligatures w14:val="none"/>
              </w:rPr>
              <w:t>表4</w:t>
            </w:r>
            <w:r>
              <w:rPr>
                <w:rFonts w:hint="eastAsia" w:ascii="Times New Roman" w:hAnsi="Times New Roman" w:eastAsia="宋体" w:cs="Times New Roman"/>
                <w:b/>
                <w:bCs/>
                <w:snapToGrid w:val="0"/>
                <w:color w:val="auto"/>
                <w:kern w:val="0"/>
                <w:sz w:val="21"/>
                <w:szCs w:val="21"/>
                <w:lang w:val="en-US" w:eastAsia="zh-CN" w:bidi="ar-SA"/>
                <w14:ligatures w14:val="none"/>
              </w:rPr>
              <w:t>.12-1</w:t>
            </w:r>
            <w:r>
              <w:rPr>
                <w:rFonts w:hint="default" w:ascii="Times New Roman" w:hAnsi="Times New Roman" w:eastAsia="宋体" w:cs="Times New Roman"/>
                <w:b/>
                <w:bCs/>
                <w:snapToGrid w:val="0"/>
                <w:color w:val="auto"/>
                <w:kern w:val="0"/>
                <w:sz w:val="21"/>
                <w:szCs w:val="21"/>
                <w:lang w:val="en-US" w:eastAsia="zh-CN" w:bidi="ar-SA"/>
                <w14:ligatures w14:val="none"/>
              </w:rPr>
              <w:t xml:space="preserve"> </w:t>
            </w:r>
            <w:r>
              <w:rPr>
                <w:rFonts w:hint="eastAsia" w:ascii="Times New Roman" w:hAnsi="Times New Roman" w:eastAsia="宋体" w:cs="Times New Roman"/>
                <w:b/>
                <w:bCs/>
                <w:snapToGrid w:val="0"/>
                <w:color w:val="auto"/>
                <w:kern w:val="0"/>
                <w:sz w:val="21"/>
                <w:szCs w:val="21"/>
                <w:lang w:val="en-US" w:eastAsia="zh-CN" w:bidi="ar-SA"/>
                <w14:ligatures w14:val="none"/>
              </w:rPr>
              <w:t xml:space="preserve"> </w:t>
            </w:r>
            <w:r>
              <w:rPr>
                <w:rFonts w:hint="default" w:ascii="Times New Roman" w:hAnsi="Times New Roman" w:eastAsia="宋体" w:cs="Times New Roman"/>
                <w:b/>
                <w:bCs/>
                <w:snapToGrid w:val="0"/>
                <w:color w:val="auto"/>
                <w:kern w:val="0"/>
                <w:sz w:val="21"/>
                <w:szCs w:val="21"/>
                <w:lang w:val="en-US" w:eastAsia="zh-CN" w:bidi="ar-SA"/>
                <w14:ligatures w14:val="none"/>
              </w:rPr>
              <w:t xml:space="preserve"> 危险化学品临界量一览表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1155"/>
              <w:gridCol w:w="1175"/>
              <w:gridCol w:w="1156"/>
              <w:gridCol w:w="1070"/>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6" w:hRule="atLeast"/>
                <w:jc w:val="center"/>
              </w:trPr>
              <w:tc>
                <w:tcPr>
                  <w:tcW w:w="978" w:type="dxa"/>
                  <w:noWrap w:val="0"/>
                  <w:vAlign w:val="center"/>
                </w:tcPr>
                <w:p>
                  <w:pPr>
                    <w:pStyle w:val="56"/>
                    <w:rPr>
                      <w:color w:val="auto"/>
                    </w:rPr>
                  </w:pPr>
                  <w:r>
                    <w:rPr>
                      <w:color w:val="auto"/>
                    </w:rPr>
                    <w:t>名称</w:t>
                  </w:r>
                </w:p>
              </w:tc>
              <w:tc>
                <w:tcPr>
                  <w:tcW w:w="1155" w:type="dxa"/>
                  <w:noWrap w:val="0"/>
                  <w:vAlign w:val="center"/>
                </w:tcPr>
                <w:p>
                  <w:pPr>
                    <w:pStyle w:val="56"/>
                    <w:rPr>
                      <w:color w:val="auto"/>
                    </w:rPr>
                  </w:pPr>
                  <w:r>
                    <w:rPr>
                      <w:color w:val="auto"/>
                    </w:rPr>
                    <w:t>CAS号</w:t>
                  </w:r>
                </w:p>
              </w:tc>
              <w:tc>
                <w:tcPr>
                  <w:tcW w:w="1175" w:type="dxa"/>
                  <w:noWrap w:val="0"/>
                  <w:vAlign w:val="center"/>
                </w:tcPr>
                <w:p>
                  <w:pPr>
                    <w:pStyle w:val="56"/>
                    <w:rPr>
                      <w:color w:val="auto"/>
                    </w:rPr>
                  </w:pPr>
                  <w:r>
                    <w:rPr>
                      <w:color w:val="auto"/>
                    </w:rPr>
                    <w:t>最大储存量（t）</w:t>
                  </w:r>
                </w:p>
              </w:tc>
              <w:tc>
                <w:tcPr>
                  <w:tcW w:w="1156" w:type="dxa"/>
                  <w:noWrap w:val="0"/>
                  <w:vAlign w:val="center"/>
                </w:tcPr>
                <w:p>
                  <w:pPr>
                    <w:pStyle w:val="56"/>
                    <w:rPr>
                      <w:color w:val="auto"/>
                    </w:rPr>
                  </w:pPr>
                  <w:r>
                    <w:rPr>
                      <w:color w:val="auto"/>
                    </w:rPr>
                    <w:t>临界量（t）</w:t>
                  </w:r>
                </w:p>
              </w:tc>
              <w:tc>
                <w:tcPr>
                  <w:tcW w:w="1070" w:type="dxa"/>
                  <w:noWrap w:val="0"/>
                  <w:vAlign w:val="center"/>
                </w:tcPr>
                <w:p>
                  <w:pPr>
                    <w:pStyle w:val="56"/>
                    <w:rPr>
                      <w:color w:val="auto"/>
                    </w:rPr>
                  </w:pPr>
                  <w:r>
                    <w:rPr>
                      <w:color w:val="auto"/>
                    </w:rPr>
                    <w:t>储存方式</w:t>
                  </w:r>
                </w:p>
              </w:tc>
              <w:tc>
                <w:tcPr>
                  <w:tcW w:w="2315" w:type="dxa"/>
                  <w:noWrap w:val="0"/>
                  <w:vAlign w:val="center"/>
                </w:tcPr>
                <w:p>
                  <w:pPr>
                    <w:pStyle w:val="56"/>
                    <w:rPr>
                      <w:color w:val="auto"/>
                    </w:rPr>
                  </w:pPr>
                  <w:r>
                    <w:rPr>
                      <w:color w:val="auto"/>
                    </w:rPr>
                    <w:t>分布区域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978" w:type="dxa"/>
                  <w:noWrap w:val="0"/>
                  <w:vAlign w:val="center"/>
                </w:tcPr>
                <w:p>
                  <w:pPr>
                    <w:pStyle w:val="56"/>
                    <w:rPr>
                      <w:rFonts w:hint="default"/>
                      <w:color w:val="auto"/>
                      <w:lang w:val="en-US" w:eastAsia="zh-CN"/>
                    </w:rPr>
                  </w:pPr>
                  <w:r>
                    <w:rPr>
                      <w:rFonts w:hint="eastAsia"/>
                      <w:color w:val="auto"/>
                      <w:lang w:val="en-US" w:eastAsia="zh-CN"/>
                    </w:rPr>
                    <w:t>废机油</w:t>
                  </w:r>
                </w:p>
              </w:tc>
              <w:tc>
                <w:tcPr>
                  <w:tcW w:w="1155" w:type="dxa"/>
                  <w:noWrap w:val="0"/>
                  <w:vAlign w:val="center"/>
                </w:tcPr>
                <w:p>
                  <w:pPr>
                    <w:pStyle w:val="56"/>
                    <w:rPr>
                      <w:rFonts w:hint="default" w:eastAsia="宋体"/>
                      <w:color w:val="auto"/>
                      <w:lang w:val="en-US" w:eastAsia="zh-CN"/>
                    </w:rPr>
                  </w:pPr>
                  <w:r>
                    <w:rPr>
                      <w:rFonts w:hint="eastAsia"/>
                      <w:color w:val="auto"/>
                      <w:lang w:val="en-US" w:eastAsia="zh-CN"/>
                    </w:rPr>
                    <w:t>8002-05-9</w:t>
                  </w:r>
                </w:p>
              </w:tc>
              <w:tc>
                <w:tcPr>
                  <w:tcW w:w="1175" w:type="dxa"/>
                  <w:noWrap w:val="0"/>
                  <w:vAlign w:val="center"/>
                </w:tcPr>
                <w:p>
                  <w:pPr>
                    <w:pStyle w:val="56"/>
                    <w:rPr>
                      <w:rFonts w:hint="default" w:eastAsia="宋体"/>
                      <w:color w:val="auto"/>
                      <w:lang w:val="en-US" w:eastAsia="zh-CN"/>
                    </w:rPr>
                  </w:pPr>
                  <w:r>
                    <w:rPr>
                      <w:rFonts w:hint="eastAsia" w:eastAsia="宋体"/>
                      <w:color w:val="auto"/>
                      <w:lang w:val="en-US" w:eastAsia="zh-CN"/>
                    </w:rPr>
                    <w:t>0.</w:t>
                  </w:r>
                  <w:r>
                    <w:rPr>
                      <w:rFonts w:hint="eastAsia"/>
                      <w:color w:val="auto"/>
                      <w:lang w:val="en-US" w:eastAsia="zh-CN"/>
                    </w:rPr>
                    <w:t>1</w:t>
                  </w:r>
                </w:p>
              </w:tc>
              <w:tc>
                <w:tcPr>
                  <w:tcW w:w="1156" w:type="dxa"/>
                  <w:noWrap w:val="0"/>
                  <w:vAlign w:val="center"/>
                </w:tcPr>
                <w:p>
                  <w:pPr>
                    <w:pStyle w:val="56"/>
                    <w:rPr>
                      <w:rFonts w:hint="default" w:eastAsia="宋体"/>
                      <w:color w:val="auto"/>
                      <w:lang w:val="en-US" w:eastAsia="zh-CN"/>
                    </w:rPr>
                  </w:pPr>
                  <w:r>
                    <w:rPr>
                      <w:rFonts w:hint="eastAsia"/>
                      <w:color w:val="auto"/>
                      <w:lang w:val="en-US" w:eastAsia="zh-CN"/>
                    </w:rPr>
                    <w:t>2500</w:t>
                  </w:r>
                </w:p>
              </w:tc>
              <w:tc>
                <w:tcPr>
                  <w:tcW w:w="1070" w:type="dxa"/>
                  <w:noWrap w:val="0"/>
                  <w:vAlign w:val="center"/>
                </w:tcPr>
                <w:p>
                  <w:pPr>
                    <w:pStyle w:val="56"/>
                    <w:rPr>
                      <w:color w:val="auto"/>
                    </w:rPr>
                  </w:pPr>
                  <w:r>
                    <w:rPr>
                      <w:color w:val="auto"/>
                    </w:rPr>
                    <w:t>桶装</w:t>
                  </w:r>
                </w:p>
              </w:tc>
              <w:tc>
                <w:tcPr>
                  <w:tcW w:w="2315" w:type="dxa"/>
                  <w:noWrap w:val="0"/>
                  <w:vAlign w:val="center"/>
                </w:tcPr>
                <w:p>
                  <w:pPr>
                    <w:pStyle w:val="56"/>
                    <w:rPr>
                      <w:rFonts w:hint="default"/>
                      <w:color w:val="auto"/>
                      <w:lang w:val="en-US" w:eastAsia="zh-CN"/>
                    </w:rPr>
                  </w:pPr>
                  <w:r>
                    <w:rPr>
                      <w:rFonts w:hint="eastAsia"/>
                      <w:color w:val="auto"/>
                      <w:lang w:val="en-US" w:eastAsia="zh-CN"/>
                    </w:rPr>
                    <w:t>危废贮存点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 w:hRule="atLeast"/>
                <w:jc w:val="center"/>
              </w:trPr>
              <w:tc>
                <w:tcPr>
                  <w:tcW w:w="978" w:type="dxa"/>
                  <w:noWrap w:val="0"/>
                  <w:vAlign w:val="center"/>
                </w:tcPr>
                <w:p>
                  <w:pPr>
                    <w:pStyle w:val="56"/>
                    <w:ind w:firstLine="0" w:firstLineChars="0"/>
                    <w:rPr>
                      <w:rFonts w:hint="eastAsia"/>
                      <w:bCs/>
                      <w:color w:val="auto"/>
                      <w:kern w:val="2"/>
                      <w:sz w:val="21"/>
                      <w:szCs w:val="21"/>
                      <w:lang w:val="en-US" w:eastAsia="zh-CN" w:bidi="ar-SA"/>
                    </w:rPr>
                  </w:pPr>
                  <w:r>
                    <w:rPr>
                      <w:rFonts w:hint="eastAsia"/>
                      <w:color w:val="auto"/>
                      <w:lang w:val="en-US" w:eastAsia="zh-CN"/>
                    </w:rPr>
                    <w:t>废油桶</w:t>
                  </w:r>
                </w:p>
              </w:tc>
              <w:tc>
                <w:tcPr>
                  <w:tcW w:w="1155" w:type="dxa"/>
                  <w:noWrap w:val="0"/>
                  <w:vAlign w:val="center"/>
                </w:tcPr>
                <w:p>
                  <w:pPr>
                    <w:pStyle w:val="56"/>
                    <w:ind w:firstLine="0" w:firstLineChars="0"/>
                    <w:rPr>
                      <w:rFonts w:hint="eastAsia" w:eastAsia="宋体"/>
                      <w:bCs/>
                      <w:color w:val="auto"/>
                      <w:kern w:val="2"/>
                      <w:sz w:val="21"/>
                      <w:szCs w:val="21"/>
                      <w:lang w:val="en-US" w:eastAsia="zh-CN" w:bidi="ar-SA"/>
                    </w:rPr>
                  </w:pPr>
                  <w:r>
                    <w:rPr>
                      <w:rFonts w:hint="eastAsia"/>
                      <w:color w:val="auto"/>
                      <w:lang w:val="en-US" w:eastAsia="zh-CN"/>
                    </w:rPr>
                    <w:t>/</w:t>
                  </w:r>
                </w:p>
              </w:tc>
              <w:tc>
                <w:tcPr>
                  <w:tcW w:w="1175" w:type="dxa"/>
                  <w:noWrap w:val="0"/>
                  <w:vAlign w:val="center"/>
                </w:tcPr>
                <w:p>
                  <w:pPr>
                    <w:pStyle w:val="56"/>
                    <w:ind w:firstLine="0" w:firstLineChars="0"/>
                    <w:rPr>
                      <w:rFonts w:hint="eastAsia" w:eastAsia="宋体"/>
                      <w:bCs/>
                      <w:color w:val="auto"/>
                      <w:kern w:val="2"/>
                      <w:sz w:val="21"/>
                      <w:szCs w:val="21"/>
                      <w:lang w:val="en-US" w:eastAsia="zh-CN" w:bidi="ar-SA"/>
                    </w:rPr>
                  </w:pPr>
                  <w:r>
                    <w:rPr>
                      <w:rFonts w:hint="eastAsia" w:eastAsia="宋体"/>
                      <w:color w:val="auto"/>
                      <w:lang w:val="en-US" w:eastAsia="zh-CN"/>
                    </w:rPr>
                    <w:t>0.1</w:t>
                  </w:r>
                </w:p>
              </w:tc>
              <w:tc>
                <w:tcPr>
                  <w:tcW w:w="1156" w:type="dxa"/>
                  <w:noWrap w:val="0"/>
                  <w:vAlign w:val="center"/>
                </w:tcPr>
                <w:p>
                  <w:pPr>
                    <w:pStyle w:val="56"/>
                    <w:ind w:firstLine="0" w:firstLineChars="0"/>
                    <w:rPr>
                      <w:rFonts w:hint="eastAsia"/>
                      <w:bCs/>
                      <w:color w:val="auto"/>
                      <w:kern w:val="2"/>
                      <w:sz w:val="21"/>
                      <w:szCs w:val="21"/>
                      <w:lang w:val="en-US" w:eastAsia="zh-CN" w:bidi="ar-SA"/>
                    </w:rPr>
                  </w:pPr>
                  <w:r>
                    <w:rPr>
                      <w:rFonts w:hint="eastAsia"/>
                      <w:color w:val="auto"/>
                      <w:lang w:val="en-US" w:eastAsia="zh-CN"/>
                    </w:rPr>
                    <w:t>2500</w:t>
                  </w:r>
                </w:p>
              </w:tc>
              <w:tc>
                <w:tcPr>
                  <w:tcW w:w="1070" w:type="dxa"/>
                  <w:noWrap w:val="0"/>
                  <w:vAlign w:val="center"/>
                </w:tcPr>
                <w:p>
                  <w:pPr>
                    <w:pStyle w:val="56"/>
                    <w:ind w:firstLine="0" w:firstLineChars="0"/>
                    <w:rPr>
                      <w:rFonts w:hint="eastAsia"/>
                      <w:bCs/>
                      <w:color w:val="auto"/>
                      <w:kern w:val="2"/>
                      <w:sz w:val="21"/>
                      <w:szCs w:val="21"/>
                      <w:lang w:val="en-US" w:eastAsia="zh-CN" w:bidi="ar-SA"/>
                    </w:rPr>
                  </w:pPr>
                  <w:r>
                    <w:rPr>
                      <w:rFonts w:hint="eastAsia"/>
                      <w:color w:val="auto"/>
                      <w:lang w:val="en-US" w:eastAsia="zh-CN"/>
                    </w:rPr>
                    <w:t>桶装</w:t>
                  </w:r>
                </w:p>
              </w:tc>
              <w:tc>
                <w:tcPr>
                  <w:tcW w:w="2315" w:type="dxa"/>
                  <w:noWrap w:val="0"/>
                  <w:vAlign w:val="center"/>
                </w:tcPr>
                <w:p>
                  <w:pPr>
                    <w:pStyle w:val="56"/>
                    <w:ind w:firstLine="0" w:firstLineChars="0"/>
                    <w:rPr>
                      <w:rFonts w:hint="eastAsia"/>
                      <w:bCs/>
                      <w:color w:val="auto"/>
                      <w:kern w:val="2"/>
                      <w:sz w:val="21"/>
                      <w:szCs w:val="21"/>
                      <w:lang w:val="en-US" w:eastAsia="zh-CN" w:bidi="ar-SA"/>
                    </w:rPr>
                  </w:pPr>
                  <w:r>
                    <w:rPr>
                      <w:rFonts w:hint="eastAsia"/>
                      <w:color w:val="auto"/>
                      <w:lang w:val="en-US" w:eastAsia="zh-CN"/>
                    </w:rPr>
                    <w:t>危废贮存点</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根据危险物质数量与临界量比值，确定Q=0.000</w:t>
            </w:r>
            <w:r>
              <w:rPr>
                <w:rFonts w:hint="eastAsia" w:cs="Times New Roman"/>
                <w:bCs/>
                <w:color w:val="auto"/>
                <w:sz w:val="24"/>
                <w:szCs w:val="24"/>
                <w:lang w:val="en-US" w:eastAsia="zh-CN"/>
              </w:rPr>
              <w:t>08</w:t>
            </w:r>
            <w:r>
              <w:rPr>
                <w:rFonts w:hint="default" w:ascii="Times New Roman" w:hAnsi="Times New Roman" w:eastAsia="宋体" w:cs="Times New Roman"/>
                <w:bCs/>
                <w:color w:val="auto"/>
                <w:sz w:val="24"/>
                <w:szCs w:val="24"/>
              </w:rPr>
              <w:t>＜1。当Q＜1时，该项目风险期潜势为Ⅰ，风险期潜势为Ⅰ时，环境风险评价工作等级为简单分析。</w:t>
            </w:r>
          </w:p>
          <w:p>
            <w:pPr>
              <w:pStyle w:val="34"/>
              <w:keepNext w:val="0"/>
              <w:keepLines w:val="0"/>
              <w:pageBreakBefore w:val="0"/>
              <w:widowControl w:val="0"/>
              <w:kinsoku/>
              <w:wordWrap/>
              <w:overflowPunct/>
              <w:topLinePunct w:val="0"/>
              <w:autoSpaceDE/>
              <w:autoSpaceDN/>
              <w:bidi w:val="0"/>
              <w:adjustRightInd w:val="0"/>
              <w:snapToGrid w:val="0"/>
              <w:spacing w:line="500" w:lineRule="exact"/>
              <w:ind w:left="0" w:leftChars="0" w:firstLine="0" w:firstLineChars="0"/>
              <w:jc w:val="left"/>
              <w:textAlignment w:val="auto"/>
              <w:rPr>
                <w:rFonts w:hint="default"/>
                <w:color w:val="FF0000"/>
              </w:rPr>
            </w:pPr>
            <w:r>
              <w:rPr>
                <w:rFonts w:hint="eastAsia"/>
                <w:b/>
                <w:bCs/>
                <w:color w:val="auto"/>
                <w:lang w:val="en-US" w:eastAsia="zh-CN"/>
              </w:rPr>
              <w:t>4.12.4风险防范措施</w:t>
            </w:r>
          </w:p>
          <w:p>
            <w:pPr>
              <w:pStyle w:val="34"/>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color w:val="auto"/>
              </w:rPr>
            </w:pPr>
            <w:r>
              <w:rPr>
                <w:rFonts w:hint="eastAsia"/>
                <w:color w:val="auto"/>
                <w:lang w:val="en-US" w:eastAsia="zh-CN"/>
              </w:rPr>
              <w:t>一</w:t>
            </w:r>
            <w:r>
              <w:rPr>
                <w:rFonts w:hint="default"/>
                <w:color w:val="auto"/>
              </w:rPr>
              <w:t>、危废暂存点风险防范措施</w:t>
            </w:r>
          </w:p>
          <w:p>
            <w:pPr>
              <w:pStyle w:val="34"/>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color w:val="auto"/>
              </w:rPr>
            </w:pPr>
            <w:r>
              <w:rPr>
                <w:rFonts w:hint="default"/>
                <w:color w:val="auto"/>
              </w:rPr>
              <w:t>暂存点按《危险废物贮存污染控制标准》（GB18597-2023）建设，面积不小于5m²，设置独立的通风系统和防渗地面。</w:t>
            </w:r>
          </w:p>
          <w:p>
            <w:pPr>
              <w:pStyle w:val="34"/>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color w:val="auto"/>
              </w:rPr>
            </w:pPr>
            <w:r>
              <w:rPr>
                <w:rFonts w:hint="default"/>
                <w:color w:val="auto"/>
              </w:rPr>
              <w:t>地面及裙</w:t>
            </w:r>
            <w:r>
              <w:rPr>
                <w:rFonts w:hint="eastAsia"/>
                <w:color w:val="auto"/>
                <w:lang w:eastAsia="zh-CN"/>
              </w:rPr>
              <w:t>脚</w:t>
            </w:r>
            <w:r>
              <w:rPr>
                <w:rFonts w:hint="default"/>
                <w:color w:val="auto"/>
              </w:rPr>
              <w:t>采用抗渗混凝土浇筑，基础防渗层为1m厚黏土层（渗透系数≤10</w:t>
            </w:r>
            <w:r>
              <w:rPr>
                <w:rFonts w:hint="default"/>
                <w:color w:val="auto"/>
                <w:vertAlign w:val="superscript"/>
              </w:rPr>
              <w:t>-7</w:t>
            </w:r>
            <w:r>
              <w:rPr>
                <w:rFonts w:hint="default"/>
                <w:color w:val="auto"/>
              </w:rPr>
              <w:t>cm/s）或2mm厚高密度聚乙烯膜，确保无裂隙、无渗漏。</w:t>
            </w:r>
          </w:p>
          <w:p>
            <w:pPr>
              <w:pStyle w:val="34"/>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color w:val="FF0000"/>
              </w:rPr>
            </w:pPr>
            <w:r>
              <w:rPr>
                <w:rFonts w:hint="default"/>
                <w:color w:val="auto"/>
              </w:rPr>
              <w:t>按废物类别分区存放废机油、废油桶、废防渗膜，设置隔离设施避免不相容废物接触，各类危险废物容器粘贴规范的危险废物标签，注明成分、危害、产生单位等信息。配备防风、防雨、防晒设施</w:t>
            </w:r>
            <w:r>
              <w:rPr>
                <w:rFonts w:hint="eastAsia"/>
                <w:color w:val="auto"/>
                <w:lang w:eastAsia="zh-CN"/>
              </w:rPr>
              <w:t>，</w:t>
            </w:r>
            <w:r>
              <w:rPr>
                <w:rFonts w:hint="default"/>
                <w:color w:val="auto"/>
              </w:rPr>
              <w:t>配备通讯设备、应急防护服装（防化服、防护手套、护目镜）及泄漏应急处理工具（吸附棉、吸油毡、收集桶），设置报警装置。</w:t>
            </w:r>
          </w:p>
          <w:p>
            <w:pPr>
              <w:pStyle w:val="34"/>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color w:val="auto"/>
              </w:rPr>
            </w:pPr>
            <w:r>
              <w:rPr>
                <w:rFonts w:hint="eastAsia"/>
                <w:color w:val="auto"/>
                <w:lang w:val="en-US" w:eastAsia="zh-CN"/>
              </w:rPr>
              <w:t>二</w:t>
            </w:r>
            <w:r>
              <w:rPr>
                <w:rFonts w:hint="default"/>
                <w:color w:val="auto"/>
              </w:rPr>
              <w:t>、泄漏事故收集措施</w:t>
            </w:r>
          </w:p>
          <w:p>
            <w:pPr>
              <w:pStyle w:val="34"/>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color w:val="auto"/>
              </w:rPr>
            </w:pPr>
            <w:r>
              <w:rPr>
                <w:rFonts w:hint="default"/>
                <w:color w:val="auto"/>
              </w:rPr>
              <w:t>（</w:t>
            </w:r>
            <w:r>
              <w:rPr>
                <w:rFonts w:hint="eastAsia"/>
                <w:color w:val="auto"/>
                <w:lang w:val="en-US" w:eastAsia="zh-CN"/>
              </w:rPr>
              <w:t>一</w:t>
            </w:r>
            <w:r>
              <w:rPr>
                <w:rFonts w:hint="default"/>
                <w:color w:val="auto"/>
              </w:rPr>
              <w:t>）危废泄漏收集</w:t>
            </w:r>
          </w:p>
          <w:p>
            <w:pPr>
              <w:pStyle w:val="34"/>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color w:val="auto"/>
              </w:rPr>
            </w:pPr>
            <w:r>
              <w:rPr>
                <w:rFonts w:hint="default"/>
                <w:color w:val="auto"/>
              </w:rPr>
              <w:t>废机油泄漏：迅速用吸附棉、吸油毡覆盖泄漏点，防止流淌，用铲子将吸附后的废油及受污染土壤收集至专用耐腐蚀容器中，容器加盖密封并粘贴危险废物标签。</w:t>
            </w:r>
          </w:p>
          <w:p>
            <w:pPr>
              <w:pStyle w:val="34"/>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color w:val="auto"/>
              </w:rPr>
            </w:pPr>
            <w:r>
              <w:rPr>
                <w:rFonts w:hint="default"/>
                <w:color w:val="auto"/>
              </w:rPr>
              <w:t>废油桶破损泄漏：立即将破损桶转移至暂存点内的应急区域，用备用空桶分装泄漏废物，破损桶进行防渗处理后与泄漏废物一并委托处置，清理过程中避免废物接触皮肤。</w:t>
            </w:r>
          </w:p>
          <w:p>
            <w:pPr>
              <w:pStyle w:val="20"/>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napToGrid w:val="0"/>
                <w:color w:val="auto"/>
                <w:kern w:val="0"/>
                <w:sz w:val="21"/>
                <w:szCs w:val="21"/>
                <w:lang w:val="en-US" w:eastAsia="zh-CN" w:bidi="ar-SA"/>
                <w14:ligatures w14:val="none"/>
              </w:rPr>
            </w:pPr>
            <w:r>
              <w:rPr>
                <w:rFonts w:hint="default" w:ascii="Times New Roman" w:hAnsi="Times New Roman" w:eastAsia="宋体" w:cs="Times New Roman"/>
                <w:b/>
                <w:bCs/>
                <w:snapToGrid w:val="0"/>
                <w:color w:val="auto"/>
                <w:kern w:val="0"/>
                <w:sz w:val="21"/>
                <w:szCs w:val="21"/>
                <w:lang w:val="en-US" w:eastAsia="zh-CN" w:bidi="ar-SA"/>
                <w14:ligatures w14:val="none"/>
              </w:rPr>
              <w:t>表4</w:t>
            </w:r>
            <w:r>
              <w:rPr>
                <w:rFonts w:hint="eastAsia" w:ascii="Times New Roman" w:hAnsi="Times New Roman" w:eastAsia="宋体" w:cs="Times New Roman"/>
                <w:b/>
                <w:bCs/>
                <w:snapToGrid w:val="0"/>
                <w:color w:val="auto"/>
                <w:kern w:val="0"/>
                <w:sz w:val="21"/>
                <w:szCs w:val="21"/>
                <w:lang w:val="en-US" w:eastAsia="zh-CN" w:bidi="ar-SA"/>
                <w14:ligatures w14:val="none"/>
              </w:rPr>
              <w:t>.12-2</w:t>
            </w:r>
            <w:r>
              <w:rPr>
                <w:rFonts w:hint="default" w:ascii="Times New Roman" w:hAnsi="Times New Roman" w:eastAsia="宋体" w:cs="Times New Roman"/>
                <w:b/>
                <w:bCs/>
                <w:snapToGrid w:val="0"/>
                <w:color w:val="auto"/>
                <w:kern w:val="0"/>
                <w:sz w:val="21"/>
                <w:szCs w:val="21"/>
                <w:lang w:val="en-US" w:eastAsia="zh-CN" w:bidi="ar-SA"/>
                <w14:ligatures w14:val="none"/>
              </w:rPr>
              <w:t xml:space="preserve"> </w:t>
            </w:r>
            <w:r>
              <w:rPr>
                <w:rFonts w:hint="eastAsia" w:ascii="Times New Roman" w:hAnsi="Times New Roman" w:eastAsia="宋体" w:cs="Times New Roman"/>
                <w:b/>
                <w:bCs/>
                <w:snapToGrid w:val="0"/>
                <w:color w:val="auto"/>
                <w:kern w:val="0"/>
                <w:sz w:val="21"/>
                <w:szCs w:val="21"/>
                <w:lang w:val="en-US" w:eastAsia="zh-CN" w:bidi="ar-SA"/>
                <w14:ligatures w14:val="none"/>
              </w:rPr>
              <w:t xml:space="preserve"> </w:t>
            </w:r>
            <w:r>
              <w:rPr>
                <w:rFonts w:hint="default" w:ascii="Times New Roman" w:hAnsi="Times New Roman" w:eastAsia="宋体" w:cs="Times New Roman"/>
                <w:b/>
                <w:bCs/>
                <w:snapToGrid w:val="0"/>
                <w:color w:val="auto"/>
                <w:kern w:val="0"/>
                <w:sz w:val="21"/>
                <w:szCs w:val="21"/>
                <w:lang w:val="en-US" w:eastAsia="zh-CN" w:bidi="ar-SA"/>
                <w14:ligatures w14:val="none"/>
              </w:rPr>
              <w:t xml:space="preserve"> 建设项目环境风险简单分析内容表</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751"/>
              <w:gridCol w:w="2182"/>
              <w:gridCol w:w="904"/>
              <w:gridCol w:w="22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691" w:type="dxa"/>
                  <w:tcBorders>
                    <w:tl2br w:val="nil"/>
                    <w:tr2bl w:val="nil"/>
                  </w:tcBorders>
                  <w:vAlign w:val="center"/>
                </w:tcPr>
                <w:p>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建设项目名称</w:t>
                  </w:r>
                </w:p>
              </w:tc>
              <w:tc>
                <w:tcPr>
                  <w:tcW w:w="5988" w:type="dxa"/>
                  <w:gridSpan w:val="4"/>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新疆诚诺食品有限公司辣椒产业建设项目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35" w:hRule="atLeast"/>
                <w:jc w:val="center"/>
              </w:trPr>
              <w:tc>
                <w:tcPr>
                  <w:tcW w:w="1691" w:type="dxa"/>
                  <w:tcBorders>
                    <w:tl2br w:val="nil"/>
                    <w:tr2bl w:val="nil"/>
                  </w:tcBorders>
                  <w:vAlign w:val="center"/>
                </w:tcPr>
                <w:p>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建设地点</w:t>
                  </w:r>
                </w:p>
              </w:tc>
              <w:tc>
                <w:tcPr>
                  <w:tcW w:w="5988" w:type="dxa"/>
                  <w:gridSpan w:val="4"/>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新疆维吾尔自治区巴音郭楞蒙古自治州和硕县多式联运产业物流园区内，位于人民政府西北侧，距离9公里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12" w:hRule="atLeast"/>
                <w:jc w:val="center"/>
              </w:trPr>
              <w:tc>
                <w:tcPr>
                  <w:tcW w:w="1691" w:type="dxa"/>
                  <w:tcBorders>
                    <w:tl2br w:val="nil"/>
                    <w:tr2bl w:val="nil"/>
                  </w:tcBorders>
                  <w:vAlign w:val="center"/>
                </w:tcPr>
                <w:p>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地理坐标</w:t>
                  </w:r>
                </w:p>
              </w:tc>
              <w:tc>
                <w:tcPr>
                  <w:tcW w:w="736"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经度</w:t>
                  </w:r>
                </w:p>
              </w:tc>
              <w:tc>
                <w:tcPr>
                  <w:tcW w:w="2138" w:type="dxa"/>
                  <w:tcBorders>
                    <w:tl2br w:val="nil"/>
                    <w:tr2bl w:val="nil"/>
                  </w:tcBorders>
                  <w:vAlign w:val="center"/>
                </w:tcPr>
                <w:p>
                  <w:pPr>
                    <w:spacing w:line="240" w:lineRule="auto"/>
                    <w:jc w:val="center"/>
                    <w:textAlignment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86°46′33.370"</w:t>
                  </w:r>
                </w:p>
              </w:tc>
              <w:tc>
                <w:tcPr>
                  <w:tcW w:w="885"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纬度</w:t>
                  </w:r>
                </w:p>
              </w:tc>
              <w:tc>
                <w:tcPr>
                  <w:tcW w:w="2229"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42°19′13.878"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691" w:type="dxa"/>
                  <w:tcBorders>
                    <w:tl2br w:val="nil"/>
                    <w:tr2bl w:val="nil"/>
                  </w:tcBorders>
                  <w:vAlign w:val="center"/>
                </w:tcPr>
                <w:p>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主要危险物质及分布</w:t>
                  </w:r>
                </w:p>
              </w:tc>
              <w:tc>
                <w:tcPr>
                  <w:tcW w:w="5988" w:type="dxa"/>
                  <w:gridSpan w:val="4"/>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本项目主要危险物质为废机油</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lang w:val="en-US" w:eastAsia="zh-CN"/>
                    </w:rPr>
                    <w:t>废油</w:t>
                  </w:r>
                  <w:r>
                    <w:rPr>
                      <w:rFonts w:hint="eastAsia" w:cs="Times New Roman"/>
                      <w:bCs/>
                      <w:color w:val="auto"/>
                      <w:sz w:val="21"/>
                      <w:szCs w:val="21"/>
                      <w:highlight w:val="none"/>
                      <w:lang w:val="en-US" w:eastAsia="zh-CN"/>
                    </w:rPr>
                    <w:t>桶</w:t>
                  </w:r>
                  <w:r>
                    <w:rPr>
                      <w:rFonts w:hint="default" w:ascii="Times New Roman" w:hAnsi="Times New Roman" w:eastAsia="宋体" w:cs="Times New Roman"/>
                      <w:bCs/>
                      <w:color w:val="auto"/>
                      <w:sz w:val="21"/>
                      <w:szCs w:val="21"/>
                      <w:highlight w:val="none"/>
                    </w:rPr>
                    <w:t>储存在</w:t>
                  </w:r>
                  <w:r>
                    <w:rPr>
                      <w:rFonts w:hint="eastAsia" w:cs="Times New Roman"/>
                      <w:bCs/>
                      <w:color w:val="auto"/>
                      <w:sz w:val="21"/>
                      <w:szCs w:val="21"/>
                      <w:highlight w:val="none"/>
                      <w:lang w:eastAsia="zh-CN"/>
                    </w:rPr>
                    <w:t>危废贮存点</w:t>
                  </w:r>
                  <w:r>
                    <w:rPr>
                      <w:rFonts w:hint="default" w:ascii="Times New Roman" w:hAnsi="Times New Roman" w:eastAsia="宋体" w:cs="Times New Roman"/>
                      <w:bCs/>
                      <w:color w:val="auto"/>
                      <w:sz w:val="21"/>
                      <w:szCs w:val="21"/>
                      <w:highlight w:val="none"/>
                    </w:rPr>
                    <w:t>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79" w:hRule="atLeast"/>
                <w:jc w:val="center"/>
              </w:trPr>
              <w:tc>
                <w:tcPr>
                  <w:tcW w:w="1691" w:type="dxa"/>
                  <w:tcBorders>
                    <w:tl2br w:val="nil"/>
                    <w:tr2bl w:val="nil"/>
                  </w:tcBorders>
                  <w:vAlign w:val="center"/>
                </w:tcPr>
                <w:p>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环境影响途径及危害后果（大气、地表水、地下水等）</w:t>
                  </w:r>
                </w:p>
              </w:tc>
              <w:tc>
                <w:tcPr>
                  <w:tcW w:w="5988" w:type="dxa"/>
                  <w:gridSpan w:val="4"/>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highlight w:val="none"/>
                    </w:rPr>
                    <w:t>废机油</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lang w:val="en-US" w:eastAsia="zh-CN"/>
                    </w:rPr>
                    <w:t>废油</w:t>
                  </w:r>
                  <w:r>
                    <w:rPr>
                      <w:rFonts w:hint="eastAsia" w:cs="Times New Roman"/>
                      <w:bCs/>
                      <w:color w:val="auto"/>
                      <w:sz w:val="21"/>
                      <w:szCs w:val="21"/>
                      <w:highlight w:val="none"/>
                      <w:lang w:val="en-US" w:eastAsia="zh-CN"/>
                    </w:rPr>
                    <w:t>桶</w:t>
                  </w:r>
                  <w:r>
                    <w:rPr>
                      <w:rFonts w:hint="default" w:ascii="Times New Roman" w:hAnsi="Times New Roman" w:eastAsia="宋体" w:cs="Times New Roman"/>
                      <w:bCs/>
                      <w:color w:val="auto"/>
                      <w:sz w:val="21"/>
                      <w:szCs w:val="21"/>
                      <w:lang w:eastAsia="zh-CN"/>
                    </w:rPr>
                    <w:t>泄漏</w:t>
                  </w:r>
                  <w:r>
                    <w:rPr>
                      <w:rFonts w:hint="default" w:ascii="Times New Roman" w:hAnsi="Times New Roman" w:eastAsia="宋体" w:cs="Times New Roman"/>
                      <w:bCs/>
                      <w:color w:val="auto"/>
                      <w:sz w:val="21"/>
                      <w:szCs w:val="21"/>
                    </w:rPr>
                    <w:t>对周边土壤、地下水环境造成影响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691" w:type="dxa"/>
                  <w:tcBorders>
                    <w:tl2br w:val="nil"/>
                    <w:tr2bl w:val="nil"/>
                  </w:tcBorders>
                  <w:vAlign w:val="center"/>
                </w:tcPr>
                <w:p>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风险防范措施要求</w:t>
                  </w:r>
                </w:p>
              </w:tc>
              <w:tc>
                <w:tcPr>
                  <w:tcW w:w="5988" w:type="dxa"/>
                  <w:gridSpan w:val="4"/>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严格执行安全生产各项制度；</w:t>
                  </w:r>
                </w:p>
                <w:p>
                  <w:pPr>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定期维护生产设备，防止设备故障造成安全隐患；</w:t>
                  </w:r>
                </w:p>
                <w:p>
                  <w:pPr>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设置专人对除尘器进行负责；</w:t>
                  </w:r>
                </w:p>
                <w:p>
                  <w:pPr>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日常进行检查，确保不发生故障。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1" w:type="dxa"/>
                  <w:tcBorders>
                    <w:tl2br w:val="nil"/>
                    <w:tr2bl w:val="nil"/>
                  </w:tcBorders>
                  <w:vAlign w:val="center"/>
                </w:tcPr>
                <w:p>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填表说明</w:t>
                  </w:r>
                </w:p>
              </w:tc>
              <w:tc>
                <w:tcPr>
                  <w:tcW w:w="5988" w:type="dxa"/>
                  <w:gridSpan w:val="4"/>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p>
              </w:tc>
            </w:tr>
          </w:tbl>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
                <w:color w:val="auto"/>
                <w:sz w:val="24"/>
                <w:szCs w:val="24"/>
              </w:rPr>
              <w:t>4.</w:t>
            </w:r>
            <w:r>
              <w:rPr>
                <w:rFonts w:hint="eastAsia" w:ascii="Times New Roman" w:hAnsi="Times New Roman" w:eastAsia="宋体" w:cs="Times New Roman"/>
                <w:b/>
                <w:color w:val="auto"/>
                <w:sz w:val="24"/>
                <w:szCs w:val="24"/>
                <w:lang w:val="en-US" w:eastAsia="zh-CN"/>
              </w:rPr>
              <w:t>13</w:t>
            </w:r>
            <w:r>
              <w:rPr>
                <w:rFonts w:hint="default" w:ascii="Times New Roman" w:hAnsi="Times New Roman" w:eastAsia="宋体" w:cs="Times New Roman"/>
                <w:b/>
                <w:color w:val="auto"/>
                <w:sz w:val="24"/>
                <w:szCs w:val="24"/>
              </w:rPr>
              <w:t>环保投资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项目总投资</w:t>
            </w:r>
            <w:r>
              <w:rPr>
                <w:rFonts w:hint="eastAsia" w:cs="Times New Roman"/>
                <w:bCs/>
                <w:color w:val="auto"/>
                <w:sz w:val="24"/>
                <w:szCs w:val="24"/>
                <w:lang w:val="en-US" w:eastAsia="zh-CN"/>
              </w:rPr>
              <w:t>1800</w:t>
            </w:r>
            <w:r>
              <w:rPr>
                <w:rFonts w:hint="default" w:ascii="Times New Roman" w:hAnsi="Times New Roman" w:eastAsia="宋体" w:cs="Times New Roman"/>
                <w:bCs/>
                <w:color w:val="auto"/>
                <w:sz w:val="24"/>
                <w:szCs w:val="24"/>
                <w:highlight w:val="none"/>
              </w:rPr>
              <w:t>万元，其中环保投资约</w:t>
            </w:r>
            <w:r>
              <w:rPr>
                <w:rFonts w:hint="eastAsia" w:cs="Times New Roman"/>
                <w:bCs/>
                <w:color w:val="auto"/>
                <w:sz w:val="24"/>
                <w:szCs w:val="24"/>
                <w:highlight w:val="none"/>
                <w:lang w:val="en-US" w:eastAsia="zh-CN"/>
              </w:rPr>
              <w:t>24</w:t>
            </w:r>
            <w:r>
              <w:rPr>
                <w:rFonts w:hint="default" w:ascii="Times New Roman" w:hAnsi="Times New Roman" w:eastAsia="宋体" w:cs="Times New Roman"/>
                <w:bCs/>
                <w:color w:val="auto"/>
                <w:sz w:val="24"/>
                <w:szCs w:val="24"/>
                <w:highlight w:val="none"/>
              </w:rPr>
              <w:t>万元，占总投资的</w:t>
            </w:r>
            <w:r>
              <w:rPr>
                <w:rFonts w:hint="eastAsia" w:cs="Times New Roman"/>
                <w:bCs/>
                <w:color w:val="auto"/>
                <w:sz w:val="24"/>
                <w:szCs w:val="24"/>
                <w:highlight w:val="none"/>
                <w:lang w:val="en-US" w:eastAsia="zh-CN"/>
              </w:rPr>
              <w:t>1.3</w:t>
            </w:r>
            <w:r>
              <w:rPr>
                <w:rFonts w:hint="default" w:ascii="Times New Roman" w:hAnsi="Times New Roman" w:eastAsia="宋体" w:cs="Times New Roman"/>
                <w:bCs/>
                <w:color w:val="auto"/>
                <w:sz w:val="24"/>
                <w:szCs w:val="24"/>
                <w:highlight w:val="none"/>
              </w:rPr>
              <w:t>%</w:t>
            </w:r>
            <w:r>
              <w:rPr>
                <w:rFonts w:hint="default" w:ascii="Times New Roman" w:hAnsi="Times New Roman" w:eastAsia="宋体" w:cs="Times New Roman"/>
                <w:bCs/>
                <w:color w:val="auto"/>
                <w:sz w:val="24"/>
                <w:szCs w:val="24"/>
              </w:rPr>
              <w:t>，环保投资情况</w:t>
            </w:r>
            <w:r>
              <w:rPr>
                <w:rFonts w:hint="eastAsia" w:cs="Times New Roman"/>
                <w:bCs/>
                <w:color w:val="auto"/>
                <w:sz w:val="24"/>
                <w:szCs w:val="24"/>
                <w:lang w:eastAsia="zh-CN"/>
              </w:rPr>
              <w:t>见下</w:t>
            </w:r>
            <w:r>
              <w:rPr>
                <w:rFonts w:hint="default" w:ascii="Times New Roman" w:hAnsi="Times New Roman" w:eastAsia="宋体" w:cs="Times New Roman"/>
                <w:bCs/>
                <w:color w:val="auto"/>
                <w:sz w:val="24"/>
                <w:szCs w:val="24"/>
              </w:rPr>
              <w:t>表4</w:t>
            </w:r>
            <w:r>
              <w:rPr>
                <w:rFonts w:hint="eastAsia" w:cs="Times New Roman"/>
                <w:bCs/>
                <w:color w:val="auto"/>
                <w:sz w:val="24"/>
                <w:szCs w:val="24"/>
                <w:lang w:val="en-US" w:eastAsia="zh-CN"/>
              </w:rPr>
              <w:t>.13-1</w:t>
            </w:r>
            <w:r>
              <w:rPr>
                <w:rFonts w:hint="default" w:ascii="Times New Roman" w:hAnsi="Times New Roman" w:eastAsia="宋体" w:cs="Times New Roman"/>
                <w:bCs/>
                <w:color w:val="auto"/>
                <w:sz w:val="24"/>
                <w:szCs w:val="24"/>
              </w:rPr>
              <w:t>。</w:t>
            </w:r>
          </w:p>
          <w:p>
            <w:pPr>
              <w:pStyle w:val="20"/>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napToGrid w:val="0"/>
                <w:color w:val="auto"/>
                <w:kern w:val="0"/>
                <w:sz w:val="21"/>
                <w:szCs w:val="21"/>
                <w:lang w:val="en-US" w:eastAsia="zh-CN" w:bidi="ar-SA"/>
                <w14:ligatures w14:val="none"/>
              </w:rPr>
            </w:pPr>
            <w:r>
              <w:rPr>
                <w:rFonts w:hint="default" w:ascii="Times New Roman" w:hAnsi="Times New Roman" w:eastAsia="宋体" w:cs="Times New Roman"/>
                <w:b/>
                <w:bCs/>
                <w:snapToGrid w:val="0"/>
                <w:color w:val="auto"/>
                <w:kern w:val="0"/>
                <w:sz w:val="21"/>
                <w:szCs w:val="21"/>
                <w:lang w:val="en-US" w:eastAsia="zh-CN" w:bidi="ar-SA"/>
                <w14:ligatures w14:val="none"/>
              </w:rPr>
              <w:t>表4</w:t>
            </w:r>
            <w:r>
              <w:rPr>
                <w:rFonts w:hint="eastAsia" w:ascii="Times New Roman" w:hAnsi="Times New Roman" w:eastAsia="宋体" w:cs="Times New Roman"/>
                <w:b/>
                <w:bCs/>
                <w:snapToGrid w:val="0"/>
                <w:color w:val="auto"/>
                <w:kern w:val="0"/>
                <w:sz w:val="21"/>
                <w:szCs w:val="21"/>
                <w:lang w:val="en-US" w:eastAsia="zh-CN" w:bidi="ar-SA"/>
                <w14:ligatures w14:val="none"/>
              </w:rPr>
              <w:t>.13</w:t>
            </w:r>
            <w:r>
              <w:rPr>
                <w:rFonts w:hint="default" w:ascii="Times New Roman" w:hAnsi="Times New Roman" w:eastAsia="宋体" w:cs="Times New Roman"/>
                <w:b/>
                <w:bCs/>
                <w:snapToGrid w:val="0"/>
                <w:color w:val="auto"/>
                <w:kern w:val="0"/>
                <w:sz w:val="21"/>
                <w:szCs w:val="21"/>
                <w:lang w:val="en-US" w:eastAsia="zh-CN" w:bidi="ar-SA"/>
                <w14:ligatures w14:val="none"/>
              </w:rPr>
              <w:t>-1  环保投资估算表</w:t>
            </w:r>
          </w:p>
          <w:tbl>
            <w:tblPr>
              <w:tblStyle w:val="2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1038"/>
              <w:gridCol w:w="910"/>
              <w:gridCol w:w="1138"/>
              <w:gridCol w:w="3685"/>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6" w:hRule="atLeast"/>
                <w:tblHeader/>
              </w:trPr>
              <w:tc>
                <w:tcPr>
                  <w:tcW w:w="661"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工期</w:t>
                  </w:r>
                </w:p>
              </w:tc>
              <w:tc>
                <w:tcPr>
                  <w:tcW w:w="1305" w:type="pct"/>
                  <w:gridSpan w:val="2"/>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w:t>
                  </w:r>
                </w:p>
              </w:tc>
              <w:tc>
                <w:tcPr>
                  <w:tcW w:w="2348"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环保措施</w:t>
                  </w:r>
                </w:p>
              </w:tc>
              <w:tc>
                <w:tcPr>
                  <w:tcW w:w="683"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环保费用（万元）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tblHeader/>
              </w:trPr>
              <w:tc>
                <w:tcPr>
                  <w:tcW w:w="661" w:type="pct"/>
                  <w:vMerge w:val="restar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施工期</w:t>
                  </w:r>
                </w:p>
              </w:tc>
              <w:tc>
                <w:tcPr>
                  <w:tcW w:w="1305" w:type="pct"/>
                  <w:gridSpan w:val="2"/>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项目基建</w:t>
                  </w:r>
                </w:p>
              </w:tc>
              <w:tc>
                <w:tcPr>
                  <w:tcW w:w="2348"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对于道路扬尘，定期洒水降尘，外运控制装卸量、采用洒水加湿后加盖篷布运输</w:t>
                  </w:r>
                </w:p>
              </w:tc>
              <w:tc>
                <w:tcPr>
                  <w:tcW w:w="683"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6" w:hRule="atLeast"/>
                <w:tblHeader/>
              </w:trPr>
              <w:tc>
                <w:tcPr>
                  <w:tcW w:w="661"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lang w:val="en-US" w:eastAsia="zh-CN"/>
                    </w:rPr>
                  </w:pPr>
                </w:p>
              </w:tc>
              <w:tc>
                <w:tcPr>
                  <w:tcW w:w="1305" w:type="pct"/>
                  <w:gridSpan w:val="2"/>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施工机械废气</w:t>
                  </w:r>
                </w:p>
              </w:tc>
              <w:tc>
                <w:tcPr>
                  <w:tcW w:w="2348"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采用较好的燃油设备，充分燃烧</w:t>
                  </w:r>
                </w:p>
              </w:tc>
              <w:tc>
                <w:tcPr>
                  <w:tcW w:w="683"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6" w:hRule="atLeast"/>
                <w:tblHeader/>
              </w:trPr>
              <w:tc>
                <w:tcPr>
                  <w:tcW w:w="661"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lang w:val="en-US" w:eastAsia="zh-CN"/>
                    </w:rPr>
                  </w:pPr>
                </w:p>
              </w:tc>
              <w:tc>
                <w:tcPr>
                  <w:tcW w:w="1305" w:type="pct"/>
                  <w:gridSpan w:val="2"/>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生活污水</w:t>
                  </w:r>
                </w:p>
              </w:tc>
              <w:tc>
                <w:tcPr>
                  <w:tcW w:w="2348"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采用移动环保厕所</w:t>
                  </w:r>
                </w:p>
              </w:tc>
              <w:tc>
                <w:tcPr>
                  <w:tcW w:w="683"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226" w:hRule="atLeast"/>
                <w:tblHeader/>
              </w:trPr>
              <w:tc>
                <w:tcPr>
                  <w:tcW w:w="661"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lang w:val="en-US" w:eastAsia="zh-CN"/>
                    </w:rPr>
                  </w:pPr>
                </w:p>
              </w:tc>
              <w:tc>
                <w:tcPr>
                  <w:tcW w:w="1305" w:type="pct"/>
                  <w:gridSpan w:val="2"/>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机械噪声</w:t>
                  </w:r>
                </w:p>
              </w:tc>
              <w:tc>
                <w:tcPr>
                  <w:tcW w:w="2348"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对连续接触高噪声源的操作人员，采取相应防护措施</w:t>
                  </w:r>
                </w:p>
              </w:tc>
              <w:tc>
                <w:tcPr>
                  <w:tcW w:w="683"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6" w:hRule="atLeast"/>
                <w:tblHeader/>
              </w:trPr>
              <w:tc>
                <w:tcPr>
                  <w:tcW w:w="661"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lang w:val="en-US" w:eastAsia="zh-CN"/>
                    </w:rPr>
                  </w:pPr>
                </w:p>
              </w:tc>
              <w:tc>
                <w:tcPr>
                  <w:tcW w:w="1305" w:type="pct"/>
                  <w:gridSpan w:val="2"/>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固体废物</w:t>
                  </w:r>
                </w:p>
              </w:tc>
              <w:tc>
                <w:tcPr>
                  <w:tcW w:w="2348"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建筑垃圾及生活垃圾统一清运</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生活垃圾</w:t>
                  </w:r>
                  <w:r>
                    <w:rPr>
                      <w:rFonts w:hint="default" w:ascii="Times New Roman" w:hAnsi="Times New Roman" w:eastAsia="宋体" w:cs="Times New Roman"/>
                      <w:bCs/>
                      <w:color w:val="auto"/>
                      <w:sz w:val="21"/>
                      <w:szCs w:val="21"/>
                      <w:lang w:val="en-US" w:eastAsia="zh-CN"/>
                    </w:rPr>
                    <w:t>用垃圾箱收集后定期交由当地环卫部门处置</w:t>
                  </w:r>
                </w:p>
              </w:tc>
              <w:tc>
                <w:tcPr>
                  <w:tcW w:w="683"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trPr>
              <w:tc>
                <w:tcPr>
                  <w:tcW w:w="661" w:type="pct"/>
                  <w:vMerge w:val="restar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运营期</w:t>
                  </w:r>
                </w:p>
              </w:tc>
              <w:tc>
                <w:tcPr>
                  <w:tcW w:w="580" w:type="pct"/>
                  <w:vMerge w:val="restar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w:t>
                  </w:r>
                </w:p>
              </w:tc>
              <w:tc>
                <w:tcPr>
                  <w:tcW w:w="725"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000000" w:themeColor="text1"/>
                      <w:sz w:val="21"/>
                      <w:lang w:val="en-US" w:eastAsia="zh-CN"/>
                      <w14:textFill>
                        <w14:solidFill>
                          <w14:schemeClr w14:val="tx1"/>
                        </w14:solidFill>
                      </w14:textFill>
                    </w:rPr>
                    <w:t>车辆运输扬尘</w:t>
                  </w:r>
                </w:p>
              </w:tc>
              <w:tc>
                <w:tcPr>
                  <w:tcW w:w="2348" w:type="pct"/>
                  <w:tcBorders>
                    <w:tl2br w:val="nil"/>
                    <w:tr2bl w:val="nil"/>
                  </w:tcBorders>
                  <w:noWrap w:val="0"/>
                  <w:tcMar>
                    <w:top w:w="57" w:type="dxa"/>
                    <w:bottom w:w="57" w:type="dxa"/>
                  </w:tcMar>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snapToGrid w:val="0"/>
                      <w:color w:val="auto"/>
                      <w:kern w:val="0"/>
                      <w:sz w:val="21"/>
                      <w:szCs w:val="21"/>
                      <w:u w:val="none"/>
                      <w:lang w:val="en-US" w:eastAsia="zh-CN" w:bidi="ar"/>
                      <w14:ligatures w14:val="none"/>
                    </w:rPr>
                    <w:t>洒水抑尘</w:t>
                  </w:r>
                </w:p>
              </w:tc>
              <w:tc>
                <w:tcPr>
                  <w:tcW w:w="683"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trPr>
              <w:tc>
                <w:tcPr>
                  <w:tcW w:w="661"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lang w:val="en-US" w:eastAsia="zh-CN"/>
                    </w:rPr>
                  </w:pPr>
                </w:p>
              </w:tc>
              <w:tc>
                <w:tcPr>
                  <w:tcW w:w="580"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rPr>
                  </w:pPr>
                </w:p>
              </w:tc>
              <w:tc>
                <w:tcPr>
                  <w:tcW w:w="725"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上料</w:t>
                  </w:r>
                </w:p>
              </w:tc>
              <w:tc>
                <w:tcPr>
                  <w:tcW w:w="2348" w:type="pct"/>
                  <w:vMerge w:val="restart"/>
                  <w:tcBorders>
                    <w:tl2br w:val="nil"/>
                    <w:tr2bl w:val="nil"/>
                  </w:tcBorders>
                  <w:noWrap w:val="0"/>
                  <w:tcMar>
                    <w:top w:w="57" w:type="dxa"/>
                    <w:bottom w:w="57" w:type="dxa"/>
                  </w:tcMar>
                  <w:vAlign w:val="center"/>
                </w:tcPr>
                <w:p>
                  <w:pPr>
                    <w:pStyle w:val="35"/>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both"/>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000000" w:themeColor="text1"/>
                      <w:sz w:val="21"/>
                      <w:lang w:val="en-US" w:eastAsia="zh-CN"/>
                      <w14:textFill>
                        <w14:solidFill>
                          <w14:schemeClr w14:val="tx1"/>
                        </w14:solidFill>
                      </w14:textFill>
                    </w:rPr>
                    <w:t>布袋除尘器+15m排气筒（DA001）排放</w:t>
                  </w:r>
                </w:p>
              </w:tc>
              <w:tc>
                <w:tcPr>
                  <w:tcW w:w="683" w:type="pct"/>
                  <w:vMerge w:val="restar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trPr>
              <w:tc>
                <w:tcPr>
                  <w:tcW w:w="661"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lang w:val="en-US" w:eastAsia="zh-CN"/>
                    </w:rPr>
                  </w:pPr>
                </w:p>
              </w:tc>
              <w:tc>
                <w:tcPr>
                  <w:tcW w:w="580"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rPr>
                  </w:pPr>
                </w:p>
              </w:tc>
              <w:tc>
                <w:tcPr>
                  <w:tcW w:w="725"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造粒</w:t>
                  </w:r>
                </w:p>
              </w:tc>
              <w:tc>
                <w:tcPr>
                  <w:tcW w:w="2348" w:type="pct"/>
                  <w:vMerge w:val="continue"/>
                  <w:tcBorders>
                    <w:tl2br w:val="nil"/>
                    <w:tr2bl w:val="nil"/>
                  </w:tcBorders>
                  <w:noWrap w:val="0"/>
                  <w:tcMar>
                    <w:top w:w="57" w:type="dxa"/>
                    <w:bottom w:w="57" w:type="dxa"/>
                  </w:tcMar>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i w:val="0"/>
                      <w:iCs w:val="0"/>
                      <w:snapToGrid w:val="0"/>
                      <w:color w:val="auto"/>
                      <w:kern w:val="0"/>
                      <w:sz w:val="21"/>
                      <w:szCs w:val="21"/>
                      <w:u w:val="none"/>
                      <w:lang w:val="en-US" w:eastAsia="zh-CN" w:bidi="ar"/>
                      <w14:ligatures w14:val="none"/>
                    </w:rPr>
                  </w:pPr>
                </w:p>
              </w:tc>
              <w:tc>
                <w:tcPr>
                  <w:tcW w:w="683"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rPr>
                      <w:rFonts w:hint="eastAsia"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6" w:hRule="atLeast"/>
              </w:trPr>
              <w:tc>
                <w:tcPr>
                  <w:tcW w:w="661"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rPr>
                  </w:pPr>
                </w:p>
              </w:tc>
              <w:tc>
                <w:tcPr>
                  <w:tcW w:w="580"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rPr>
                  </w:pPr>
                </w:p>
              </w:tc>
              <w:tc>
                <w:tcPr>
                  <w:tcW w:w="725"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000000" w:themeColor="text1"/>
                      <w:sz w:val="21"/>
                      <w:lang w:val="en-US" w:eastAsia="zh-CN"/>
                      <w14:textFill>
                        <w14:solidFill>
                          <w14:schemeClr w14:val="tx1"/>
                        </w14:solidFill>
                      </w14:textFill>
                    </w:rPr>
                    <w:t>磨粉工序</w:t>
                  </w:r>
                </w:p>
              </w:tc>
              <w:tc>
                <w:tcPr>
                  <w:tcW w:w="2348" w:type="pct"/>
                  <w:vMerge w:val="continue"/>
                  <w:tcBorders>
                    <w:tl2br w:val="nil"/>
                    <w:tr2bl w:val="nil"/>
                  </w:tcBorders>
                  <w:noWrap w:val="0"/>
                  <w:tcMar>
                    <w:top w:w="57" w:type="dxa"/>
                    <w:bottom w:w="57" w:type="dxa"/>
                  </w:tcMar>
                  <w:vAlign w:val="center"/>
                </w:tcPr>
                <w:p>
                  <w:pPr>
                    <w:pStyle w:val="35"/>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both"/>
                    <w:textAlignment w:val="auto"/>
                    <w:rPr>
                      <w:rFonts w:hint="default" w:ascii="Times New Roman" w:hAnsi="Times New Roman" w:eastAsia="宋体" w:cs="Times New Roman"/>
                      <w:color w:val="auto"/>
                      <w:sz w:val="21"/>
                      <w:szCs w:val="21"/>
                    </w:rPr>
                  </w:pPr>
                </w:p>
              </w:tc>
              <w:tc>
                <w:tcPr>
                  <w:tcW w:w="683"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rPr>
                      <w:rFonts w:hint="default"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6" w:hRule="atLeast"/>
              </w:trPr>
              <w:tc>
                <w:tcPr>
                  <w:tcW w:w="661"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rPr>
                  </w:pPr>
                </w:p>
              </w:tc>
              <w:tc>
                <w:tcPr>
                  <w:tcW w:w="580"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rPr>
                  </w:pPr>
                </w:p>
              </w:tc>
              <w:tc>
                <w:tcPr>
                  <w:tcW w:w="725"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000000" w:themeColor="text1"/>
                      <w:sz w:val="21"/>
                      <w:lang w:val="en-US" w:eastAsia="zh-CN"/>
                      <w14:textFill>
                        <w14:solidFill>
                          <w14:schemeClr w14:val="tx1"/>
                        </w14:solidFill>
                      </w14:textFill>
                    </w:rPr>
                    <w:t>筛分工序</w:t>
                  </w:r>
                </w:p>
              </w:tc>
              <w:tc>
                <w:tcPr>
                  <w:tcW w:w="2348" w:type="pct"/>
                  <w:vMerge w:val="continue"/>
                  <w:tcBorders>
                    <w:tl2br w:val="nil"/>
                    <w:tr2bl w:val="nil"/>
                  </w:tcBorders>
                  <w:noWrap w:val="0"/>
                  <w:tcMar>
                    <w:top w:w="57" w:type="dxa"/>
                    <w:bottom w:w="57" w:type="dxa"/>
                  </w:tcMar>
                  <w:vAlign w:val="center"/>
                </w:tcPr>
                <w:p>
                  <w:pPr>
                    <w:pStyle w:val="35"/>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both"/>
                    <w:textAlignment w:val="auto"/>
                    <w:rPr>
                      <w:rFonts w:hint="default" w:ascii="Times New Roman" w:hAnsi="Times New Roman" w:eastAsia="宋体" w:cs="Times New Roman"/>
                      <w:color w:val="auto"/>
                      <w:sz w:val="21"/>
                      <w:szCs w:val="21"/>
                    </w:rPr>
                  </w:pPr>
                </w:p>
              </w:tc>
              <w:tc>
                <w:tcPr>
                  <w:tcW w:w="683"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rPr>
                      <w:rFonts w:hint="default"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6" w:hRule="atLeast"/>
              </w:trPr>
              <w:tc>
                <w:tcPr>
                  <w:tcW w:w="661"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rPr>
                  </w:pPr>
                </w:p>
              </w:tc>
              <w:tc>
                <w:tcPr>
                  <w:tcW w:w="580"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rPr>
                  </w:pPr>
                </w:p>
              </w:tc>
              <w:tc>
                <w:tcPr>
                  <w:tcW w:w="725"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000000" w:themeColor="text1"/>
                      <w:sz w:val="21"/>
                      <w:lang w:val="en-US" w:eastAsia="zh-CN"/>
                      <w14:textFill>
                        <w14:solidFill>
                          <w14:schemeClr w14:val="tx1"/>
                        </w14:solidFill>
                      </w14:textFill>
                    </w:rPr>
                    <w:t>混合工序</w:t>
                  </w:r>
                </w:p>
              </w:tc>
              <w:tc>
                <w:tcPr>
                  <w:tcW w:w="2348" w:type="pct"/>
                  <w:vMerge w:val="continue"/>
                  <w:tcBorders>
                    <w:tl2br w:val="nil"/>
                    <w:tr2bl w:val="nil"/>
                  </w:tcBorders>
                  <w:noWrap w:val="0"/>
                  <w:tcMar>
                    <w:top w:w="57" w:type="dxa"/>
                    <w:bottom w:w="57" w:type="dxa"/>
                  </w:tcMar>
                  <w:vAlign w:val="center"/>
                </w:tcPr>
                <w:p>
                  <w:pPr>
                    <w:pStyle w:val="35"/>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both"/>
                    <w:textAlignment w:val="auto"/>
                    <w:rPr>
                      <w:rFonts w:hint="default" w:ascii="Times New Roman" w:hAnsi="Times New Roman" w:eastAsia="宋体" w:cs="Times New Roman"/>
                      <w:color w:val="auto"/>
                      <w:sz w:val="21"/>
                      <w:szCs w:val="21"/>
                    </w:rPr>
                  </w:pPr>
                </w:p>
              </w:tc>
              <w:tc>
                <w:tcPr>
                  <w:tcW w:w="683"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rPr>
                      <w:rFonts w:hint="default"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7" w:hRule="atLeast"/>
              </w:trPr>
              <w:tc>
                <w:tcPr>
                  <w:tcW w:w="661"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rPr>
                  </w:pPr>
                </w:p>
              </w:tc>
              <w:tc>
                <w:tcPr>
                  <w:tcW w:w="580"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w:t>
                  </w:r>
                </w:p>
              </w:tc>
              <w:tc>
                <w:tcPr>
                  <w:tcW w:w="725" w:type="pct"/>
                  <w:tcBorders>
                    <w:tl2br w:val="nil"/>
                    <w:tr2bl w:val="nil"/>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机械噪声</w:t>
                  </w:r>
                </w:p>
              </w:tc>
              <w:tc>
                <w:tcPr>
                  <w:tcW w:w="2348"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000000" w:themeColor="text1"/>
                      <w:sz w:val="21"/>
                      <w:lang w:val="en-US" w:eastAsia="zh-CN"/>
                      <w14:textFill>
                        <w14:solidFill>
                          <w14:schemeClr w14:val="tx1"/>
                        </w14:solidFill>
                      </w14:textFill>
                    </w:rPr>
                    <w:t>隔声、减振、选用低噪声设备，定期养护维修</w:t>
                  </w:r>
                </w:p>
              </w:tc>
              <w:tc>
                <w:tcPr>
                  <w:tcW w:w="683"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trPr>
              <w:tc>
                <w:tcPr>
                  <w:tcW w:w="661"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rPr>
                  </w:pPr>
                </w:p>
              </w:tc>
              <w:tc>
                <w:tcPr>
                  <w:tcW w:w="580" w:type="pct"/>
                  <w:vMerge w:val="restar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固体</w:t>
                  </w:r>
                </w:p>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废物</w:t>
                  </w:r>
                </w:p>
              </w:tc>
              <w:tc>
                <w:tcPr>
                  <w:tcW w:w="725" w:type="pct"/>
                  <w:tcBorders>
                    <w:tl2br w:val="nil"/>
                    <w:tr2bl w:val="nil"/>
                  </w:tcBorders>
                  <w:shd w:val="clear" w:color="auto" w:fill="auto"/>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snapToGrid/>
                      <w:color w:val="auto"/>
                      <w:kern w:val="2"/>
                      <w:sz w:val="21"/>
                      <w:szCs w:val="22"/>
                      <w:highlight w:val="none"/>
                      <w:lang w:val="en-US" w:eastAsia="zh-CN" w:bidi="ar-SA"/>
                      <w14:ligatures w14:val="standardContextual"/>
                    </w:rPr>
                  </w:pPr>
                  <w:r>
                    <w:rPr>
                      <w:rFonts w:hint="eastAsia" w:ascii="Times New Roman" w:hAnsi="Times New Roman" w:eastAsia="宋体" w:cs="Times New Roman"/>
                      <w:color w:val="auto"/>
                      <w:sz w:val="21"/>
                      <w:highlight w:val="none"/>
                      <w:lang w:val="en-US" w:eastAsia="zh-CN"/>
                    </w:rPr>
                    <w:t>不合格的粗渣</w:t>
                  </w:r>
                </w:p>
              </w:tc>
              <w:tc>
                <w:tcPr>
                  <w:tcW w:w="2348" w:type="pct"/>
                  <w:tcBorders>
                    <w:tl2br w:val="nil"/>
                    <w:tr2bl w:val="nil"/>
                  </w:tcBorders>
                  <w:shd w:val="clear" w:color="auto" w:fill="auto"/>
                  <w:noWrap w:val="0"/>
                  <w:tcMar>
                    <w:top w:w="57" w:type="dxa"/>
                    <w:bottom w:w="57" w:type="dxa"/>
                  </w:tcMar>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snapToGrid/>
                      <w:color w:val="auto"/>
                      <w:kern w:val="2"/>
                      <w:sz w:val="21"/>
                      <w:szCs w:val="22"/>
                      <w:highlight w:val="none"/>
                      <w:lang w:val="en-US" w:eastAsia="zh-CN" w:bidi="ar-SA"/>
                      <w14:ligatures w14:val="standardContextual"/>
                    </w:rPr>
                  </w:pPr>
                  <w:r>
                    <w:rPr>
                      <w:rFonts w:hint="eastAsia" w:ascii="Times New Roman" w:hAnsi="Times New Roman" w:eastAsia="宋体" w:cs="Times New Roman"/>
                      <w:color w:val="auto"/>
                      <w:sz w:val="21"/>
                      <w:highlight w:val="none"/>
                      <w:lang w:val="en-US" w:eastAsia="zh-CN"/>
                    </w:rPr>
                    <w:t>回用于生产</w:t>
                  </w:r>
                </w:p>
              </w:tc>
              <w:tc>
                <w:tcPr>
                  <w:tcW w:w="683"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90" w:hRule="atLeast"/>
              </w:trPr>
              <w:tc>
                <w:tcPr>
                  <w:tcW w:w="661"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rPr>
                  </w:pPr>
                </w:p>
              </w:tc>
              <w:tc>
                <w:tcPr>
                  <w:tcW w:w="580"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rPr>
                  </w:pPr>
                </w:p>
              </w:tc>
              <w:tc>
                <w:tcPr>
                  <w:tcW w:w="725" w:type="pct"/>
                  <w:tcBorders>
                    <w:tl2br w:val="nil"/>
                    <w:tr2bl w:val="nil"/>
                  </w:tcBorders>
                  <w:shd w:val="clear" w:color="auto" w:fill="auto"/>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000000" w:themeColor="text1"/>
                      <w:sz w:val="21"/>
                      <w:lang w:val="en-US" w:eastAsia="zh-CN"/>
                      <w14:textFill>
                        <w14:solidFill>
                          <w14:schemeClr w14:val="tx1"/>
                        </w14:solidFill>
                      </w14:textFill>
                    </w:rPr>
                    <w:t>废铁</w:t>
                  </w:r>
                </w:p>
              </w:tc>
              <w:tc>
                <w:tcPr>
                  <w:tcW w:w="2348" w:type="pct"/>
                  <w:tcBorders>
                    <w:tl2br w:val="nil"/>
                    <w:tr2bl w:val="nil"/>
                  </w:tcBorders>
                  <w:shd w:val="clear" w:color="auto" w:fill="auto"/>
                  <w:noWrap w:val="0"/>
                  <w:tcMar>
                    <w:top w:w="57" w:type="dxa"/>
                    <w:bottom w:w="57" w:type="dxa"/>
                  </w:tcMar>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集中收集，作为废品外售</w:t>
                  </w:r>
                </w:p>
              </w:tc>
              <w:tc>
                <w:tcPr>
                  <w:tcW w:w="683"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rPr>
                      <w:rFonts w:hint="default" w:cs="Times New Roman"/>
                      <w:color w:val="auto"/>
                      <w:sz w:val="21"/>
                      <w:szCs w:val="21"/>
                      <w:lang w:val="en-US" w:eastAsia="zh-CN"/>
                    </w:rPr>
                  </w:pPr>
                  <w:r>
                    <w:rPr>
                      <w:rFonts w:hint="eastAsia" w:cs="Times New Roman"/>
                      <w:color w:val="auto"/>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4" w:hRule="atLeast"/>
              </w:trPr>
              <w:tc>
                <w:tcPr>
                  <w:tcW w:w="661"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rPr>
                  </w:pPr>
                </w:p>
              </w:tc>
              <w:tc>
                <w:tcPr>
                  <w:tcW w:w="580"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rPr>
                  </w:pPr>
                </w:p>
              </w:tc>
              <w:tc>
                <w:tcPr>
                  <w:tcW w:w="725"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auto"/>
                      <w:sz w:val="21"/>
                      <w:highlight w:val="none"/>
                      <w:lang w:val="en-US" w:eastAsia="zh-CN"/>
                    </w:rPr>
                    <w:t>除尘灰、废布袋</w:t>
                  </w:r>
                </w:p>
              </w:tc>
              <w:tc>
                <w:tcPr>
                  <w:tcW w:w="2348" w:type="pct"/>
                  <w:tcBorders>
                    <w:tl2br w:val="nil"/>
                    <w:tr2bl w:val="nil"/>
                  </w:tcBorders>
                  <w:noWrap w:val="0"/>
                  <w:tcMar>
                    <w:top w:w="57" w:type="dxa"/>
                    <w:bottom w:w="57" w:type="dxa"/>
                  </w:tcMar>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auto"/>
                      <w:sz w:val="21"/>
                      <w:highlight w:val="none"/>
                      <w:lang w:val="en-US" w:eastAsia="zh-CN"/>
                    </w:rPr>
                    <w:t>除尘灰集中收集后回用生产；</w:t>
                  </w:r>
                  <w:r>
                    <w:rPr>
                      <w:rFonts w:hint="default" w:ascii="Times New Roman" w:hAnsi="Times New Roman" w:eastAsia="宋体" w:cs="Times New Roman"/>
                      <w:color w:val="auto"/>
                      <w:sz w:val="21"/>
                      <w:highlight w:val="none"/>
                      <w:lang w:val="en-US" w:eastAsia="zh-CN"/>
                    </w:rPr>
                    <w:t>除尘器产生的废布袋交由厂家回收处理</w:t>
                  </w:r>
                </w:p>
              </w:tc>
              <w:tc>
                <w:tcPr>
                  <w:tcW w:w="683"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0" w:hRule="atLeast"/>
              </w:trPr>
              <w:tc>
                <w:tcPr>
                  <w:tcW w:w="661"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rPr>
                  </w:pPr>
                </w:p>
              </w:tc>
              <w:tc>
                <w:tcPr>
                  <w:tcW w:w="580"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rPr>
                  </w:pPr>
                </w:p>
              </w:tc>
              <w:tc>
                <w:tcPr>
                  <w:tcW w:w="725"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auto"/>
                      <w:sz w:val="21"/>
                      <w:highlight w:val="none"/>
                      <w:lang w:val="en-US" w:eastAsia="zh-CN"/>
                    </w:rPr>
                    <w:t>废机油、废油桶</w:t>
                  </w:r>
                </w:p>
              </w:tc>
              <w:tc>
                <w:tcPr>
                  <w:tcW w:w="2348" w:type="pct"/>
                  <w:tcBorders>
                    <w:tl2br w:val="nil"/>
                    <w:tr2bl w:val="nil"/>
                  </w:tcBorders>
                  <w:noWrap w:val="0"/>
                  <w:tcMar>
                    <w:top w:w="57" w:type="dxa"/>
                    <w:bottom w:w="57" w:type="dxa"/>
                  </w:tcMar>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auto"/>
                      <w:sz w:val="21"/>
                      <w:highlight w:val="none"/>
                      <w:lang w:val="en-US" w:eastAsia="zh-CN"/>
                    </w:rPr>
                    <w:t>集中收集，暂存于危废贮存点，定期交由资质单位处理</w:t>
                  </w:r>
                </w:p>
              </w:tc>
              <w:tc>
                <w:tcPr>
                  <w:tcW w:w="683"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0" w:hRule="atLeast"/>
              </w:trPr>
              <w:tc>
                <w:tcPr>
                  <w:tcW w:w="661"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rPr>
                  </w:pPr>
                </w:p>
              </w:tc>
              <w:tc>
                <w:tcPr>
                  <w:tcW w:w="580"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rPr>
                  </w:pPr>
                </w:p>
              </w:tc>
              <w:tc>
                <w:tcPr>
                  <w:tcW w:w="725"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auto"/>
                      <w:sz w:val="21"/>
                      <w:highlight w:val="none"/>
                      <w:lang w:val="en-US" w:eastAsia="zh-CN"/>
                    </w:rPr>
                    <w:t>生活垃圾</w:t>
                  </w:r>
                </w:p>
              </w:tc>
              <w:tc>
                <w:tcPr>
                  <w:tcW w:w="2348" w:type="pct"/>
                  <w:tcBorders>
                    <w:tl2br w:val="nil"/>
                    <w:tr2bl w:val="nil"/>
                  </w:tcBorders>
                  <w:noWrap w:val="0"/>
                  <w:tcMar>
                    <w:top w:w="57" w:type="dxa"/>
                    <w:bottom w:w="57" w:type="dxa"/>
                  </w:tcMar>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kern w:val="2"/>
                      <w:sz w:val="21"/>
                      <w:szCs w:val="21"/>
                      <w:highlight w:val="none"/>
                      <w:lang w:val="en-US" w:eastAsia="zh-CN" w:bidi="ar"/>
                    </w:rPr>
                    <w:t>集中收集后由当地环卫部门统一处理</w:t>
                  </w:r>
                </w:p>
              </w:tc>
              <w:tc>
                <w:tcPr>
                  <w:tcW w:w="683"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trPr>
              <w:tc>
                <w:tcPr>
                  <w:tcW w:w="4316" w:type="pct"/>
                  <w:gridSpan w:val="4"/>
                  <w:tcBorders>
                    <w:tl2br w:val="nil"/>
                    <w:tr2bl w:val="nil"/>
                  </w:tcBorders>
                  <w:noWrap w:val="0"/>
                  <w:vAlign w:val="top"/>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合计</w:t>
                  </w:r>
                </w:p>
              </w:tc>
              <w:tc>
                <w:tcPr>
                  <w:tcW w:w="683"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24</w:t>
                  </w:r>
                </w:p>
              </w:tc>
            </w:tr>
          </w:tbl>
          <w:p>
            <w:pPr>
              <w:ind w:firstLine="480" w:firstLineChars="200"/>
              <w:rPr>
                <w:rFonts w:hint="default" w:ascii="Times New Roman" w:hAnsi="Times New Roman" w:cs="Times New Roman"/>
                <w:color w:val="auto"/>
              </w:rPr>
            </w:pPr>
          </w:p>
        </w:tc>
      </w:tr>
    </w:tbl>
    <w:p>
      <w:pPr>
        <w:jc w:val="center"/>
        <w:outlineLvl w:val="0"/>
        <w:rPr>
          <w:rFonts w:hint="eastAsia" w:ascii="黑体" w:hAnsi="黑体" w:eastAsia="黑体"/>
          <w:color w:val="auto"/>
          <w:sz w:val="30"/>
          <w:szCs w:val="30"/>
        </w:rPr>
        <w:sectPr>
          <w:footerReference r:id="rId10" w:type="default"/>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jc w:val="center"/>
        <w:outlineLvl w:val="0"/>
        <w:rPr>
          <w:rFonts w:ascii="黑体" w:hAnsi="黑体" w:eastAsia="黑体"/>
          <w:color w:val="auto"/>
          <w:sz w:val="30"/>
          <w:szCs w:val="30"/>
        </w:rPr>
      </w:pPr>
      <w:r>
        <w:rPr>
          <w:rFonts w:hint="eastAsia" w:ascii="黑体" w:hAnsi="黑体" w:eastAsia="黑体"/>
          <w:color w:val="auto"/>
          <w:sz w:val="30"/>
          <w:szCs w:val="30"/>
        </w:rPr>
        <w:t>五、</w:t>
      </w:r>
      <w:bookmarkStart w:id="23" w:name="_Hlk54167917"/>
      <w:r>
        <w:rPr>
          <w:rFonts w:hint="eastAsia" w:ascii="黑体" w:hAnsi="黑体" w:eastAsia="黑体"/>
          <w:color w:val="auto"/>
          <w:sz w:val="30"/>
          <w:szCs w:val="30"/>
        </w:rPr>
        <w:t>环境保护措施监督检查清单</w:t>
      </w:r>
      <w:bookmarkEnd w:id="23"/>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1741"/>
        <w:gridCol w:w="1266"/>
        <w:gridCol w:w="1968"/>
        <w:gridCol w:w="26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tcBorders>
              <w:tl2br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内容</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要素</w:t>
            </w:r>
          </w:p>
        </w:tc>
        <w:tc>
          <w:tcPr>
            <w:tcW w:w="17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排放口（编号、</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名称）/污染源</w:t>
            </w:r>
          </w:p>
        </w:tc>
        <w:tc>
          <w:tcPr>
            <w:tcW w:w="12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w:t>
            </w:r>
          </w:p>
        </w:tc>
        <w:tc>
          <w:tcPr>
            <w:tcW w:w="196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环境保护措施</w:t>
            </w:r>
          </w:p>
        </w:tc>
        <w:tc>
          <w:tcPr>
            <w:tcW w:w="26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17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大气环境</w:t>
            </w:r>
          </w:p>
        </w:tc>
        <w:tc>
          <w:tcPr>
            <w:tcW w:w="17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lang w:val="en-US" w:eastAsia="zh-CN" w:bidi="ar-SA"/>
                <w14:ligatures w14:val="none"/>
              </w:rPr>
            </w:pPr>
            <w:r>
              <w:rPr>
                <w:rFonts w:hint="eastAsia" w:ascii="Times New Roman" w:hAnsi="Times New Roman" w:eastAsia="宋体" w:cs="Times New Roman"/>
                <w:color w:val="000000" w:themeColor="text1"/>
                <w:sz w:val="21"/>
                <w:lang w:val="en-US" w:eastAsia="zh-CN"/>
                <w14:textFill>
                  <w14:solidFill>
                    <w14:schemeClr w14:val="tx1"/>
                  </w14:solidFill>
                </w14:textFill>
              </w:rPr>
              <w:t>车辆运输扬尘</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lang w:val="en-US" w:eastAsia="zh-CN" w:bidi="ar-SA"/>
                <w14:ligatures w14:val="none"/>
              </w:rPr>
            </w:pPr>
            <w:r>
              <w:rPr>
                <w:rFonts w:hint="default" w:ascii="Times New Roman" w:hAnsi="Times New Roman" w:eastAsia="宋体" w:cs="Times New Roman"/>
                <w:color w:val="auto"/>
                <w:sz w:val="21"/>
                <w:szCs w:val="21"/>
              </w:rPr>
              <w:t>颗粒物</w:t>
            </w:r>
          </w:p>
        </w:tc>
        <w:tc>
          <w:tcPr>
            <w:tcW w:w="196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lang w:val="en-US" w:eastAsia="zh-CN" w:bidi="ar-SA"/>
                <w14:ligatures w14:val="none"/>
              </w:rPr>
            </w:pPr>
            <w:r>
              <w:rPr>
                <w:rFonts w:hint="default" w:ascii="Times New Roman" w:hAnsi="Times New Roman" w:eastAsia="宋体" w:cs="Times New Roman"/>
                <w:i w:val="0"/>
                <w:iCs w:val="0"/>
                <w:snapToGrid w:val="0"/>
                <w:color w:val="auto"/>
                <w:kern w:val="0"/>
                <w:sz w:val="21"/>
                <w:szCs w:val="21"/>
                <w:u w:val="none"/>
                <w:lang w:val="en-US" w:eastAsia="zh-CN" w:bidi="ar"/>
                <w14:ligatures w14:val="none"/>
              </w:rPr>
              <w:t>洒水抑尘</w:t>
            </w:r>
          </w:p>
        </w:tc>
        <w:tc>
          <w:tcPr>
            <w:tcW w:w="265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《大气污染物综合排放标准》</w:t>
            </w:r>
            <w:r>
              <w:rPr>
                <w:rFonts w:hint="eastAsia"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GB16297-1996</w:t>
            </w:r>
            <w:r>
              <w:rPr>
                <w:rFonts w:hint="eastAsia" w:cs="Times New Roman"/>
                <w:color w:val="auto"/>
                <w:sz w:val="21"/>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表2中排放浓度限值</w:t>
            </w:r>
            <w:r>
              <w:rPr>
                <w:rFonts w:hint="eastAsia" w:cs="Times New Roman"/>
                <w:color w:val="auto"/>
                <w:sz w:val="21"/>
                <w:szCs w:val="21"/>
                <w:lang w:val="en-US" w:eastAsia="zh-CN"/>
              </w:rPr>
              <w:t>，</w:t>
            </w:r>
            <w:r>
              <w:rPr>
                <w:rFonts w:hint="default" w:ascii="Times New Roman" w:hAnsi="Times New Roman" w:eastAsia="宋体" w:cs="Times New Roman"/>
                <w:snapToGrid w:val="0"/>
                <w:color w:val="auto"/>
                <w:kern w:val="0"/>
                <w:sz w:val="21"/>
                <w:szCs w:val="21"/>
                <w:lang w:val="en-US" w:eastAsia="zh-CN" w:bidi="ar-SA"/>
                <w14:ligatures w14:val="none"/>
              </w:rPr>
              <w:t>《恶臭污染物排放标准》（GB14554-93）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17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1741" w:type="dxa"/>
            <w:shd w:val="clear" w:color="auto" w:fill="auto"/>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磨粉工序</w:t>
            </w:r>
          </w:p>
        </w:tc>
        <w:tc>
          <w:tcPr>
            <w:tcW w:w="126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颗粒物</w:t>
            </w:r>
            <w:r>
              <w:rPr>
                <w:rFonts w:hint="eastAsia" w:cs="Times New Roman"/>
                <w:color w:val="auto"/>
                <w:sz w:val="21"/>
                <w:szCs w:val="21"/>
                <w:lang w:eastAsia="zh-CN"/>
              </w:rPr>
              <w:t>、</w:t>
            </w:r>
            <w:r>
              <w:rPr>
                <w:rFonts w:hint="eastAsia" w:cs="Times New Roman"/>
                <w:color w:val="auto"/>
                <w:sz w:val="21"/>
                <w:szCs w:val="21"/>
                <w:lang w:val="en-US" w:eastAsia="zh-CN"/>
              </w:rPr>
              <w:t>臭气浓度</w:t>
            </w:r>
          </w:p>
        </w:tc>
        <w:tc>
          <w:tcPr>
            <w:tcW w:w="1968"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布袋除尘器+15m排气筒（DA001）排放</w:t>
            </w:r>
          </w:p>
        </w:tc>
        <w:tc>
          <w:tcPr>
            <w:tcW w:w="2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17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pPr>
          </w:p>
        </w:tc>
        <w:tc>
          <w:tcPr>
            <w:tcW w:w="1741" w:type="dxa"/>
            <w:shd w:val="clear" w:color="auto" w:fill="auto"/>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cs="Times New Roman"/>
                <w:color w:val="auto"/>
                <w:sz w:val="21"/>
                <w:szCs w:val="21"/>
                <w:lang w:val="en-US" w:eastAsia="zh-CN"/>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筛分工序</w:t>
            </w:r>
          </w:p>
        </w:tc>
        <w:tc>
          <w:tcPr>
            <w:tcW w:w="126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lang w:val="en-US" w:eastAsia="zh-CN"/>
              </w:rPr>
            </w:pPr>
          </w:p>
        </w:tc>
        <w:tc>
          <w:tcPr>
            <w:tcW w:w="196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lang w:val="en-US" w:eastAsia="zh-CN"/>
              </w:rPr>
            </w:pPr>
          </w:p>
        </w:tc>
        <w:tc>
          <w:tcPr>
            <w:tcW w:w="2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17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lang w:val="en-US" w:eastAsia="zh-CN"/>
              </w:rPr>
            </w:pPr>
          </w:p>
        </w:tc>
        <w:tc>
          <w:tcPr>
            <w:tcW w:w="1741" w:type="dxa"/>
            <w:shd w:val="clear" w:color="auto" w:fill="auto"/>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cs="Times New Roman"/>
                <w:color w:val="auto"/>
                <w:sz w:val="21"/>
                <w:szCs w:val="21"/>
                <w:lang w:val="en-US" w:eastAsia="zh-CN"/>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混合工序</w:t>
            </w:r>
          </w:p>
        </w:tc>
        <w:tc>
          <w:tcPr>
            <w:tcW w:w="126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lang w:val="en-US" w:eastAsia="zh-CN"/>
              </w:rPr>
            </w:pPr>
          </w:p>
        </w:tc>
        <w:tc>
          <w:tcPr>
            <w:tcW w:w="196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lang w:val="en-US" w:eastAsia="zh-CN"/>
              </w:rPr>
            </w:pPr>
          </w:p>
        </w:tc>
        <w:tc>
          <w:tcPr>
            <w:tcW w:w="2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17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lang w:val="en-US" w:eastAsia="zh-CN"/>
              </w:rPr>
            </w:pPr>
          </w:p>
        </w:tc>
        <w:tc>
          <w:tcPr>
            <w:tcW w:w="1741" w:type="dxa"/>
            <w:shd w:val="clear" w:color="auto" w:fill="auto"/>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上料</w:t>
            </w:r>
          </w:p>
        </w:tc>
        <w:tc>
          <w:tcPr>
            <w:tcW w:w="126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lang w:val="en-US" w:eastAsia="zh-CN"/>
              </w:rPr>
            </w:pPr>
          </w:p>
        </w:tc>
        <w:tc>
          <w:tcPr>
            <w:tcW w:w="196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lang w:val="en-US" w:eastAsia="zh-CN"/>
              </w:rPr>
            </w:pPr>
          </w:p>
        </w:tc>
        <w:tc>
          <w:tcPr>
            <w:tcW w:w="2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17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lang w:val="en-US" w:eastAsia="zh-CN"/>
              </w:rPr>
            </w:pPr>
          </w:p>
        </w:tc>
        <w:tc>
          <w:tcPr>
            <w:tcW w:w="1741" w:type="dxa"/>
            <w:shd w:val="clear" w:color="auto" w:fill="auto"/>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造粒</w:t>
            </w:r>
          </w:p>
        </w:tc>
        <w:tc>
          <w:tcPr>
            <w:tcW w:w="126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lang w:val="en-US" w:eastAsia="zh-CN"/>
              </w:rPr>
            </w:pPr>
          </w:p>
        </w:tc>
        <w:tc>
          <w:tcPr>
            <w:tcW w:w="196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lang w:val="en-US" w:eastAsia="zh-CN"/>
              </w:rPr>
            </w:pPr>
          </w:p>
        </w:tc>
        <w:tc>
          <w:tcPr>
            <w:tcW w:w="2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地表水环境</w:t>
            </w:r>
          </w:p>
        </w:tc>
        <w:tc>
          <w:tcPr>
            <w:tcW w:w="17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2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96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26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声环境</w:t>
            </w:r>
          </w:p>
        </w:tc>
        <w:tc>
          <w:tcPr>
            <w:tcW w:w="17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生产设备</w:t>
            </w:r>
          </w:p>
        </w:tc>
        <w:tc>
          <w:tcPr>
            <w:tcW w:w="12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w:t>
            </w:r>
          </w:p>
        </w:tc>
        <w:tc>
          <w:tcPr>
            <w:tcW w:w="196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选用低噪声设备，厂房隔声、减振</w:t>
            </w:r>
          </w:p>
        </w:tc>
        <w:tc>
          <w:tcPr>
            <w:tcW w:w="26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《工业企业厂界环境噪声排放标准》（GB12348-2008）中</w:t>
            </w:r>
            <w:r>
              <w:rPr>
                <w:rFonts w:hint="eastAsia" w:cs="Times New Roman"/>
                <w:color w:val="auto"/>
                <w:sz w:val="21"/>
                <w:szCs w:val="21"/>
                <w:lang w:val="en-US" w:eastAsia="zh-CN"/>
              </w:rPr>
              <w:t>3</w:t>
            </w:r>
            <w:r>
              <w:rPr>
                <w:rFonts w:hint="default" w:ascii="Times New Roman" w:hAnsi="Times New Roman" w:eastAsia="宋体" w:cs="Times New Roman"/>
                <w:color w:val="auto"/>
                <w:sz w:val="21"/>
                <w:szCs w:val="21"/>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电磁辐射</w:t>
            </w:r>
          </w:p>
        </w:tc>
        <w:tc>
          <w:tcPr>
            <w:tcW w:w="17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12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196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26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固体废物</w:t>
            </w:r>
          </w:p>
        </w:tc>
        <w:tc>
          <w:tcPr>
            <w:tcW w:w="1741" w:type="dxa"/>
            <w:shd w:val="clear" w:color="auto" w:fill="auto"/>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0"/>
                <w:sz w:val="21"/>
                <w:szCs w:val="21"/>
                <w:lang w:val="en-US" w:eastAsia="zh-CN" w:bidi="ar-SA"/>
                <w14:ligatures w14:val="none"/>
              </w:rPr>
            </w:pPr>
            <w:r>
              <w:rPr>
                <w:rFonts w:hint="eastAsia" w:ascii="Times New Roman" w:hAnsi="Times New Roman" w:eastAsia="宋体" w:cs="Times New Roman"/>
                <w:color w:val="auto"/>
                <w:sz w:val="21"/>
                <w:highlight w:val="none"/>
                <w:lang w:val="en-US" w:eastAsia="zh-CN"/>
              </w:rPr>
              <w:t>筛分工序</w:t>
            </w:r>
          </w:p>
        </w:tc>
        <w:tc>
          <w:tcPr>
            <w:tcW w:w="1266" w:type="dxa"/>
            <w:shd w:val="clear" w:color="auto" w:fill="auto"/>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0"/>
                <w:sz w:val="21"/>
                <w:szCs w:val="21"/>
                <w:lang w:val="en-US" w:eastAsia="zh-CN" w:bidi="ar-SA"/>
                <w14:ligatures w14:val="none"/>
              </w:rPr>
            </w:pPr>
            <w:r>
              <w:rPr>
                <w:rFonts w:hint="eastAsia" w:ascii="Times New Roman" w:hAnsi="Times New Roman" w:eastAsia="宋体" w:cs="Times New Roman"/>
                <w:color w:val="auto"/>
                <w:sz w:val="21"/>
                <w:highlight w:val="none"/>
                <w:lang w:val="en-US" w:eastAsia="zh-CN"/>
              </w:rPr>
              <w:t>不合格的粗渣</w:t>
            </w:r>
          </w:p>
        </w:tc>
        <w:tc>
          <w:tcPr>
            <w:tcW w:w="1968" w:type="dxa"/>
            <w:shd w:val="clear" w:color="auto" w:fill="auto"/>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snapToGrid/>
                <w:color w:val="auto"/>
                <w:kern w:val="2"/>
                <w:sz w:val="21"/>
                <w:szCs w:val="21"/>
                <w:lang w:val="en-US" w:eastAsia="zh-CN" w:bidi="ar-SA"/>
                <w14:ligatures w14:val="standardContextual"/>
              </w:rPr>
            </w:pPr>
            <w:r>
              <w:rPr>
                <w:rFonts w:hint="eastAsia" w:ascii="Times New Roman" w:hAnsi="Times New Roman" w:eastAsia="宋体" w:cs="Times New Roman"/>
                <w:color w:val="auto"/>
                <w:sz w:val="21"/>
                <w:highlight w:val="none"/>
                <w:lang w:val="en-US" w:eastAsia="zh-CN"/>
              </w:rPr>
              <w:t>回用于生产</w:t>
            </w:r>
          </w:p>
        </w:tc>
        <w:tc>
          <w:tcPr>
            <w:tcW w:w="2651" w:type="dxa"/>
            <w:vMerge w:val="restart"/>
            <w:vAlign w:val="center"/>
          </w:tcPr>
          <w:p>
            <w:pPr>
              <w:spacing w:line="240" w:lineRule="auto"/>
              <w:jc w:val="center"/>
              <w:rPr>
                <w:rFonts w:hint="default" w:ascii="Times New Roman" w:hAnsi="Times New Roman" w:eastAsia="宋体" w:cs="Times New Roman"/>
                <w:color w:val="auto"/>
                <w:sz w:val="21"/>
                <w:szCs w:val="21"/>
              </w:rPr>
            </w:pPr>
            <w:r>
              <w:rPr>
                <w:rFonts w:hint="eastAsia"/>
                <w:color w:val="auto"/>
                <w:sz w:val="21"/>
                <w:szCs w:val="21"/>
                <w:highlight w:val="none"/>
                <w:lang w:eastAsia="zh-CN"/>
              </w:rPr>
              <w:t>《</w:t>
            </w:r>
            <w:r>
              <w:rPr>
                <w:rFonts w:hint="eastAsia"/>
                <w:color w:val="auto"/>
                <w:sz w:val="21"/>
                <w:szCs w:val="21"/>
                <w:highlight w:val="none"/>
              </w:rPr>
              <w:t>一般工业固体废物贮存和填埋污染控制标准》（GB 18599-2020）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1741" w:type="dxa"/>
            <w:shd w:val="clear" w:color="auto" w:fill="auto"/>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highlight w:val="none"/>
                <w:lang w:val="en-US" w:eastAsia="zh-CN"/>
              </w:rPr>
              <w:t>磨粉、筛分、混合工序</w:t>
            </w:r>
          </w:p>
        </w:tc>
        <w:tc>
          <w:tcPr>
            <w:tcW w:w="1266" w:type="dxa"/>
            <w:shd w:val="clear" w:color="auto" w:fill="auto"/>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highlight w:val="none"/>
                <w:lang w:val="en-US" w:eastAsia="zh-CN"/>
              </w:rPr>
              <w:t>除尘灰、废布袋</w:t>
            </w:r>
          </w:p>
        </w:tc>
        <w:tc>
          <w:tcPr>
            <w:tcW w:w="1968"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highlight w:val="none"/>
                <w:lang w:val="en-US" w:eastAsia="zh-CN"/>
              </w:rPr>
              <w:t>除尘灰集中收集后回用生产；</w:t>
            </w:r>
            <w:r>
              <w:rPr>
                <w:rFonts w:hint="default" w:ascii="Times New Roman" w:hAnsi="Times New Roman" w:eastAsia="宋体" w:cs="Times New Roman"/>
                <w:color w:val="auto"/>
                <w:sz w:val="21"/>
                <w:highlight w:val="none"/>
                <w:lang w:val="en-US" w:eastAsia="zh-CN"/>
              </w:rPr>
              <w:t>除尘器产生的废布袋交由厂家回收处理</w:t>
            </w:r>
          </w:p>
        </w:tc>
        <w:tc>
          <w:tcPr>
            <w:tcW w:w="2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1741" w:type="dxa"/>
            <w:shd w:val="clear" w:color="auto" w:fill="auto"/>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000000" w:themeColor="text1"/>
                <w:sz w:val="21"/>
                <w:lang w:val="en-US" w:eastAsia="zh-CN"/>
                <w14:textFill>
                  <w14:solidFill>
                    <w14:schemeClr w14:val="tx1"/>
                  </w14:solidFill>
                </w14:textFill>
              </w:rPr>
              <w:t>去磁工序</w:t>
            </w:r>
          </w:p>
        </w:tc>
        <w:tc>
          <w:tcPr>
            <w:tcW w:w="1266" w:type="dxa"/>
            <w:shd w:val="clear" w:color="auto" w:fill="auto"/>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000000" w:themeColor="text1"/>
                <w:sz w:val="21"/>
                <w:lang w:val="en-US" w:eastAsia="zh-CN"/>
                <w14:textFill>
                  <w14:solidFill>
                    <w14:schemeClr w14:val="tx1"/>
                  </w14:solidFill>
                </w14:textFill>
              </w:rPr>
              <w:t>废铁</w:t>
            </w:r>
          </w:p>
        </w:tc>
        <w:tc>
          <w:tcPr>
            <w:tcW w:w="1968"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集中收集，作为废品外售</w:t>
            </w:r>
          </w:p>
        </w:tc>
        <w:tc>
          <w:tcPr>
            <w:tcW w:w="2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1741" w:type="dxa"/>
            <w:shd w:val="clear" w:color="auto" w:fill="auto"/>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Times New Roman" w:hAnsi="Times New Roman" w:eastAsia="宋体" w:cs="Times New Roman"/>
                <w:snapToGrid w:val="0"/>
                <w:color w:val="auto"/>
                <w:kern w:val="0"/>
                <w:sz w:val="21"/>
                <w:szCs w:val="21"/>
                <w:lang w:val="en-US" w:eastAsia="zh-CN" w:bidi="ar-SA"/>
                <w14:ligatures w14:val="none"/>
              </w:rPr>
            </w:pPr>
            <w:r>
              <w:rPr>
                <w:rFonts w:hint="eastAsia" w:ascii="Times New Roman" w:hAnsi="Times New Roman" w:eastAsia="宋体" w:cs="Times New Roman"/>
                <w:color w:val="auto"/>
                <w:sz w:val="21"/>
                <w:highlight w:val="none"/>
                <w:lang w:val="en-US" w:eastAsia="zh-CN"/>
              </w:rPr>
              <w:t>生产设备维修</w:t>
            </w:r>
          </w:p>
        </w:tc>
        <w:tc>
          <w:tcPr>
            <w:tcW w:w="1266" w:type="dxa"/>
            <w:shd w:val="clear" w:color="auto" w:fill="auto"/>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0"/>
                <w:sz w:val="21"/>
                <w:szCs w:val="21"/>
                <w:lang w:val="en-US" w:eastAsia="zh-CN" w:bidi="ar-SA"/>
                <w14:ligatures w14:val="none"/>
              </w:rPr>
            </w:pPr>
            <w:r>
              <w:rPr>
                <w:rFonts w:hint="eastAsia" w:ascii="Times New Roman" w:hAnsi="Times New Roman" w:eastAsia="宋体" w:cs="Times New Roman"/>
                <w:color w:val="auto"/>
                <w:sz w:val="21"/>
                <w:highlight w:val="none"/>
                <w:lang w:val="en-US" w:eastAsia="zh-CN"/>
              </w:rPr>
              <w:t>废机油、废油桶</w:t>
            </w:r>
          </w:p>
        </w:tc>
        <w:tc>
          <w:tcPr>
            <w:tcW w:w="1968" w:type="dxa"/>
            <w:shd w:val="clear" w:color="auto" w:fill="auto"/>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0"/>
                <w:sz w:val="21"/>
                <w:szCs w:val="21"/>
                <w:lang w:val="en-US" w:eastAsia="zh-CN" w:bidi="ar-SA"/>
                <w14:ligatures w14:val="none"/>
              </w:rPr>
            </w:pPr>
            <w:r>
              <w:rPr>
                <w:rFonts w:hint="eastAsia" w:ascii="Times New Roman" w:hAnsi="Times New Roman" w:eastAsia="宋体" w:cs="Times New Roman"/>
                <w:color w:val="auto"/>
                <w:sz w:val="21"/>
                <w:highlight w:val="none"/>
                <w:lang w:val="en-US" w:eastAsia="zh-CN"/>
              </w:rPr>
              <w:t>集中收集，暂存于危废贮存点，定期交由资质单位处理</w:t>
            </w:r>
          </w:p>
        </w:tc>
        <w:tc>
          <w:tcPr>
            <w:tcW w:w="2651" w:type="dxa"/>
            <w:shd w:val="clear" w:color="auto" w:fill="auto"/>
            <w:vAlign w:val="center"/>
          </w:tcPr>
          <w:p>
            <w:pPr>
              <w:spacing w:line="240" w:lineRule="auto"/>
              <w:jc w:val="center"/>
              <w:rPr>
                <w:rFonts w:hint="default" w:ascii="Times New Roman" w:hAnsi="Times New Roman" w:eastAsia="宋体" w:cs="Times New Roman"/>
                <w:snapToGrid w:val="0"/>
                <w:color w:val="auto"/>
                <w:kern w:val="0"/>
                <w:sz w:val="21"/>
                <w:szCs w:val="21"/>
                <w:lang w:val="en-US" w:eastAsia="zh-CN" w:bidi="ar-SA"/>
                <w14:ligatures w14:val="none"/>
              </w:rPr>
            </w:pPr>
            <w:r>
              <w:rPr>
                <w:rFonts w:hint="default" w:ascii="Times New Roman" w:hAnsi="Times New Roman" w:eastAsia="宋体" w:cs="Times New Roman"/>
                <w:color w:val="auto"/>
                <w:sz w:val="21"/>
                <w:szCs w:val="21"/>
              </w:rPr>
              <w:t>《危险废弃物贮存污染控制标准》（GB18597-2023）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1741" w:type="dxa"/>
            <w:shd w:val="clear" w:color="auto" w:fill="auto"/>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Times New Roman" w:hAnsi="Times New Roman" w:eastAsia="宋体" w:cs="Times New Roman"/>
                <w:snapToGrid w:val="0"/>
                <w:color w:val="auto"/>
                <w:kern w:val="0"/>
                <w:sz w:val="21"/>
                <w:szCs w:val="21"/>
                <w:lang w:val="en-US" w:eastAsia="zh-CN" w:bidi="ar-SA"/>
                <w14:ligatures w14:val="none"/>
              </w:rPr>
            </w:pPr>
            <w:r>
              <w:rPr>
                <w:rFonts w:hint="eastAsia" w:ascii="Times New Roman" w:hAnsi="Times New Roman" w:eastAsia="宋体" w:cs="Times New Roman"/>
                <w:color w:val="auto"/>
                <w:sz w:val="21"/>
                <w:highlight w:val="none"/>
                <w:lang w:val="en-US" w:eastAsia="zh-CN"/>
              </w:rPr>
              <w:t>办公楼</w:t>
            </w:r>
          </w:p>
        </w:tc>
        <w:tc>
          <w:tcPr>
            <w:tcW w:w="1266" w:type="dxa"/>
            <w:shd w:val="clear" w:color="auto" w:fill="auto"/>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0"/>
                <w:sz w:val="21"/>
                <w:szCs w:val="21"/>
                <w:lang w:val="en-US" w:eastAsia="zh-CN" w:bidi="ar-SA"/>
                <w14:ligatures w14:val="none"/>
              </w:rPr>
            </w:pPr>
            <w:r>
              <w:rPr>
                <w:rFonts w:hint="eastAsia" w:ascii="Times New Roman" w:hAnsi="Times New Roman" w:eastAsia="宋体" w:cs="Times New Roman"/>
                <w:color w:val="auto"/>
                <w:sz w:val="21"/>
                <w:highlight w:val="none"/>
                <w:lang w:val="en-US" w:eastAsia="zh-CN"/>
              </w:rPr>
              <w:t>生活垃圾</w:t>
            </w:r>
          </w:p>
        </w:tc>
        <w:tc>
          <w:tcPr>
            <w:tcW w:w="1968" w:type="dxa"/>
            <w:shd w:val="clear" w:color="auto" w:fill="auto"/>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0"/>
                <w:sz w:val="21"/>
                <w:szCs w:val="21"/>
                <w:lang w:val="en-US" w:eastAsia="zh-CN" w:bidi="ar-SA"/>
                <w14:ligatures w14:val="none"/>
              </w:rPr>
            </w:pPr>
            <w:r>
              <w:rPr>
                <w:rFonts w:hint="default" w:ascii="Times New Roman" w:hAnsi="Times New Roman" w:eastAsia="宋体" w:cs="Times New Roman"/>
                <w:color w:val="auto"/>
                <w:kern w:val="2"/>
                <w:sz w:val="21"/>
                <w:szCs w:val="21"/>
                <w:highlight w:val="none"/>
                <w:lang w:val="en-US" w:eastAsia="zh-CN" w:bidi="ar"/>
              </w:rPr>
              <w:t>集中收集后由当地环卫部门统一处理</w:t>
            </w:r>
          </w:p>
        </w:tc>
        <w:tc>
          <w:tcPr>
            <w:tcW w:w="2651" w:type="dxa"/>
            <w:shd w:val="clear" w:color="auto" w:fill="auto"/>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《生活垃圾填埋场污染控制标准》（GB16889-2</w:t>
            </w:r>
            <w:r>
              <w:rPr>
                <w:rFonts w:hint="eastAsia" w:cs="Times New Roman"/>
                <w:color w:val="auto"/>
                <w:sz w:val="21"/>
                <w:szCs w:val="21"/>
                <w:lang w:val="en-US" w:eastAsia="zh-CN"/>
              </w:rPr>
              <w:t>024</w:t>
            </w:r>
            <w:r>
              <w:rPr>
                <w:rFonts w:hint="default" w:ascii="Times New Roman" w:hAnsi="Times New Roman" w:eastAsia="宋体" w:cs="Times New Roman"/>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土壤及地下水</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污染防治措施</w:t>
            </w:r>
          </w:p>
        </w:tc>
        <w:tc>
          <w:tcPr>
            <w:tcW w:w="7626"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分区防渗：</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eastAsia="zh-CN"/>
              </w:rPr>
              <w:t>危废贮存点</w:t>
            </w:r>
            <w:r>
              <w:rPr>
                <w:rFonts w:hint="default" w:ascii="Times New Roman" w:hAnsi="Times New Roman" w:eastAsia="宋体" w:cs="Times New Roman"/>
                <w:color w:val="auto"/>
                <w:sz w:val="21"/>
                <w:szCs w:val="21"/>
              </w:rPr>
              <w:t>为重点防渗区，防渗层为至少1</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rPr>
              <w:t>厚粘土层，或2</w:t>
            </w:r>
            <w:r>
              <w:rPr>
                <w:rFonts w:hint="default" w:ascii="Times New Roman" w:hAnsi="Times New Roman" w:eastAsia="宋体" w:cs="Times New Roman"/>
                <w:color w:val="auto"/>
                <w:sz w:val="21"/>
                <w:szCs w:val="21"/>
                <w:lang w:val="en-US" w:eastAsia="zh-CN"/>
              </w:rPr>
              <w:t>mm</w:t>
            </w:r>
            <w:r>
              <w:rPr>
                <w:rFonts w:hint="default" w:ascii="Times New Roman" w:hAnsi="Times New Roman" w:eastAsia="宋体" w:cs="Times New Roman"/>
                <w:color w:val="auto"/>
                <w:sz w:val="21"/>
                <w:szCs w:val="21"/>
              </w:rPr>
              <w:t>聚乙烯，或</w:t>
            </w:r>
            <w:r>
              <w:rPr>
                <w:rFonts w:hint="eastAsia" w:ascii="Times New Roman" w:hAnsi="Times New Roman" w:eastAsia="宋体" w:cs="Times New Roman"/>
                <w:color w:val="auto"/>
                <w:sz w:val="21"/>
                <w:szCs w:val="21"/>
                <w:lang w:eastAsia="zh-CN"/>
              </w:rPr>
              <w:t>其他人工</w:t>
            </w:r>
            <w:r>
              <w:rPr>
                <w:rFonts w:hint="default" w:ascii="Times New Roman" w:hAnsi="Times New Roman" w:eastAsia="宋体" w:cs="Times New Roman"/>
                <w:color w:val="auto"/>
                <w:sz w:val="21"/>
                <w:szCs w:val="21"/>
              </w:rPr>
              <w:t>材料，渗透系数≤10</w:t>
            </w:r>
            <w:r>
              <w:rPr>
                <w:rFonts w:hint="default" w:ascii="Times New Roman" w:hAnsi="Times New Roman" w:eastAsia="宋体" w:cs="Times New Roman"/>
                <w:color w:val="auto"/>
                <w:sz w:val="21"/>
                <w:szCs w:val="21"/>
                <w:vertAlign w:val="superscript"/>
              </w:rPr>
              <w:t>-10</w:t>
            </w:r>
            <w:r>
              <w:rPr>
                <w:rFonts w:hint="default" w:ascii="Times New Roman" w:hAnsi="Times New Roman" w:eastAsia="宋体" w:cs="Times New Roman"/>
                <w:color w:val="auto"/>
                <w:sz w:val="21"/>
                <w:szCs w:val="21"/>
              </w:rPr>
              <w:t>cm/s；</w:t>
            </w:r>
            <w:r>
              <w:rPr>
                <w:rFonts w:hint="default" w:ascii="Times New Roman" w:hAnsi="Times New Roman" w:eastAsia="宋体" w:cs="Times New Roman"/>
                <w:color w:val="auto"/>
                <w:sz w:val="21"/>
                <w:szCs w:val="21"/>
                <w:lang w:val="en-US" w:eastAsia="zh-CN"/>
              </w:rPr>
              <w:t>生产</w:t>
            </w:r>
            <w:r>
              <w:rPr>
                <w:rFonts w:hint="eastAsia" w:cs="Times New Roman"/>
                <w:color w:val="auto"/>
                <w:sz w:val="21"/>
                <w:szCs w:val="21"/>
                <w:lang w:val="en-US" w:eastAsia="zh-CN"/>
              </w:rPr>
              <w:t>车间</w:t>
            </w:r>
            <w:r>
              <w:rPr>
                <w:rFonts w:hint="default" w:ascii="Times New Roman" w:hAnsi="Times New Roman" w:eastAsia="宋体" w:cs="Times New Roman"/>
                <w:color w:val="auto"/>
                <w:sz w:val="21"/>
                <w:szCs w:val="21"/>
              </w:rPr>
              <w:t>为一般防渗区，采用天然或人工材料构筑防渗层，防渗层的厚度应相当于渗透系数1.0×10</w:t>
            </w:r>
            <w:r>
              <w:rPr>
                <w:rFonts w:hint="default" w:ascii="Times New Roman" w:hAnsi="Times New Roman" w:eastAsia="宋体" w:cs="Times New Roman"/>
                <w:color w:val="auto"/>
                <w:sz w:val="21"/>
                <w:szCs w:val="21"/>
                <w:vertAlign w:val="superscript"/>
              </w:rPr>
              <w:t>-7</w:t>
            </w:r>
            <w:r>
              <w:rPr>
                <w:rFonts w:hint="default" w:ascii="Times New Roman" w:hAnsi="Times New Roman" w:eastAsia="宋体" w:cs="Times New Roman"/>
                <w:color w:val="auto"/>
                <w:sz w:val="21"/>
                <w:szCs w:val="21"/>
              </w:rPr>
              <w:t>cm/s和厚度1.5m的粘土层的防渗性能；</w:t>
            </w:r>
            <w:r>
              <w:rPr>
                <w:rFonts w:hint="eastAsia" w:cs="Times New Roman"/>
                <w:color w:val="auto"/>
                <w:sz w:val="21"/>
                <w:szCs w:val="21"/>
                <w:lang w:val="en-US" w:eastAsia="zh-CN"/>
              </w:rPr>
              <w:t>道路</w:t>
            </w:r>
            <w:r>
              <w:rPr>
                <w:rFonts w:hint="default" w:ascii="Times New Roman" w:hAnsi="Times New Roman" w:eastAsia="宋体" w:cs="Times New Roman"/>
                <w:color w:val="auto"/>
                <w:sz w:val="21"/>
                <w:szCs w:val="21"/>
              </w:rPr>
              <w:t>为简单防渗区，采用混凝土硬化。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生态保护措施</w:t>
            </w:r>
          </w:p>
        </w:tc>
        <w:tc>
          <w:tcPr>
            <w:tcW w:w="7626"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本项目附近主要为工业厂房、道路等。在项目建设范围内及周边均无珍稀的动植物。建设单位加强管理和监督，加强对废气、噪声、固体废物的控制与处理以及做好相应的环境保护措施，项目在营运期间不会对周边的生态环境造成明显的不利影响</w:t>
            </w:r>
            <w:r>
              <w:rPr>
                <w:rFonts w:hint="eastAsia" w:cs="Times New Roman"/>
                <w:color w:val="auto"/>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环境风险</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防范措施</w:t>
            </w:r>
          </w:p>
        </w:tc>
        <w:tc>
          <w:tcPr>
            <w:tcW w:w="7626"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制定突发环境事件应急预案，对工作人员进行应急培训，组织应急演练，确保事故发生后影响降至最小。落实本报告提出的各项环境风险防范措施，加强安全生产管理，明确岗位责任制，增强环境风险意识，加强环境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其他环境</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管理要求</w:t>
            </w:r>
          </w:p>
        </w:tc>
        <w:tc>
          <w:tcPr>
            <w:tcW w:w="7626"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auto"/>
                <w:sz w:val="21"/>
                <w:szCs w:val="21"/>
              </w:rPr>
            </w:pPr>
            <w:r>
              <w:rPr>
                <w:rFonts w:hint="eastAsia" w:cs="Times New Roman"/>
                <w:color w:val="auto"/>
                <w:sz w:val="21"/>
                <w:szCs w:val="21"/>
                <w:lang w:eastAsia="zh-CN"/>
              </w:rPr>
              <w:t>1.</w:t>
            </w:r>
            <w:r>
              <w:rPr>
                <w:rFonts w:hint="default" w:ascii="Times New Roman" w:hAnsi="Times New Roman" w:eastAsia="宋体" w:cs="Times New Roman"/>
                <w:color w:val="auto"/>
                <w:sz w:val="21"/>
                <w:szCs w:val="21"/>
              </w:rPr>
              <w:t>项目建设必须严格执行环保设施与主体工程同时设计、同时施工、同时投产使用的“三同时”制度，工程竣工后按规定程序组织竣工环保验收，验收合格后主体工程方可投入正式运行。</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auto"/>
                <w:sz w:val="21"/>
                <w:szCs w:val="21"/>
              </w:rPr>
            </w:pPr>
            <w:r>
              <w:rPr>
                <w:rFonts w:hint="eastAsia" w:cs="Times New Roman"/>
                <w:color w:val="auto"/>
                <w:sz w:val="21"/>
                <w:szCs w:val="21"/>
                <w:lang w:eastAsia="zh-CN"/>
              </w:rPr>
              <w:t>2.</w:t>
            </w:r>
            <w:r>
              <w:rPr>
                <w:rFonts w:hint="default" w:ascii="Times New Roman" w:hAnsi="Times New Roman" w:eastAsia="宋体" w:cs="Times New Roman"/>
                <w:color w:val="auto"/>
                <w:sz w:val="21"/>
                <w:szCs w:val="21"/>
              </w:rPr>
              <w:t>参照《固定源废气监测技术规范》（HJ/T397-2007）、《固定污染源废气监测点位设置技术规范》（DB37/T3535-2019）等要求对排气筒进行规范化管理，监测孔、监测平台、监测梯等按要求规范设置。</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auto"/>
                <w:sz w:val="21"/>
                <w:szCs w:val="21"/>
              </w:rPr>
            </w:pPr>
            <w:r>
              <w:rPr>
                <w:rFonts w:hint="eastAsia" w:cs="Times New Roman"/>
                <w:color w:val="auto"/>
                <w:sz w:val="21"/>
                <w:szCs w:val="21"/>
                <w:lang w:eastAsia="zh-CN"/>
              </w:rPr>
              <w:t>3.</w:t>
            </w:r>
            <w:r>
              <w:rPr>
                <w:rFonts w:hint="default" w:ascii="Times New Roman" w:hAnsi="Times New Roman" w:eastAsia="宋体" w:cs="Times New Roman"/>
                <w:color w:val="auto"/>
                <w:sz w:val="21"/>
                <w:szCs w:val="21"/>
              </w:rPr>
              <w:t>根据《突发事件应急预案管理办法》（国办发</w:t>
            </w:r>
            <w:r>
              <w:rPr>
                <w:rFonts w:hint="eastAsia" w:cs="Times New Roman"/>
                <w:color w:val="auto"/>
                <w:sz w:val="21"/>
                <w:szCs w:val="21"/>
                <w:lang w:eastAsia="zh-CN"/>
              </w:rPr>
              <w:t>〔2013〕</w:t>
            </w:r>
            <w:r>
              <w:rPr>
                <w:rFonts w:hint="default" w:ascii="Times New Roman" w:hAnsi="Times New Roman" w:eastAsia="宋体" w:cs="Times New Roman"/>
                <w:color w:val="auto"/>
                <w:sz w:val="21"/>
                <w:szCs w:val="21"/>
              </w:rPr>
              <w:t>101号）、《国家突发环境事件应急预案》（国办发</w:t>
            </w:r>
            <w:r>
              <w:rPr>
                <w:rFonts w:hint="eastAsia" w:cs="Times New Roman"/>
                <w:color w:val="auto"/>
                <w:sz w:val="21"/>
                <w:szCs w:val="21"/>
                <w:lang w:eastAsia="zh-CN"/>
              </w:rPr>
              <w:t>〔2014〕</w:t>
            </w:r>
            <w:r>
              <w:rPr>
                <w:rFonts w:hint="default" w:ascii="Times New Roman" w:hAnsi="Times New Roman" w:eastAsia="宋体" w:cs="Times New Roman"/>
                <w:color w:val="auto"/>
                <w:sz w:val="21"/>
                <w:szCs w:val="21"/>
              </w:rPr>
              <w:t>119 号）、《突发环境事件应急管理办法》（环境保护部令第34号）、《企业事业单位突发环境事件应急预案备案管理办法（试行）》（环发</w:t>
            </w:r>
            <w:r>
              <w:rPr>
                <w:rFonts w:hint="eastAsia" w:cs="Times New Roman"/>
                <w:color w:val="auto"/>
                <w:sz w:val="21"/>
                <w:szCs w:val="21"/>
                <w:lang w:eastAsia="zh-CN"/>
              </w:rPr>
              <w:t>〔2015〕</w:t>
            </w:r>
            <w:r>
              <w:rPr>
                <w:rFonts w:hint="default" w:ascii="Times New Roman" w:hAnsi="Times New Roman" w:eastAsia="宋体" w:cs="Times New Roman"/>
                <w:color w:val="auto"/>
                <w:sz w:val="21"/>
                <w:szCs w:val="21"/>
              </w:rPr>
              <w:t>4号）的要求，拟建项目需要编制突发环境事件应急预案，应急预案的编制内容应包括预案适用范围、环境事件分类与分级、组织机构与职责、监控和预警、应急响应、应急保障、善后处置、预案管理与演练等内容。</w:t>
            </w:r>
          </w:p>
        </w:tc>
      </w:tr>
    </w:tbl>
    <w:p>
      <w:pPr>
        <w:jc w:val="center"/>
        <w:outlineLvl w:val="0"/>
        <w:rPr>
          <w:rFonts w:ascii="黑体" w:hAnsi="黑体" w:eastAsia="黑体"/>
          <w:color w:val="auto"/>
          <w:sz w:val="30"/>
          <w:szCs w:val="30"/>
        </w:rPr>
      </w:pPr>
      <w:r>
        <w:rPr>
          <w:color w:val="auto"/>
        </w:rPr>
        <w:br w:type="page"/>
      </w:r>
      <w:r>
        <w:rPr>
          <w:rFonts w:hint="eastAsia" w:ascii="黑体" w:hAnsi="黑体" w:eastAsia="黑体"/>
          <w:color w:val="auto"/>
          <w:sz w:val="30"/>
          <w:szCs w:val="30"/>
        </w:rPr>
        <w:t>六、结论</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pPr>
              <w:spacing w:line="360" w:lineRule="auto"/>
              <w:ind w:firstLine="480" w:firstLineChars="200"/>
              <w:rPr>
                <w:rFonts w:hint="default" w:ascii="Times New Roman" w:hAnsi="Times New Roman" w:cs="Times New Roman"/>
                <w:color w:val="auto"/>
              </w:rPr>
            </w:pPr>
            <w:r>
              <w:rPr>
                <w:rFonts w:hint="eastAsia" w:ascii="宋体" w:hAnsi="宋体" w:eastAsia="宋体" w:cs="宋体"/>
                <w:color w:val="auto"/>
              </w:rPr>
              <w:t>项目建设符合国家产业政策，选址较为合理。项目符合当地经济结构的调整要求，在促进地区经济方面具有一定的作用。严格执行国家环保政策和各项规章管理制度，并切实落实本报告表中提出的各项环保措施</w:t>
            </w:r>
            <w:r>
              <w:rPr>
                <w:rFonts w:hint="eastAsia" w:ascii="宋体" w:hAnsi="宋体" w:cs="宋体"/>
                <w:color w:val="auto"/>
                <w:lang w:eastAsia="zh-CN"/>
              </w:rPr>
              <w:t>，在</w:t>
            </w:r>
            <w:r>
              <w:rPr>
                <w:rFonts w:hint="eastAsia" w:ascii="宋体" w:hAnsi="宋体" w:eastAsia="宋体" w:cs="宋体"/>
                <w:color w:val="auto"/>
              </w:rPr>
              <w:t>保证环保设施正常运转的条件下，从环境保护的角度分析，本项目的建设是可行的。</w:t>
            </w:r>
          </w:p>
        </w:tc>
      </w:tr>
    </w:tbl>
    <w:p>
      <w:pPr>
        <w:rPr>
          <w:rFonts w:ascii="宋体"/>
          <w:color w:val="auto"/>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jc w:val="center"/>
        <w:outlineLvl w:val="0"/>
        <w:rPr>
          <w:rFonts w:ascii="方正小标宋_GBK" w:hAnsi="黑体" w:eastAsia="方正小标宋_GBK"/>
          <w:color w:val="auto"/>
          <w:sz w:val="38"/>
          <w:szCs w:val="38"/>
        </w:rPr>
      </w:pPr>
      <w:r>
        <w:rPr>
          <w:rFonts w:hint="eastAsia" w:ascii="方正小标宋_GBK" w:hAnsi="黑体" w:eastAsia="方正小标宋_GBK"/>
          <w:color w:val="auto"/>
          <w:sz w:val="38"/>
          <w:szCs w:val="38"/>
        </w:rPr>
        <w:t>建设项目污染物排放量汇总表</w:t>
      </w:r>
    </w:p>
    <w:tbl>
      <w:tblPr>
        <w:tblStyle w:val="26"/>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1852"/>
        <w:gridCol w:w="1515"/>
        <w:gridCol w:w="1545"/>
        <w:gridCol w:w="1725"/>
        <w:gridCol w:w="1605"/>
        <w:gridCol w:w="1267"/>
        <w:gridCol w:w="1527"/>
        <w:gridCol w:w="16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37" w:type="dxa"/>
            <w:tcBorders>
              <w:tl2br w:val="single" w:color="auto" w:sz="4" w:space="0"/>
            </w:tcBorders>
            <w:tcMar>
              <w:left w:w="28" w:type="dxa"/>
              <w:right w:w="28" w:type="dxa"/>
            </w:tcMar>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right"/>
              <w:rPr>
                <w:rFonts w:hint="default" w:ascii="Times New Roman" w:hAnsi="Times New Roman" w:eastAsia="宋体" w:cs="Times New Roman"/>
                <w:color w:val="auto"/>
                <w:spacing w:val="-6"/>
                <w:kern w:val="21"/>
                <w:sz w:val="21"/>
                <w:szCs w:val="21"/>
              </w:rPr>
            </w:pPr>
            <w:r>
              <w:rPr>
                <w:rFonts w:hint="default" w:ascii="Times New Roman" w:hAnsi="Times New Roman" w:eastAsia="宋体" w:cs="Times New Roman"/>
                <w:color w:val="auto"/>
                <w:spacing w:val="-6"/>
                <w:kern w:val="21"/>
                <w:sz w:val="21"/>
                <w:szCs w:val="21"/>
              </w:rPr>
              <w:t>项目</w:t>
            </w:r>
          </w:p>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left"/>
              <w:rPr>
                <w:rFonts w:hint="default" w:ascii="Times New Roman" w:hAnsi="Times New Roman" w:eastAsia="宋体" w:cs="Times New Roman"/>
                <w:color w:val="auto"/>
                <w:spacing w:val="-6"/>
                <w:kern w:val="21"/>
                <w:sz w:val="21"/>
                <w:szCs w:val="21"/>
              </w:rPr>
            </w:pPr>
            <w:r>
              <w:rPr>
                <w:rFonts w:hint="default" w:ascii="Times New Roman" w:hAnsi="Times New Roman" w:eastAsia="宋体" w:cs="Times New Roman"/>
                <w:color w:val="auto"/>
                <w:spacing w:val="-6"/>
                <w:kern w:val="21"/>
                <w:sz w:val="21"/>
                <w:szCs w:val="21"/>
              </w:rPr>
              <w:t>分类</w:t>
            </w:r>
          </w:p>
        </w:tc>
        <w:tc>
          <w:tcPr>
            <w:tcW w:w="1852" w:type="dxa"/>
            <w:tcMar>
              <w:left w:w="28" w:type="dxa"/>
              <w:right w:w="28" w:type="dxa"/>
            </w:tcMar>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spacing w:val="-6"/>
                <w:kern w:val="21"/>
                <w:sz w:val="21"/>
                <w:szCs w:val="21"/>
              </w:rPr>
            </w:pPr>
            <w:r>
              <w:rPr>
                <w:rFonts w:hint="default" w:ascii="Times New Roman" w:hAnsi="Times New Roman" w:eastAsia="宋体" w:cs="Times New Roman"/>
                <w:color w:val="auto"/>
                <w:spacing w:val="-6"/>
                <w:kern w:val="21"/>
                <w:sz w:val="21"/>
                <w:szCs w:val="21"/>
              </w:rPr>
              <w:t>污染物名称</w:t>
            </w:r>
          </w:p>
        </w:tc>
        <w:tc>
          <w:tcPr>
            <w:tcW w:w="1515" w:type="dxa"/>
            <w:tcMar>
              <w:left w:w="28" w:type="dxa"/>
              <w:right w:w="28" w:type="dxa"/>
            </w:tcMar>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spacing w:val="-6"/>
                <w:kern w:val="21"/>
                <w:sz w:val="21"/>
                <w:szCs w:val="21"/>
              </w:rPr>
            </w:pPr>
            <w:r>
              <w:rPr>
                <w:rFonts w:hint="default" w:ascii="Times New Roman" w:hAnsi="Times New Roman" w:eastAsia="宋体" w:cs="Times New Roman"/>
                <w:color w:val="auto"/>
                <w:spacing w:val="-6"/>
                <w:kern w:val="21"/>
                <w:sz w:val="21"/>
                <w:szCs w:val="21"/>
              </w:rPr>
              <w:t>现有工程</w:t>
            </w:r>
          </w:p>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spacing w:val="-6"/>
                <w:kern w:val="21"/>
                <w:sz w:val="21"/>
                <w:szCs w:val="21"/>
              </w:rPr>
            </w:pPr>
            <w:r>
              <w:rPr>
                <w:rFonts w:hint="default" w:ascii="Times New Roman" w:hAnsi="Times New Roman" w:eastAsia="宋体" w:cs="Times New Roman"/>
                <w:color w:val="auto"/>
                <w:spacing w:val="-6"/>
                <w:kern w:val="21"/>
                <w:sz w:val="21"/>
                <w:szCs w:val="21"/>
              </w:rPr>
              <w:t>排放量（固体废物产生量）</w:t>
            </w:r>
            <w:r>
              <w:rPr>
                <w:rFonts w:hint="default" w:ascii="Times New Roman" w:hAnsi="Times New Roman" w:eastAsia="宋体" w:cs="Times New Roman"/>
                <w:color w:val="auto"/>
                <w:spacing w:val="-6"/>
                <w:kern w:val="21"/>
                <w:sz w:val="21"/>
                <w:szCs w:val="21"/>
              </w:rPr>
              <w:fldChar w:fldCharType="begin"/>
            </w:r>
            <w:r>
              <w:rPr>
                <w:rFonts w:hint="default" w:ascii="Times New Roman" w:hAnsi="Times New Roman" w:eastAsia="宋体" w:cs="Times New Roman"/>
                <w:color w:val="auto"/>
                <w:spacing w:val="-6"/>
                <w:kern w:val="21"/>
                <w:sz w:val="21"/>
                <w:szCs w:val="21"/>
              </w:rPr>
              <w:instrText xml:space="preserve"> = 1 \* GB3 \* MERGEFORMAT </w:instrText>
            </w:r>
            <w:r>
              <w:rPr>
                <w:rFonts w:hint="default" w:ascii="Times New Roman" w:hAnsi="Times New Roman" w:eastAsia="宋体" w:cs="Times New Roman"/>
                <w:color w:val="auto"/>
                <w:spacing w:val="-6"/>
                <w:kern w:val="21"/>
                <w:sz w:val="21"/>
                <w:szCs w:val="21"/>
              </w:rPr>
              <w:fldChar w:fldCharType="separate"/>
            </w:r>
            <w:r>
              <w:rPr>
                <w:rFonts w:hint="default" w:ascii="Times New Roman" w:hAnsi="Times New Roman" w:eastAsia="宋体" w:cs="Times New Roman"/>
                <w:color w:val="auto"/>
                <w:sz w:val="21"/>
                <w:szCs w:val="21"/>
              </w:rPr>
              <w:t>①</w:t>
            </w:r>
            <w:r>
              <w:rPr>
                <w:rFonts w:hint="default" w:ascii="Times New Roman" w:hAnsi="Times New Roman" w:eastAsia="宋体" w:cs="Times New Roman"/>
                <w:color w:val="auto"/>
                <w:spacing w:val="-6"/>
                <w:kern w:val="21"/>
                <w:sz w:val="21"/>
                <w:szCs w:val="21"/>
              </w:rPr>
              <w:fldChar w:fldCharType="end"/>
            </w:r>
          </w:p>
        </w:tc>
        <w:tc>
          <w:tcPr>
            <w:tcW w:w="1545" w:type="dxa"/>
            <w:tcMar>
              <w:left w:w="28" w:type="dxa"/>
              <w:right w:w="28" w:type="dxa"/>
            </w:tcMar>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spacing w:val="-6"/>
                <w:kern w:val="21"/>
                <w:sz w:val="21"/>
                <w:szCs w:val="21"/>
              </w:rPr>
            </w:pPr>
            <w:r>
              <w:rPr>
                <w:rFonts w:hint="default" w:ascii="Times New Roman" w:hAnsi="Times New Roman" w:eastAsia="宋体" w:cs="Times New Roman"/>
                <w:color w:val="auto"/>
                <w:spacing w:val="-6"/>
                <w:kern w:val="21"/>
                <w:sz w:val="21"/>
                <w:szCs w:val="21"/>
              </w:rPr>
              <w:t>现有工程</w:t>
            </w:r>
          </w:p>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spacing w:val="-6"/>
                <w:kern w:val="21"/>
                <w:sz w:val="21"/>
                <w:szCs w:val="21"/>
              </w:rPr>
            </w:pPr>
            <w:r>
              <w:rPr>
                <w:rFonts w:hint="default" w:ascii="Times New Roman" w:hAnsi="Times New Roman" w:eastAsia="宋体" w:cs="Times New Roman"/>
                <w:color w:val="auto"/>
                <w:spacing w:val="-6"/>
                <w:kern w:val="21"/>
                <w:sz w:val="21"/>
                <w:szCs w:val="21"/>
              </w:rPr>
              <w:t>许可排放量</w:t>
            </w:r>
          </w:p>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spacing w:val="-6"/>
                <w:kern w:val="21"/>
                <w:sz w:val="21"/>
                <w:szCs w:val="21"/>
              </w:rPr>
            </w:pPr>
            <w:r>
              <w:rPr>
                <w:rFonts w:hint="default" w:ascii="Times New Roman" w:hAnsi="Times New Roman" w:eastAsia="宋体" w:cs="Times New Roman"/>
                <w:color w:val="auto"/>
                <w:spacing w:val="-6"/>
                <w:kern w:val="21"/>
                <w:sz w:val="21"/>
                <w:szCs w:val="21"/>
              </w:rPr>
              <w:fldChar w:fldCharType="begin"/>
            </w:r>
            <w:r>
              <w:rPr>
                <w:rFonts w:hint="default" w:ascii="Times New Roman" w:hAnsi="Times New Roman" w:eastAsia="宋体" w:cs="Times New Roman"/>
                <w:color w:val="auto"/>
                <w:spacing w:val="-6"/>
                <w:kern w:val="21"/>
                <w:sz w:val="21"/>
                <w:szCs w:val="21"/>
              </w:rPr>
              <w:instrText xml:space="preserve"> = 2 \* GB3 \* MERGEFORMAT </w:instrText>
            </w:r>
            <w:r>
              <w:rPr>
                <w:rFonts w:hint="default" w:ascii="Times New Roman" w:hAnsi="Times New Roman" w:eastAsia="宋体" w:cs="Times New Roman"/>
                <w:color w:val="auto"/>
                <w:spacing w:val="-6"/>
                <w:kern w:val="21"/>
                <w:sz w:val="21"/>
                <w:szCs w:val="21"/>
              </w:rPr>
              <w:fldChar w:fldCharType="separate"/>
            </w:r>
            <w:r>
              <w:rPr>
                <w:rFonts w:hint="default" w:ascii="Times New Roman" w:hAnsi="Times New Roman" w:eastAsia="宋体" w:cs="Times New Roman"/>
                <w:color w:val="auto"/>
                <w:spacing w:val="-6"/>
                <w:kern w:val="21"/>
                <w:sz w:val="21"/>
                <w:szCs w:val="21"/>
              </w:rPr>
              <w:t>②</w:t>
            </w:r>
            <w:r>
              <w:rPr>
                <w:rFonts w:hint="default" w:ascii="Times New Roman" w:hAnsi="Times New Roman" w:eastAsia="宋体" w:cs="Times New Roman"/>
                <w:color w:val="auto"/>
                <w:spacing w:val="-6"/>
                <w:kern w:val="21"/>
                <w:sz w:val="21"/>
                <w:szCs w:val="21"/>
              </w:rPr>
              <w:fldChar w:fldCharType="end"/>
            </w:r>
          </w:p>
        </w:tc>
        <w:tc>
          <w:tcPr>
            <w:tcW w:w="1725" w:type="dxa"/>
            <w:tcMar>
              <w:left w:w="28" w:type="dxa"/>
              <w:right w:w="28" w:type="dxa"/>
            </w:tcMar>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spacing w:val="-6"/>
                <w:kern w:val="21"/>
                <w:sz w:val="21"/>
                <w:szCs w:val="21"/>
              </w:rPr>
            </w:pPr>
            <w:r>
              <w:rPr>
                <w:rFonts w:hint="default" w:ascii="Times New Roman" w:hAnsi="Times New Roman" w:eastAsia="宋体" w:cs="Times New Roman"/>
                <w:color w:val="auto"/>
                <w:spacing w:val="-6"/>
                <w:kern w:val="21"/>
                <w:sz w:val="21"/>
                <w:szCs w:val="21"/>
              </w:rPr>
              <w:t>在建工程</w:t>
            </w:r>
          </w:p>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spacing w:val="-6"/>
                <w:kern w:val="21"/>
                <w:sz w:val="21"/>
                <w:szCs w:val="21"/>
              </w:rPr>
            </w:pPr>
            <w:r>
              <w:rPr>
                <w:rFonts w:hint="default" w:ascii="Times New Roman" w:hAnsi="Times New Roman" w:eastAsia="宋体" w:cs="Times New Roman"/>
                <w:color w:val="auto"/>
                <w:spacing w:val="-6"/>
                <w:kern w:val="21"/>
                <w:sz w:val="21"/>
                <w:szCs w:val="21"/>
              </w:rPr>
              <w:t>排放量（固体废物产生量）</w:t>
            </w:r>
            <w:r>
              <w:rPr>
                <w:rFonts w:hint="default" w:ascii="Times New Roman" w:hAnsi="Times New Roman" w:eastAsia="宋体" w:cs="Times New Roman"/>
                <w:color w:val="auto"/>
                <w:spacing w:val="-6"/>
                <w:kern w:val="21"/>
                <w:sz w:val="21"/>
                <w:szCs w:val="21"/>
              </w:rPr>
              <w:fldChar w:fldCharType="begin"/>
            </w:r>
            <w:r>
              <w:rPr>
                <w:rFonts w:hint="default" w:ascii="Times New Roman" w:hAnsi="Times New Roman" w:eastAsia="宋体" w:cs="Times New Roman"/>
                <w:color w:val="auto"/>
                <w:spacing w:val="-6"/>
                <w:kern w:val="21"/>
                <w:sz w:val="21"/>
                <w:szCs w:val="21"/>
              </w:rPr>
              <w:instrText xml:space="preserve"> = 3 \* GB3 \* MERGEFORMAT </w:instrText>
            </w:r>
            <w:r>
              <w:rPr>
                <w:rFonts w:hint="default" w:ascii="Times New Roman" w:hAnsi="Times New Roman" w:eastAsia="宋体" w:cs="Times New Roman"/>
                <w:color w:val="auto"/>
                <w:spacing w:val="-6"/>
                <w:kern w:val="21"/>
                <w:sz w:val="21"/>
                <w:szCs w:val="21"/>
              </w:rPr>
              <w:fldChar w:fldCharType="separate"/>
            </w:r>
            <w:r>
              <w:rPr>
                <w:rFonts w:hint="default" w:ascii="Times New Roman" w:hAnsi="Times New Roman" w:eastAsia="宋体" w:cs="Times New Roman"/>
                <w:color w:val="auto"/>
                <w:sz w:val="21"/>
                <w:szCs w:val="21"/>
              </w:rPr>
              <w:t>③</w:t>
            </w:r>
            <w:r>
              <w:rPr>
                <w:rFonts w:hint="default" w:ascii="Times New Roman" w:hAnsi="Times New Roman" w:eastAsia="宋体" w:cs="Times New Roman"/>
                <w:color w:val="auto"/>
                <w:spacing w:val="-6"/>
                <w:kern w:val="21"/>
                <w:sz w:val="21"/>
                <w:szCs w:val="21"/>
              </w:rPr>
              <w:fldChar w:fldCharType="end"/>
            </w:r>
          </w:p>
        </w:tc>
        <w:tc>
          <w:tcPr>
            <w:tcW w:w="1605" w:type="dxa"/>
            <w:tcMar>
              <w:left w:w="28" w:type="dxa"/>
              <w:right w:w="28" w:type="dxa"/>
            </w:tcMar>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spacing w:val="-6"/>
                <w:kern w:val="21"/>
                <w:sz w:val="21"/>
                <w:szCs w:val="21"/>
              </w:rPr>
            </w:pPr>
            <w:r>
              <w:rPr>
                <w:rFonts w:hint="default" w:ascii="Times New Roman" w:hAnsi="Times New Roman" w:eastAsia="宋体" w:cs="Times New Roman"/>
                <w:color w:val="auto"/>
                <w:spacing w:val="-6"/>
                <w:kern w:val="21"/>
                <w:sz w:val="21"/>
                <w:szCs w:val="21"/>
              </w:rPr>
              <w:t>本项目</w:t>
            </w:r>
          </w:p>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spacing w:val="-6"/>
                <w:kern w:val="21"/>
                <w:sz w:val="21"/>
                <w:szCs w:val="21"/>
              </w:rPr>
            </w:pPr>
            <w:r>
              <w:rPr>
                <w:rFonts w:hint="default" w:ascii="Times New Roman" w:hAnsi="Times New Roman" w:eastAsia="宋体" w:cs="Times New Roman"/>
                <w:color w:val="auto"/>
                <w:spacing w:val="-6"/>
                <w:kern w:val="21"/>
                <w:sz w:val="21"/>
                <w:szCs w:val="21"/>
              </w:rPr>
              <w:t>排放量（固体废物产生量）</w:t>
            </w:r>
            <w:r>
              <w:rPr>
                <w:rFonts w:hint="default" w:ascii="Times New Roman" w:hAnsi="Times New Roman" w:eastAsia="宋体" w:cs="Times New Roman"/>
                <w:color w:val="auto"/>
                <w:spacing w:val="-6"/>
                <w:kern w:val="21"/>
                <w:sz w:val="21"/>
                <w:szCs w:val="21"/>
              </w:rPr>
              <w:fldChar w:fldCharType="begin"/>
            </w:r>
            <w:r>
              <w:rPr>
                <w:rFonts w:hint="default" w:ascii="Times New Roman" w:hAnsi="Times New Roman" w:eastAsia="宋体" w:cs="Times New Roman"/>
                <w:color w:val="auto"/>
                <w:spacing w:val="-6"/>
                <w:kern w:val="21"/>
                <w:sz w:val="21"/>
                <w:szCs w:val="21"/>
              </w:rPr>
              <w:instrText xml:space="preserve"> = 4 \* GB3 \* MERGEFORMAT </w:instrText>
            </w:r>
            <w:r>
              <w:rPr>
                <w:rFonts w:hint="default" w:ascii="Times New Roman" w:hAnsi="Times New Roman" w:eastAsia="宋体" w:cs="Times New Roman"/>
                <w:color w:val="auto"/>
                <w:spacing w:val="-6"/>
                <w:kern w:val="21"/>
                <w:sz w:val="21"/>
                <w:szCs w:val="21"/>
              </w:rPr>
              <w:fldChar w:fldCharType="separate"/>
            </w:r>
            <w:r>
              <w:rPr>
                <w:rFonts w:hint="default" w:ascii="Times New Roman" w:hAnsi="Times New Roman" w:eastAsia="宋体" w:cs="Times New Roman"/>
                <w:color w:val="auto"/>
                <w:sz w:val="21"/>
                <w:szCs w:val="21"/>
              </w:rPr>
              <w:t>④</w:t>
            </w:r>
            <w:r>
              <w:rPr>
                <w:rFonts w:hint="default" w:ascii="Times New Roman" w:hAnsi="Times New Roman" w:eastAsia="宋体" w:cs="Times New Roman"/>
                <w:color w:val="auto"/>
                <w:spacing w:val="-6"/>
                <w:kern w:val="21"/>
                <w:sz w:val="21"/>
                <w:szCs w:val="21"/>
              </w:rPr>
              <w:fldChar w:fldCharType="end"/>
            </w:r>
          </w:p>
        </w:tc>
        <w:tc>
          <w:tcPr>
            <w:tcW w:w="1267" w:type="dxa"/>
            <w:tcMar>
              <w:left w:w="28" w:type="dxa"/>
              <w:right w:w="28" w:type="dxa"/>
            </w:tcMar>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spacing w:val="-16"/>
                <w:kern w:val="21"/>
                <w:sz w:val="21"/>
                <w:szCs w:val="21"/>
              </w:rPr>
            </w:pPr>
            <w:r>
              <w:rPr>
                <w:rFonts w:hint="default" w:ascii="Times New Roman" w:hAnsi="Times New Roman" w:eastAsia="宋体" w:cs="Times New Roman"/>
                <w:color w:val="auto"/>
                <w:spacing w:val="-16"/>
                <w:kern w:val="21"/>
                <w:sz w:val="21"/>
                <w:szCs w:val="21"/>
              </w:rPr>
              <w:t>以新带老削减量</w:t>
            </w:r>
          </w:p>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spacing w:val="-16"/>
                <w:kern w:val="21"/>
                <w:sz w:val="21"/>
                <w:szCs w:val="21"/>
              </w:rPr>
            </w:pPr>
            <w:r>
              <w:rPr>
                <w:rFonts w:hint="default" w:ascii="Times New Roman" w:hAnsi="Times New Roman" w:eastAsia="宋体" w:cs="Times New Roman"/>
                <w:color w:val="auto"/>
                <w:spacing w:val="-16"/>
                <w:kern w:val="21"/>
                <w:sz w:val="21"/>
                <w:szCs w:val="21"/>
              </w:rPr>
              <w:t>（新建项目不填）</w:t>
            </w:r>
            <w:r>
              <w:rPr>
                <w:rFonts w:hint="default" w:ascii="Times New Roman" w:hAnsi="Times New Roman" w:eastAsia="宋体" w:cs="Times New Roman"/>
                <w:color w:val="auto"/>
                <w:spacing w:val="-16"/>
                <w:kern w:val="21"/>
                <w:sz w:val="21"/>
                <w:szCs w:val="21"/>
              </w:rPr>
              <w:fldChar w:fldCharType="begin"/>
            </w:r>
            <w:r>
              <w:rPr>
                <w:rFonts w:hint="default" w:ascii="Times New Roman" w:hAnsi="Times New Roman" w:eastAsia="宋体" w:cs="Times New Roman"/>
                <w:color w:val="auto"/>
                <w:spacing w:val="-16"/>
                <w:kern w:val="21"/>
                <w:sz w:val="21"/>
                <w:szCs w:val="21"/>
              </w:rPr>
              <w:instrText xml:space="preserve"> = 5 \* GB3 \* MERGEFORMAT </w:instrText>
            </w:r>
            <w:r>
              <w:rPr>
                <w:rFonts w:hint="default" w:ascii="Times New Roman" w:hAnsi="Times New Roman" w:eastAsia="宋体" w:cs="Times New Roman"/>
                <w:color w:val="auto"/>
                <w:spacing w:val="-16"/>
                <w:kern w:val="21"/>
                <w:sz w:val="21"/>
                <w:szCs w:val="21"/>
              </w:rPr>
              <w:fldChar w:fldCharType="separate"/>
            </w:r>
            <w:r>
              <w:rPr>
                <w:rFonts w:hint="default" w:ascii="Times New Roman" w:hAnsi="Times New Roman" w:eastAsia="宋体" w:cs="Times New Roman"/>
                <w:color w:val="auto"/>
                <w:sz w:val="21"/>
                <w:szCs w:val="21"/>
              </w:rPr>
              <w:t>⑤</w:t>
            </w:r>
            <w:r>
              <w:rPr>
                <w:rFonts w:hint="default" w:ascii="Times New Roman" w:hAnsi="Times New Roman" w:eastAsia="宋体" w:cs="Times New Roman"/>
                <w:color w:val="auto"/>
                <w:spacing w:val="-16"/>
                <w:kern w:val="21"/>
                <w:sz w:val="21"/>
                <w:szCs w:val="21"/>
              </w:rPr>
              <w:fldChar w:fldCharType="end"/>
            </w:r>
          </w:p>
        </w:tc>
        <w:tc>
          <w:tcPr>
            <w:tcW w:w="1527" w:type="dxa"/>
            <w:tcMar>
              <w:left w:w="28" w:type="dxa"/>
              <w:right w:w="28" w:type="dxa"/>
            </w:tcMar>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spacing w:val="-16"/>
                <w:kern w:val="21"/>
                <w:sz w:val="21"/>
                <w:szCs w:val="21"/>
              </w:rPr>
            </w:pPr>
            <w:r>
              <w:rPr>
                <w:rFonts w:hint="default" w:ascii="Times New Roman" w:hAnsi="Times New Roman" w:eastAsia="宋体" w:cs="Times New Roman"/>
                <w:color w:val="auto"/>
                <w:spacing w:val="-16"/>
                <w:kern w:val="21"/>
                <w:sz w:val="21"/>
                <w:szCs w:val="21"/>
              </w:rPr>
              <w:t>本项目建成后</w:t>
            </w:r>
          </w:p>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spacing w:val="-16"/>
                <w:kern w:val="21"/>
                <w:sz w:val="21"/>
                <w:szCs w:val="21"/>
              </w:rPr>
            </w:pPr>
            <w:r>
              <w:rPr>
                <w:rFonts w:hint="default" w:ascii="Times New Roman" w:hAnsi="Times New Roman" w:eastAsia="宋体" w:cs="Times New Roman"/>
                <w:color w:val="auto"/>
                <w:spacing w:val="-16"/>
                <w:kern w:val="21"/>
                <w:sz w:val="21"/>
                <w:szCs w:val="21"/>
              </w:rPr>
              <w:t>全厂排放量（固体废物产生量）</w:t>
            </w:r>
            <w:r>
              <w:rPr>
                <w:rFonts w:hint="default" w:ascii="Times New Roman" w:hAnsi="Times New Roman" w:eastAsia="宋体" w:cs="Times New Roman"/>
                <w:color w:val="auto"/>
                <w:spacing w:val="-16"/>
                <w:kern w:val="21"/>
                <w:sz w:val="21"/>
                <w:szCs w:val="21"/>
              </w:rPr>
              <w:fldChar w:fldCharType="begin"/>
            </w:r>
            <w:r>
              <w:rPr>
                <w:rFonts w:hint="default" w:ascii="Times New Roman" w:hAnsi="Times New Roman" w:eastAsia="宋体" w:cs="Times New Roman"/>
                <w:color w:val="auto"/>
                <w:spacing w:val="-16"/>
                <w:kern w:val="21"/>
                <w:sz w:val="21"/>
                <w:szCs w:val="21"/>
              </w:rPr>
              <w:instrText xml:space="preserve"> = 6 \* GB3 \* MERGEFORMAT </w:instrText>
            </w:r>
            <w:r>
              <w:rPr>
                <w:rFonts w:hint="default" w:ascii="Times New Roman" w:hAnsi="Times New Roman" w:eastAsia="宋体" w:cs="Times New Roman"/>
                <w:color w:val="auto"/>
                <w:spacing w:val="-16"/>
                <w:kern w:val="21"/>
                <w:sz w:val="21"/>
                <w:szCs w:val="21"/>
              </w:rPr>
              <w:fldChar w:fldCharType="separate"/>
            </w:r>
            <w:r>
              <w:rPr>
                <w:rFonts w:hint="default" w:ascii="Times New Roman" w:hAnsi="Times New Roman" w:eastAsia="宋体" w:cs="Times New Roman"/>
                <w:color w:val="auto"/>
                <w:sz w:val="21"/>
                <w:szCs w:val="21"/>
              </w:rPr>
              <w:t>⑥</w:t>
            </w:r>
            <w:r>
              <w:rPr>
                <w:rFonts w:hint="default" w:ascii="Times New Roman" w:hAnsi="Times New Roman" w:eastAsia="宋体" w:cs="Times New Roman"/>
                <w:color w:val="auto"/>
                <w:spacing w:val="-16"/>
                <w:kern w:val="21"/>
                <w:sz w:val="21"/>
                <w:szCs w:val="21"/>
              </w:rPr>
              <w:fldChar w:fldCharType="end"/>
            </w:r>
          </w:p>
        </w:tc>
        <w:tc>
          <w:tcPr>
            <w:tcW w:w="1615" w:type="dxa"/>
            <w:tcMar>
              <w:left w:w="28" w:type="dxa"/>
              <w:right w:w="28" w:type="dxa"/>
            </w:tcMar>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spacing w:val="-6"/>
                <w:kern w:val="21"/>
                <w:sz w:val="21"/>
                <w:szCs w:val="21"/>
              </w:rPr>
            </w:pPr>
            <w:r>
              <w:rPr>
                <w:rFonts w:hint="default" w:ascii="Times New Roman" w:hAnsi="Times New Roman" w:eastAsia="宋体" w:cs="Times New Roman"/>
                <w:color w:val="auto"/>
                <w:spacing w:val="-6"/>
                <w:kern w:val="21"/>
                <w:sz w:val="21"/>
                <w:szCs w:val="21"/>
              </w:rPr>
              <w:t>变化量</w:t>
            </w:r>
          </w:p>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spacing w:val="-6"/>
                <w:kern w:val="21"/>
                <w:sz w:val="21"/>
                <w:szCs w:val="21"/>
              </w:rPr>
            </w:pPr>
            <w:r>
              <w:rPr>
                <w:rFonts w:hint="default" w:ascii="Times New Roman" w:hAnsi="Times New Roman" w:eastAsia="宋体" w:cs="Times New Roman"/>
                <w:color w:val="auto"/>
                <w:spacing w:val="-6"/>
                <w:kern w:val="21"/>
                <w:sz w:val="21"/>
                <w:szCs w:val="21"/>
              </w:rPr>
              <w:fldChar w:fldCharType="begin"/>
            </w:r>
            <w:r>
              <w:rPr>
                <w:rFonts w:hint="default" w:ascii="Times New Roman" w:hAnsi="Times New Roman" w:eastAsia="宋体" w:cs="Times New Roman"/>
                <w:color w:val="auto"/>
                <w:spacing w:val="-6"/>
                <w:kern w:val="21"/>
                <w:sz w:val="21"/>
                <w:szCs w:val="21"/>
              </w:rPr>
              <w:instrText xml:space="preserve"> = 7 \* GB3 \* MERGEFORMAT </w:instrText>
            </w:r>
            <w:r>
              <w:rPr>
                <w:rFonts w:hint="default" w:ascii="Times New Roman" w:hAnsi="Times New Roman" w:eastAsia="宋体" w:cs="Times New Roman"/>
                <w:color w:val="auto"/>
                <w:spacing w:val="-6"/>
                <w:kern w:val="21"/>
                <w:sz w:val="21"/>
                <w:szCs w:val="21"/>
              </w:rPr>
              <w:fldChar w:fldCharType="separate"/>
            </w:r>
            <w:r>
              <w:rPr>
                <w:rFonts w:hint="default" w:ascii="Times New Roman" w:hAnsi="Times New Roman" w:eastAsia="宋体" w:cs="Times New Roman"/>
                <w:color w:val="auto"/>
                <w:sz w:val="21"/>
                <w:szCs w:val="21"/>
              </w:rPr>
              <w:t>⑦</w:t>
            </w:r>
            <w:r>
              <w:rPr>
                <w:rFonts w:hint="default" w:ascii="Times New Roman" w:hAnsi="Times New Roman" w:eastAsia="宋体" w:cs="Times New Roman"/>
                <w:color w:val="auto"/>
                <w:spacing w:val="-6"/>
                <w:kern w:val="21"/>
                <w:sz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37" w:type="dxa"/>
            <w:vMerge w:val="restart"/>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lang w:val="en-US" w:eastAsia="zh-CN"/>
              </w:rPr>
            </w:pPr>
            <w:r>
              <w:rPr>
                <w:rFonts w:hint="default" w:ascii="Times New Roman" w:hAnsi="Times New Roman" w:eastAsia="宋体" w:cs="Times New Roman"/>
                <w:color w:val="auto"/>
                <w:kern w:val="21"/>
                <w:sz w:val="21"/>
                <w:szCs w:val="21"/>
                <w:lang w:val="en-US" w:eastAsia="zh-CN"/>
              </w:rPr>
              <w:t>废气</w:t>
            </w:r>
          </w:p>
        </w:tc>
        <w:tc>
          <w:tcPr>
            <w:tcW w:w="1852"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rPr>
              <w:t>无组织颗粒物</w:t>
            </w:r>
          </w:p>
        </w:tc>
        <w:tc>
          <w:tcPr>
            <w:tcW w:w="1515"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rPr>
              <w:t>0</w:t>
            </w:r>
          </w:p>
        </w:tc>
        <w:tc>
          <w:tcPr>
            <w:tcW w:w="1545"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rPr>
              <w:t>0</w:t>
            </w:r>
          </w:p>
        </w:tc>
        <w:tc>
          <w:tcPr>
            <w:tcW w:w="1725"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rPr>
              <w:t>0</w:t>
            </w:r>
          </w:p>
        </w:tc>
        <w:tc>
          <w:tcPr>
            <w:tcW w:w="1605" w:type="dxa"/>
            <w:shd w:val="clear" w:color="auto" w:fill="auto"/>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宋体" w:hAnsi="宋体" w:eastAsia="宋体" w:cs="宋体"/>
                <w:i w:val="0"/>
                <w:iCs w:val="0"/>
                <w:snapToGrid w:val="0"/>
                <w:color w:val="auto"/>
                <w:kern w:val="0"/>
                <w:sz w:val="22"/>
                <w:szCs w:val="22"/>
                <w:u w:val="none"/>
                <w:lang w:val="en-US" w:eastAsia="zh-CN" w:bidi="ar-SA"/>
                <w14:ligatures w14:val="none"/>
              </w:rPr>
            </w:pPr>
            <w:r>
              <w:rPr>
                <w:rFonts w:hint="eastAsia" w:ascii="Times New Roman" w:hAnsi="Times New Roman" w:eastAsia="宋体" w:cs="Times New Roman"/>
                <w:color w:val="auto"/>
                <w:sz w:val="21"/>
                <w:szCs w:val="21"/>
                <w:highlight w:val="none"/>
                <w:lang w:val="en-US" w:eastAsia="zh-CN"/>
              </w:rPr>
              <w:t>3.803</w:t>
            </w:r>
            <w:r>
              <w:rPr>
                <w:rFonts w:hint="default" w:ascii="Times New Roman" w:hAnsi="Times New Roman" w:eastAsia="宋体" w:cs="Times New Roman"/>
                <w:color w:val="auto"/>
                <w:sz w:val="21"/>
                <w:szCs w:val="21"/>
                <w:highlight w:val="none"/>
                <w:lang w:val="en-US" w:eastAsia="zh-CN"/>
              </w:rPr>
              <w:t>t/a</w:t>
            </w:r>
          </w:p>
        </w:tc>
        <w:tc>
          <w:tcPr>
            <w:tcW w:w="1267"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rPr>
              <w:t>/</w:t>
            </w:r>
          </w:p>
        </w:tc>
        <w:tc>
          <w:tcPr>
            <w:tcW w:w="1527"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eastAsia" w:ascii="Times New Roman" w:hAnsi="Times New Roman" w:eastAsia="宋体" w:cs="Times New Roman"/>
                <w:color w:val="auto"/>
                <w:sz w:val="21"/>
                <w:szCs w:val="21"/>
                <w:highlight w:val="none"/>
                <w:lang w:val="en-US" w:eastAsia="zh-CN"/>
              </w:rPr>
              <w:t>3.803</w:t>
            </w:r>
            <w:r>
              <w:rPr>
                <w:rFonts w:hint="default" w:ascii="Times New Roman" w:hAnsi="Times New Roman" w:eastAsia="宋体" w:cs="Times New Roman"/>
                <w:color w:val="auto"/>
                <w:sz w:val="21"/>
                <w:szCs w:val="21"/>
                <w:highlight w:val="none"/>
                <w:lang w:val="en-US" w:eastAsia="zh-CN"/>
              </w:rPr>
              <w:t>t/a</w:t>
            </w:r>
          </w:p>
        </w:tc>
        <w:tc>
          <w:tcPr>
            <w:tcW w:w="1615"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eastAsia" w:ascii="Times New Roman" w:hAnsi="Times New Roman" w:eastAsia="宋体" w:cs="Times New Roman"/>
                <w:color w:val="auto"/>
                <w:sz w:val="21"/>
                <w:szCs w:val="21"/>
                <w:highlight w:val="none"/>
                <w:lang w:val="en-US" w:eastAsia="zh-CN"/>
              </w:rPr>
              <w:t>+3.803</w:t>
            </w:r>
            <w:r>
              <w:rPr>
                <w:rFonts w:hint="default" w:ascii="Times New Roman" w:hAnsi="Times New Roman" w:eastAsia="宋体" w:cs="Times New Roman"/>
                <w:color w:val="auto"/>
                <w:sz w:val="21"/>
                <w:szCs w:val="21"/>
                <w:highlight w:val="none"/>
                <w:lang w:val="en-US" w:eastAsia="zh-CN"/>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37" w:type="dxa"/>
            <w:vMerge w:val="continue"/>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lang w:val="en-US" w:eastAsia="zh-CN"/>
              </w:rPr>
            </w:pPr>
          </w:p>
        </w:tc>
        <w:tc>
          <w:tcPr>
            <w:tcW w:w="1852"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eastAsia" w:ascii="Times New Roman" w:hAnsi="Times New Roman" w:eastAsia="宋体" w:cs="Times New Roman"/>
                <w:color w:val="auto"/>
                <w:kern w:val="21"/>
                <w:sz w:val="21"/>
                <w:szCs w:val="21"/>
                <w:highlight w:val="none"/>
                <w:lang w:val="en-US" w:eastAsia="zh-CN"/>
              </w:rPr>
              <w:t>有</w:t>
            </w:r>
            <w:r>
              <w:rPr>
                <w:rFonts w:hint="default" w:ascii="Times New Roman" w:hAnsi="Times New Roman" w:eastAsia="宋体" w:cs="Times New Roman"/>
                <w:color w:val="auto"/>
                <w:kern w:val="21"/>
                <w:sz w:val="21"/>
                <w:szCs w:val="21"/>
                <w:highlight w:val="none"/>
              </w:rPr>
              <w:t>组织颗粒物</w:t>
            </w:r>
          </w:p>
        </w:tc>
        <w:tc>
          <w:tcPr>
            <w:tcW w:w="1515"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eastAsia" w:ascii="Times New Roman" w:hAnsi="Times New Roman" w:eastAsia="宋体" w:cs="Times New Roman"/>
                <w:color w:val="auto"/>
                <w:kern w:val="21"/>
                <w:sz w:val="21"/>
                <w:szCs w:val="21"/>
                <w:highlight w:val="none"/>
                <w:lang w:val="en-US" w:eastAsia="zh-CN"/>
              </w:rPr>
            </w:pPr>
            <w:r>
              <w:rPr>
                <w:rFonts w:hint="eastAsia" w:ascii="Times New Roman" w:hAnsi="Times New Roman" w:eastAsia="宋体" w:cs="Times New Roman"/>
                <w:color w:val="auto"/>
                <w:kern w:val="21"/>
                <w:sz w:val="21"/>
                <w:szCs w:val="21"/>
                <w:highlight w:val="none"/>
                <w:lang w:val="en-US" w:eastAsia="zh-CN"/>
              </w:rPr>
              <w:t>0</w:t>
            </w:r>
          </w:p>
        </w:tc>
        <w:tc>
          <w:tcPr>
            <w:tcW w:w="1545"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eastAsia" w:ascii="Times New Roman" w:hAnsi="Times New Roman" w:eastAsia="宋体" w:cs="Times New Roman"/>
                <w:color w:val="auto"/>
                <w:kern w:val="21"/>
                <w:sz w:val="21"/>
                <w:szCs w:val="21"/>
                <w:highlight w:val="none"/>
                <w:lang w:val="en-US" w:eastAsia="zh-CN"/>
              </w:rPr>
            </w:pPr>
            <w:r>
              <w:rPr>
                <w:rFonts w:hint="eastAsia" w:ascii="Times New Roman" w:hAnsi="Times New Roman" w:eastAsia="宋体" w:cs="Times New Roman"/>
                <w:color w:val="auto"/>
                <w:kern w:val="21"/>
                <w:sz w:val="21"/>
                <w:szCs w:val="21"/>
                <w:highlight w:val="none"/>
                <w:lang w:val="en-US" w:eastAsia="zh-CN"/>
              </w:rPr>
              <w:t>0</w:t>
            </w:r>
          </w:p>
        </w:tc>
        <w:tc>
          <w:tcPr>
            <w:tcW w:w="1725"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eastAsia" w:ascii="Times New Roman" w:hAnsi="Times New Roman" w:eastAsia="宋体" w:cs="Times New Roman"/>
                <w:color w:val="auto"/>
                <w:kern w:val="21"/>
                <w:sz w:val="21"/>
                <w:szCs w:val="21"/>
                <w:highlight w:val="none"/>
                <w:lang w:val="en-US" w:eastAsia="zh-CN"/>
              </w:rPr>
            </w:pPr>
            <w:r>
              <w:rPr>
                <w:rFonts w:hint="eastAsia" w:ascii="Times New Roman" w:hAnsi="Times New Roman" w:eastAsia="宋体" w:cs="Times New Roman"/>
                <w:color w:val="auto"/>
                <w:kern w:val="21"/>
                <w:sz w:val="21"/>
                <w:szCs w:val="21"/>
                <w:highlight w:val="none"/>
                <w:lang w:val="en-US" w:eastAsia="zh-CN"/>
              </w:rPr>
              <w:t>0</w:t>
            </w:r>
          </w:p>
        </w:tc>
        <w:tc>
          <w:tcPr>
            <w:tcW w:w="1605"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1.31</w:t>
            </w:r>
            <w:r>
              <w:rPr>
                <w:rFonts w:hint="default" w:ascii="Times New Roman" w:hAnsi="Times New Roman" w:eastAsia="宋体" w:cs="Times New Roman"/>
                <w:color w:val="auto"/>
                <w:sz w:val="21"/>
                <w:szCs w:val="21"/>
                <w:highlight w:val="none"/>
                <w:lang w:val="en-US" w:eastAsia="zh-CN"/>
              </w:rPr>
              <w:t>t/a</w:t>
            </w:r>
          </w:p>
        </w:tc>
        <w:tc>
          <w:tcPr>
            <w:tcW w:w="1267"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eastAsia" w:ascii="Times New Roman" w:hAnsi="Times New Roman" w:eastAsia="宋体" w:cs="Times New Roman"/>
                <w:color w:val="auto"/>
                <w:kern w:val="21"/>
                <w:sz w:val="21"/>
                <w:szCs w:val="21"/>
                <w:highlight w:val="none"/>
                <w:lang w:val="en-US" w:eastAsia="zh-CN"/>
              </w:rPr>
            </w:pPr>
            <w:r>
              <w:rPr>
                <w:rFonts w:hint="eastAsia" w:ascii="Times New Roman" w:hAnsi="Times New Roman" w:eastAsia="宋体" w:cs="Times New Roman"/>
                <w:color w:val="auto"/>
                <w:kern w:val="21"/>
                <w:sz w:val="21"/>
                <w:szCs w:val="21"/>
                <w:highlight w:val="none"/>
                <w:lang w:val="en-US" w:eastAsia="zh-CN"/>
              </w:rPr>
              <w:t>/</w:t>
            </w:r>
          </w:p>
        </w:tc>
        <w:tc>
          <w:tcPr>
            <w:tcW w:w="1527"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1.31</w:t>
            </w:r>
            <w:r>
              <w:rPr>
                <w:rFonts w:hint="default" w:ascii="Times New Roman" w:hAnsi="Times New Roman" w:eastAsia="宋体" w:cs="Times New Roman"/>
                <w:color w:val="auto"/>
                <w:sz w:val="21"/>
                <w:szCs w:val="21"/>
                <w:highlight w:val="none"/>
                <w:lang w:val="en-US" w:eastAsia="zh-CN"/>
              </w:rPr>
              <w:t>t/a</w:t>
            </w:r>
          </w:p>
        </w:tc>
        <w:tc>
          <w:tcPr>
            <w:tcW w:w="1615"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+1.31</w:t>
            </w:r>
            <w:r>
              <w:rPr>
                <w:rFonts w:hint="default" w:ascii="Times New Roman" w:hAnsi="Times New Roman" w:eastAsia="宋体" w:cs="Times New Roman"/>
                <w:color w:val="auto"/>
                <w:sz w:val="21"/>
                <w:szCs w:val="21"/>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37" w:type="dxa"/>
            <w:vMerge w:val="restart"/>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rPr>
            </w:pPr>
            <w:r>
              <w:rPr>
                <w:rFonts w:hint="default" w:ascii="Times New Roman" w:hAnsi="Times New Roman" w:eastAsia="宋体" w:cs="Times New Roman"/>
                <w:color w:val="auto"/>
                <w:kern w:val="21"/>
                <w:sz w:val="21"/>
                <w:szCs w:val="21"/>
              </w:rPr>
              <w:t>一般工业</w:t>
            </w:r>
          </w:p>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rPr>
            </w:pPr>
            <w:r>
              <w:rPr>
                <w:rFonts w:hint="default" w:ascii="Times New Roman" w:hAnsi="Times New Roman" w:eastAsia="宋体" w:cs="Times New Roman"/>
                <w:color w:val="auto"/>
                <w:kern w:val="21"/>
                <w:sz w:val="21"/>
                <w:szCs w:val="21"/>
              </w:rPr>
              <w:t>固体废物</w:t>
            </w:r>
          </w:p>
        </w:tc>
        <w:tc>
          <w:tcPr>
            <w:tcW w:w="1852"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lang w:val="en-US" w:eastAsia="zh-CN"/>
              </w:rPr>
            </w:pPr>
            <w:r>
              <w:rPr>
                <w:rFonts w:hint="eastAsia" w:ascii="Times New Roman" w:hAnsi="Times New Roman" w:eastAsia="宋体" w:cs="Times New Roman"/>
                <w:color w:val="auto"/>
                <w:kern w:val="21"/>
                <w:sz w:val="21"/>
                <w:szCs w:val="21"/>
                <w:lang w:val="en-US" w:eastAsia="zh-CN"/>
              </w:rPr>
              <w:t>废布袋</w:t>
            </w:r>
          </w:p>
        </w:tc>
        <w:tc>
          <w:tcPr>
            <w:tcW w:w="15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15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17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w:t>
            </w:r>
            <w:r>
              <w:rPr>
                <w:rFonts w:hint="default" w:ascii="Times New Roman" w:hAnsi="Times New Roman" w:eastAsia="宋体" w:cs="Times New Roman"/>
                <w:color w:val="auto"/>
                <w:sz w:val="21"/>
                <w:szCs w:val="21"/>
                <w:highlight w:val="none"/>
                <w:lang w:val="en-US" w:eastAsia="zh-CN"/>
              </w:rPr>
              <w:t>t/a</w:t>
            </w:r>
          </w:p>
        </w:tc>
        <w:tc>
          <w:tcPr>
            <w:tcW w:w="12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5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w:t>
            </w:r>
            <w:r>
              <w:rPr>
                <w:rFonts w:hint="default" w:ascii="Times New Roman" w:hAnsi="Times New Roman" w:eastAsia="宋体" w:cs="Times New Roman"/>
                <w:color w:val="auto"/>
                <w:sz w:val="21"/>
                <w:szCs w:val="21"/>
                <w:highlight w:val="none"/>
                <w:lang w:val="en-US" w:eastAsia="zh-CN"/>
              </w:rPr>
              <w:t>t/a</w:t>
            </w:r>
          </w:p>
        </w:tc>
        <w:tc>
          <w:tcPr>
            <w:tcW w:w="16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w:t>
            </w:r>
            <w:r>
              <w:rPr>
                <w:rFonts w:hint="default" w:ascii="Times New Roman" w:hAnsi="Times New Roman" w:eastAsia="宋体" w:cs="Times New Roman"/>
                <w:color w:val="auto"/>
                <w:sz w:val="21"/>
                <w:szCs w:val="21"/>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37" w:type="dxa"/>
            <w:vMerge w:val="continue"/>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rPr>
            </w:pPr>
          </w:p>
        </w:tc>
        <w:tc>
          <w:tcPr>
            <w:tcW w:w="1852"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rPr>
            </w:pPr>
            <w:r>
              <w:rPr>
                <w:rFonts w:hint="default" w:ascii="Times New Roman" w:hAnsi="Times New Roman" w:eastAsia="宋体" w:cs="Times New Roman"/>
                <w:color w:val="auto"/>
                <w:kern w:val="21"/>
                <w:sz w:val="21"/>
                <w:szCs w:val="21"/>
              </w:rPr>
              <w:t>生活垃圾</w:t>
            </w:r>
          </w:p>
        </w:tc>
        <w:tc>
          <w:tcPr>
            <w:tcW w:w="15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15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17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0.3</w:t>
            </w:r>
            <w:r>
              <w:rPr>
                <w:rFonts w:hint="default" w:ascii="Times New Roman" w:hAnsi="Times New Roman" w:eastAsia="宋体" w:cs="Times New Roman"/>
                <w:color w:val="auto"/>
                <w:sz w:val="21"/>
                <w:szCs w:val="21"/>
                <w:highlight w:val="none"/>
                <w:lang w:val="en-US" w:eastAsia="zh-CN"/>
              </w:rPr>
              <w:t>t/a</w:t>
            </w:r>
          </w:p>
        </w:tc>
        <w:tc>
          <w:tcPr>
            <w:tcW w:w="12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5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t>t/a</w:t>
            </w:r>
          </w:p>
        </w:tc>
        <w:tc>
          <w:tcPr>
            <w:tcW w:w="16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37" w:type="dxa"/>
            <w:vMerge w:val="continue"/>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rPr>
            </w:pPr>
          </w:p>
        </w:tc>
        <w:tc>
          <w:tcPr>
            <w:tcW w:w="1852" w:type="dxa"/>
            <w:vAlign w:val="center"/>
          </w:tcPr>
          <w:p>
            <w:pPr>
              <w:spacing w:line="240" w:lineRule="auto"/>
              <w:jc w:val="center"/>
              <w:rPr>
                <w:rFonts w:hint="eastAsia"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000000" w:themeColor="text1"/>
                <w:sz w:val="21"/>
                <w:lang w:val="en-US" w:eastAsia="zh-CN"/>
                <w14:textFill>
                  <w14:solidFill>
                    <w14:schemeClr w14:val="tx1"/>
                  </w14:solidFill>
                </w14:textFill>
              </w:rPr>
              <w:t>废铁</w:t>
            </w:r>
          </w:p>
        </w:tc>
        <w:tc>
          <w:tcPr>
            <w:tcW w:w="15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15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17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0.001t/a</w:t>
            </w:r>
          </w:p>
        </w:tc>
        <w:tc>
          <w:tcPr>
            <w:tcW w:w="12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5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0.001t/a</w:t>
            </w:r>
          </w:p>
        </w:tc>
        <w:tc>
          <w:tcPr>
            <w:tcW w:w="16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+0.001t/a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137" w:type="dxa"/>
            <w:vMerge w:val="restart"/>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rPr>
            </w:pPr>
            <w:r>
              <w:rPr>
                <w:rFonts w:hint="default" w:ascii="Times New Roman" w:hAnsi="Times New Roman" w:eastAsia="宋体" w:cs="Times New Roman"/>
                <w:color w:val="auto"/>
                <w:kern w:val="21"/>
                <w:sz w:val="21"/>
                <w:szCs w:val="21"/>
              </w:rPr>
              <w:t>危险废物</w:t>
            </w:r>
          </w:p>
        </w:tc>
        <w:tc>
          <w:tcPr>
            <w:tcW w:w="1852" w:type="dxa"/>
            <w:vAlign w:val="center"/>
          </w:tcPr>
          <w:p>
            <w:pPr>
              <w:spacing w:line="240" w:lineRule="auto"/>
              <w:jc w:val="center"/>
              <w:rPr>
                <w:rFonts w:hint="default" w:ascii="Times New Roman" w:hAnsi="Times New Roman" w:eastAsia="宋体" w:cs="Times New Roman"/>
                <w:color w:val="auto"/>
                <w:kern w:val="21"/>
                <w:sz w:val="21"/>
                <w:szCs w:val="21"/>
                <w:lang w:val="en-US" w:eastAsia="zh-CN"/>
              </w:rPr>
            </w:pPr>
            <w:r>
              <w:rPr>
                <w:rFonts w:hint="default" w:ascii="Times New Roman" w:hAnsi="Times New Roman" w:eastAsia="宋体" w:cs="Times New Roman"/>
                <w:bCs/>
                <w:color w:val="auto"/>
                <w:sz w:val="21"/>
                <w:szCs w:val="21"/>
              </w:rPr>
              <w:t>废机油</w:t>
            </w:r>
          </w:p>
        </w:tc>
        <w:tc>
          <w:tcPr>
            <w:tcW w:w="15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15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17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w:t>
            </w:r>
            <w:r>
              <w:rPr>
                <w:rFonts w:hint="default" w:ascii="Times New Roman" w:hAnsi="Times New Roman" w:eastAsia="宋体" w:cs="Times New Roman"/>
                <w:color w:val="auto"/>
                <w:sz w:val="21"/>
                <w:szCs w:val="21"/>
                <w:highlight w:val="none"/>
                <w:lang w:val="en-US" w:eastAsia="zh-CN"/>
              </w:rPr>
              <w:t>t/a</w:t>
            </w:r>
          </w:p>
        </w:tc>
        <w:tc>
          <w:tcPr>
            <w:tcW w:w="12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5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w:t>
            </w:r>
            <w:r>
              <w:rPr>
                <w:rFonts w:hint="default" w:ascii="Times New Roman" w:hAnsi="Times New Roman" w:eastAsia="宋体" w:cs="Times New Roman"/>
                <w:color w:val="auto"/>
                <w:sz w:val="21"/>
                <w:szCs w:val="21"/>
                <w:highlight w:val="none"/>
                <w:lang w:val="en-US" w:eastAsia="zh-CN"/>
              </w:rPr>
              <w:t>t/a</w:t>
            </w:r>
          </w:p>
        </w:tc>
        <w:tc>
          <w:tcPr>
            <w:tcW w:w="16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w:t>
            </w:r>
            <w:r>
              <w:rPr>
                <w:rFonts w:hint="default" w:ascii="Times New Roman" w:hAnsi="Times New Roman" w:eastAsia="宋体" w:cs="Times New Roman"/>
                <w:color w:val="auto"/>
                <w:sz w:val="21"/>
                <w:szCs w:val="21"/>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137" w:type="dxa"/>
            <w:vMerge w:val="continue"/>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rPr>
            </w:pPr>
          </w:p>
        </w:tc>
        <w:tc>
          <w:tcPr>
            <w:tcW w:w="1852" w:type="dxa"/>
            <w:vAlign w:val="center"/>
          </w:tcPr>
          <w:p>
            <w:pPr>
              <w:spacing w:line="240" w:lineRule="auto"/>
              <w:jc w:val="center"/>
              <w:rPr>
                <w:rFonts w:hint="default" w:ascii="Times New Roman" w:hAnsi="Times New Roman" w:eastAsia="宋体" w:cs="Times New Roman"/>
                <w:color w:val="auto"/>
                <w:kern w:val="21"/>
                <w:sz w:val="21"/>
                <w:szCs w:val="21"/>
              </w:rPr>
            </w:pPr>
            <w:r>
              <w:rPr>
                <w:rFonts w:hint="default" w:ascii="Times New Roman" w:hAnsi="Times New Roman" w:eastAsia="宋体" w:cs="Times New Roman"/>
                <w:bCs/>
                <w:color w:val="auto"/>
                <w:sz w:val="21"/>
                <w:szCs w:val="21"/>
                <w:lang w:eastAsia="zh-CN"/>
              </w:rPr>
              <w:t>废油</w:t>
            </w:r>
            <w:r>
              <w:rPr>
                <w:rFonts w:hint="eastAsia" w:cs="Times New Roman"/>
                <w:bCs/>
                <w:color w:val="auto"/>
                <w:sz w:val="21"/>
                <w:szCs w:val="21"/>
                <w:lang w:val="en-US" w:eastAsia="zh-CN"/>
              </w:rPr>
              <w:t>桶</w:t>
            </w:r>
          </w:p>
        </w:tc>
        <w:tc>
          <w:tcPr>
            <w:tcW w:w="15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15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17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w:t>
            </w:r>
            <w:r>
              <w:rPr>
                <w:rFonts w:hint="default" w:ascii="Times New Roman" w:hAnsi="Times New Roman" w:eastAsia="宋体" w:cs="Times New Roman"/>
                <w:color w:val="auto"/>
                <w:sz w:val="21"/>
                <w:szCs w:val="21"/>
                <w:highlight w:val="none"/>
                <w:lang w:val="en-US" w:eastAsia="zh-CN"/>
              </w:rPr>
              <w:t>t/a</w:t>
            </w:r>
          </w:p>
        </w:tc>
        <w:tc>
          <w:tcPr>
            <w:tcW w:w="12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5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w:t>
            </w:r>
            <w:r>
              <w:rPr>
                <w:rFonts w:hint="default" w:ascii="Times New Roman" w:hAnsi="Times New Roman" w:eastAsia="宋体" w:cs="Times New Roman"/>
                <w:color w:val="auto"/>
                <w:sz w:val="21"/>
                <w:szCs w:val="21"/>
                <w:highlight w:val="none"/>
                <w:lang w:val="en-US" w:eastAsia="zh-CN"/>
              </w:rPr>
              <w:t>t/a</w:t>
            </w:r>
          </w:p>
        </w:tc>
        <w:tc>
          <w:tcPr>
            <w:tcW w:w="16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w:t>
            </w:r>
            <w:r>
              <w:rPr>
                <w:rFonts w:hint="default" w:ascii="Times New Roman" w:hAnsi="Times New Roman" w:eastAsia="宋体" w:cs="Times New Roman"/>
                <w:color w:val="auto"/>
                <w:sz w:val="21"/>
                <w:szCs w:val="21"/>
                <w:highlight w:val="none"/>
                <w:lang w:val="en-US" w:eastAsia="zh-CN"/>
              </w:rPr>
              <w:t>t/a</w:t>
            </w:r>
          </w:p>
        </w:tc>
      </w:tr>
    </w:tbl>
    <w:p>
      <w:pPr>
        <w:pStyle w:val="35"/>
        <w:spacing w:beforeLines="0" w:afterLines="0"/>
        <w:jc w:val="left"/>
        <w:rPr>
          <w:rFonts w:hint="eastAsia" w:eastAsia="黑体"/>
          <w:color w:val="auto"/>
        </w:rPr>
      </w:pPr>
      <w:r>
        <w:rPr>
          <w:rFonts w:hAnsi="宋体"/>
          <w:color w:val="auto"/>
          <w:kern w:val="21"/>
          <w:szCs w:val="21"/>
        </w:rPr>
        <w:t>注：</w:t>
      </w:r>
      <w:r>
        <w:rPr>
          <w:rFonts w:hAnsi="宋体"/>
          <w:color w:val="auto"/>
          <w:spacing w:val="-16"/>
          <w:kern w:val="21"/>
          <w:szCs w:val="21"/>
        </w:rPr>
        <w:fldChar w:fldCharType="begin"/>
      </w:r>
      <w:r>
        <w:rPr>
          <w:rFonts w:hAnsi="宋体"/>
          <w:color w:val="auto"/>
          <w:spacing w:val="-16"/>
          <w:kern w:val="21"/>
          <w:szCs w:val="21"/>
        </w:rPr>
        <w:instrText xml:space="preserve"> = 6 \* GB3 \* MERGEFORMAT </w:instrText>
      </w:r>
      <w:r>
        <w:rPr>
          <w:rFonts w:hAnsi="宋体"/>
          <w:color w:val="auto"/>
          <w:spacing w:val="-16"/>
          <w:kern w:val="21"/>
          <w:szCs w:val="21"/>
        </w:rPr>
        <w:fldChar w:fldCharType="separate"/>
      </w:r>
      <w:r>
        <w:rPr>
          <w:rFonts w:hint="eastAsia" w:hAnsi="宋体"/>
          <w:color w:val="auto"/>
          <w:szCs w:val="21"/>
        </w:rPr>
        <w:t>⑥</w:t>
      </w:r>
      <w:r>
        <w:rPr>
          <w:rFonts w:hAnsi="宋体"/>
          <w:color w:val="auto"/>
          <w:spacing w:val="-16"/>
          <w:kern w:val="21"/>
          <w:szCs w:val="21"/>
        </w:rPr>
        <w:fldChar w:fldCharType="end"/>
      </w:r>
      <w:r>
        <w:rPr>
          <w:rFonts w:hAnsi="宋体"/>
          <w:color w:val="auto"/>
          <w:spacing w:val="-16"/>
          <w:kern w:val="21"/>
          <w:szCs w:val="21"/>
        </w:rPr>
        <w:t>=</w:t>
      </w:r>
      <w:r>
        <w:rPr>
          <w:rFonts w:hAnsi="宋体"/>
          <w:color w:val="auto"/>
          <w:spacing w:val="-6"/>
          <w:kern w:val="21"/>
          <w:szCs w:val="21"/>
        </w:rPr>
        <w:fldChar w:fldCharType="begin"/>
      </w:r>
      <w:r>
        <w:rPr>
          <w:rFonts w:hAnsi="宋体"/>
          <w:color w:val="auto"/>
          <w:spacing w:val="-6"/>
          <w:kern w:val="21"/>
          <w:szCs w:val="21"/>
        </w:rPr>
        <w:instrText xml:space="preserve"> = 1 \* GB3 \* MERGEFORMAT </w:instrText>
      </w:r>
      <w:r>
        <w:rPr>
          <w:rFonts w:hAnsi="宋体"/>
          <w:color w:val="auto"/>
          <w:spacing w:val="-6"/>
          <w:kern w:val="21"/>
          <w:szCs w:val="21"/>
        </w:rPr>
        <w:fldChar w:fldCharType="separate"/>
      </w:r>
      <w:r>
        <w:rPr>
          <w:rFonts w:hint="eastAsia" w:hAnsi="宋体"/>
          <w:color w:val="auto"/>
          <w:szCs w:val="21"/>
        </w:rPr>
        <w:t>①</w:t>
      </w:r>
      <w:r>
        <w:rPr>
          <w:rFonts w:hAnsi="宋体"/>
          <w:color w:val="auto"/>
          <w:spacing w:val="-6"/>
          <w:kern w:val="21"/>
          <w:szCs w:val="21"/>
        </w:rPr>
        <w:fldChar w:fldCharType="end"/>
      </w:r>
      <w:r>
        <w:rPr>
          <w:rFonts w:hAnsi="宋体"/>
          <w:color w:val="auto"/>
          <w:spacing w:val="-6"/>
          <w:kern w:val="21"/>
          <w:szCs w:val="21"/>
        </w:rPr>
        <w:t>+</w:t>
      </w:r>
      <w:r>
        <w:rPr>
          <w:rFonts w:hAnsi="宋体"/>
          <w:color w:val="auto"/>
          <w:spacing w:val="-6"/>
          <w:kern w:val="21"/>
          <w:szCs w:val="21"/>
        </w:rPr>
        <w:fldChar w:fldCharType="begin"/>
      </w:r>
      <w:r>
        <w:rPr>
          <w:rFonts w:hAnsi="宋体"/>
          <w:color w:val="auto"/>
          <w:spacing w:val="-6"/>
          <w:kern w:val="21"/>
          <w:szCs w:val="21"/>
        </w:rPr>
        <w:instrText xml:space="preserve"> = 3 \* GB3 \* MERGEFORMAT </w:instrText>
      </w:r>
      <w:r>
        <w:rPr>
          <w:rFonts w:hAnsi="宋体"/>
          <w:color w:val="auto"/>
          <w:spacing w:val="-6"/>
          <w:kern w:val="21"/>
          <w:szCs w:val="21"/>
        </w:rPr>
        <w:fldChar w:fldCharType="separate"/>
      </w:r>
      <w:r>
        <w:rPr>
          <w:rFonts w:hint="eastAsia" w:hAnsi="宋体"/>
          <w:color w:val="auto"/>
          <w:szCs w:val="21"/>
        </w:rPr>
        <w:t>③</w:t>
      </w:r>
      <w:r>
        <w:rPr>
          <w:rFonts w:hAnsi="宋体"/>
          <w:color w:val="auto"/>
          <w:spacing w:val="-6"/>
          <w:kern w:val="21"/>
          <w:szCs w:val="21"/>
        </w:rPr>
        <w:fldChar w:fldCharType="end"/>
      </w:r>
      <w:r>
        <w:rPr>
          <w:rFonts w:hAnsi="宋体"/>
          <w:color w:val="auto"/>
          <w:spacing w:val="-6"/>
          <w:kern w:val="21"/>
          <w:szCs w:val="21"/>
        </w:rPr>
        <w:t>+</w:t>
      </w:r>
      <w:r>
        <w:rPr>
          <w:rFonts w:hAnsi="宋体"/>
          <w:color w:val="auto"/>
          <w:spacing w:val="-6"/>
          <w:kern w:val="21"/>
          <w:szCs w:val="21"/>
        </w:rPr>
        <w:fldChar w:fldCharType="begin"/>
      </w:r>
      <w:r>
        <w:rPr>
          <w:rFonts w:hAnsi="宋体"/>
          <w:color w:val="auto"/>
          <w:spacing w:val="-6"/>
          <w:kern w:val="21"/>
          <w:szCs w:val="21"/>
        </w:rPr>
        <w:instrText xml:space="preserve"> = 4 \* GB3 \* MERGEFORMAT </w:instrText>
      </w:r>
      <w:r>
        <w:rPr>
          <w:rFonts w:hAnsi="宋体"/>
          <w:color w:val="auto"/>
          <w:spacing w:val="-6"/>
          <w:kern w:val="21"/>
          <w:szCs w:val="21"/>
        </w:rPr>
        <w:fldChar w:fldCharType="separate"/>
      </w:r>
      <w:r>
        <w:rPr>
          <w:rFonts w:hint="eastAsia" w:hAnsi="宋体"/>
          <w:color w:val="auto"/>
          <w:szCs w:val="21"/>
        </w:rPr>
        <w:t>④</w:t>
      </w:r>
      <w:r>
        <w:rPr>
          <w:rFonts w:hAnsi="宋体"/>
          <w:color w:val="auto"/>
          <w:spacing w:val="-6"/>
          <w:kern w:val="21"/>
          <w:szCs w:val="21"/>
        </w:rPr>
        <w:fldChar w:fldCharType="end"/>
      </w:r>
      <w:r>
        <w:rPr>
          <w:rFonts w:hAnsi="宋体"/>
          <w:color w:val="auto"/>
          <w:spacing w:val="-6"/>
          <w:kern w:val="21"/>
          <w:szCs w:val="21"/>
        </w:rPr>
        <w:t>-</w:t>
      </w:r>
      <w:r>
        <w:rPr>
          <w:rFonts w:hAnsi="宋体"/>
          <w:color w:val="auto"/>
          <w:spacing w:val="-16"/>
          <w:kern w:val="21"/>
          <w:szCs w:val="21"/>
        </w:rPr>
        <w:fldChar w:fldCharType="begin"/>
      </w:r>
      <w:r>
        <w:rPr>
          <w:rFonts w:hAnsi="宋体"/>
          <w:color w:val="auto"/>
          <w:spacing w:val="-16"/>
          <w:kern w:val="21"/>
          <w:szCs w:val="21"/>
        </w:rPr>
        <w:instrText xml:space="preserve"> = 5 \* GB3 \* MERGEFORMAT </w:instrText>
      </w:r>
      <w:r>
        <w:rPr>
          <w:rFonts w:hAnsi="宋体"/>
          <w:color w:val="auto"/>
          <w:spacing w:val="-16"/>
          <w:kern w:val="21"/>
          <w:szCs w:val="21"/>
        </w:rPr>
        <w:fldChar w:fldCharType="separate"/>
      </w:r>
      <w:r>
        <w:rPr>
          <w:rFonts w:hint="eastAsia" w:hAnsi="宋体"/>
          <w:color w:val="auto"/>
          <w:szCs w:val="21"/>
        </w:rPr>
        <w:t>⑤</w:t>
      </w:r>
      <w:r>
        <w:rPr>
          <w:rFonts w:hAnsi="宋体"/>
          <w:color w:val="auto"/>
          <w:spacing w:val="-16"/>
          <w:kern w:val="21"/>
          <w:szCs w:val="21"/>
        </w:rPr>
        <w:fldChar w:fldCharType="end"/>
      </w:r>
      <w:r>
        <w:rPr>
          <w:rFonts w:hAnsi="宋体"/>
          <w:color w:val="auto"/>
          <w:spacing w:val="-16"/>
          <w:kern w:val="21"/>
          <w:szCs w:val="21"/>
        </w:rPr>
        <w:t>；</w:t>
      </w:r>
      <w:r>
        <w:rPr>
          <w:rFonts w:hAnsi="宋体"/>
          <w:color w:val="auto"/>
          <w:spacing w:val="-6"/>
          <w:kern w:val="21"/>
          <w:szCs w:val="21"/>
        </w:rPr>
        <w:fldChar w:fldCharType="begin"/>
      </w:r>
      <w:r>
        <w:rPr>
          <w:rFonts w:hAnsi="宋体"/>
          <w:color w:val="auto"/>
          <w:spacing w:val="-6"/>
          <w:kern w:val="21"/>
          <w:szCs w:val="21"/>
        </w:rPr>
        <w:instrText xml:space="preserve"> = 7 \* GB3 \* MERGEFORMAT </w:instrText>
      </w:r>
      <w:r>
        <w:rPr>
          <w:rFonts w:hAnsi="宋体"/>
          <w:color w:val="auto"/>
          <w:spacing w:val="-6"/>
          <w:kern w:val="21"/>
          <w:szCs w:val="21"/>
        </w:rPr>
        <w:fldChar w:fldCharType="separate"/>
      </w:r>
      <w:r>
        <w:rPr>
          <w:rFonts w:hint="eastAsia" w:hAnsi="宋体"/>
          <w:color w:val="auto"/>
          <w:szCs w:val="21"/>
        </w:rPr>
        <w:t>⑦</w:t>
      </w:r>
      <w:r>
        <w:rPr>
          <w:rFonts w:hAnsi="宋体"/>
          <w:color w:val="auto"/>
          <w:spacing w:val="-6"/>
          <w:kern w:val="21"/>
          <w:szCs w:val="21"/>
        </w:rPr>
        <w:fldChar w:fldCharType="end"/>
      </w:r>
      <w:r>
        <w:rPr>
          <w:rFonts w:hAnsi="宋体"/>
          <w:color w:val="auto"/>
          <w:spacing w:val="-6"/>
          <w:kern w:val="21"/>
          <w:szCs w:val="21"/>
        </w:rPr>
        <w:t>=</w:t>
      </w:r>
      <w:r>
        <w:rPr>
          <w:rFonts w:hAnsi="宋体"/>
          <w:color w:val="auto"/>
          <w:spacing w:val="-16"/>
          <w:kern w:val="21"/>
          <w:szCs w:val="21"/>
        </w:rPr>
        <w:fldChar w:fldCharType="begin"/>
      </w:r>
      <w:r>
        <w:rPr>
          <w:rFonts w:hAnsi="宋体"/>
          <w:color w:val="auto"/>
          <w:spacing w:val="-16"/>
          <w:kern w:val="21"/>
          <w:szCs w:val="21"/>
        </w:rPr>
        <w:instrText xml:space="preserve"> = 6 \* GB3 \* MERGEFORMAT </w:instrText>
      </w:r>
      <w:r>
        <w:rPr>
          <w:rFonts w:hAnsi="宋体"/>
          <w:color w:val="auto"/>
          <w:spacing w:val="-16"/>
          <w:kern w:val="21"/>
          <w:szCs w:val="21"/>
        </w:rPr>
        <w:fldChar w:fldCharType="separate"/>
      </w:r>
      <w:r>
        <w:rPr>
          <w:rFonts w:hint="eastAsia" w:hAnsi="宋体"/>
          <w:color w:val="auto"/>
          <w:szCs w:val="21"/>
        </w:rPr>
        <w:t>⑥</w:t>
      </w:r>
      <w:r>
        <w:rPr>
          <w:rFonts w:hAnsi="宋体"/>
          <w:color w:val="auto"/>
          <w:spacing w:val="-16"/>
          <w:kern w:val="21"/>
          <w:szCs w:val="21"/>
        </w:rPr>
        <w:fldChar w:fldCharType="end"/>
      </w:r>
      <w:r>
        <w:rPr>
          <w:rFonts w:hAnsi="宋体"/>
          <w:color w:val="auto"/>
          <w:spacing w:val="-16"/>
          <w:kern w:val="21"/>
          <w:szCs w:val="21"/>
        </w:rPr>
        <w:t>-</w:t>
      </w:r>
      <w:r>
        <w:rPr>
          <w:rFonts w:hAnsi="宋体"/>
          <w:color w:val="auto"/>
          <w:spacing w:val="-6"/>
          <w:kern w:val="21"/>
          <w:szCs w:val="21"/>
        </w:rPr>
        <w:fldChar w:fldCharType="begin"/>
      </w:r>
      <w:r>
        <w:rPr>
          <w:rFonts w:hAnsi="宋体"/>
          <w:color w:val="auto"/>
          <w:spacing w:val="-6"/>
          <w:kern w:val="21"/>
          <w:szCs w:val="21"/>
        </w:rPr>
        <w:instrText xml:space="preserve"> = 1 \* GB3 \* MERGEFORMAT </w:instrText>
      </w:r>
      <w:r>
        <w:rPr>
          <w:rFonts w:hAnsi="宋体"/>
          <w:color w:val="auto"/>
          <w:spacing w:val="-6"/>
          <w:kern w:val="21"/>
          <w:szCs w:val="21"/>
        </w:rPr>
        <w:fldChar w:fldCharType="separate"/>
      </w:r>
      <w:r>
        <w:rPr>
          <w:rFonts w:hint="eastAsia" w:hAnsi="宋体"/>
          <w:color w:val="auto"/>
          <w:szCs w:val="21"/>
        </w:rPr>
        <w:t>①</w:t>
      </w:r>
      <w:r>
        <w:rPr>
          <w:rFonts w:hAnsi="宋体"/>
          <w:color w:val="auto"/>
          <w:spacing w:val="-6"/>
          <w:kern w:val="21"/>
          <w:szCs w:val="21"/>
        </w:rPr>
        <w:fldChar w:fldCharType="end"/>
      </w: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pPr>
    <w:r>
      <w:fldChar w:fldCharType="begin"/>
    </w:r>
    <w:r>
      <w:instrText xml:space="preserve">PAGE  </w:instrText>
    </w:r>
    <w:r>
      <w:fldChar w:fldCharType="end"/>
    </w:r>
  </w:p>
  <w:p>
    <w:pPr>
      <w:tabs>
        <w:tab w:val="center" w:pos="4153"/>
        <w:tab w:val="right" w:pos="8306"/>
      </w:tabs>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pPr>
    <w:r>
      <w:fldChar w:fldCharType="begin"/>
    </w:r>
    <w:r>
      <w:instrText xml:space="preserve">PAGE   \* MERGEFORMAT</w:instrText>
    </w:r>
    <w:r>
      <w:fldChar w:fldCharType="separate"/>
    </w:r>
    <w:r>
      <w:rPr>
        <w:lang w:val="zh-CN"/>
      </w:rPr>
      <w:t>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pPr>
    <w:r>
      <w:fldChar w:fldCharType="begin"/>
    </w:r>
    <w:r>
      <w:instrText xml:space="preserve">PAGE   \* MERGEFORMAT</w:instrText>
    </w:r>
    <w:r>
      <w:fldChar w:fldCharType="separate"/>
    </w:r>
    <w:r>
      <w:rPr>
        <w:lang w:val="zh-CN"/>
      </w:rP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C494AA"/>
    <w:multiLevelType w:val="singleLevel"/>
    <w:tmpl w:val="0FC494AA"/>
    <w:lvl w:ilvl="0" w:tentative="0">
      <w:start w:val="1"/>
      <w:numFmt w:val="bullet"/>
      <w:pStyle w:val="17"/>
      <w:lvlText w:val=""/>
      <w:lvlJc w:val="left"/>
      <w:pPr>
        <w:tabs>
          <w:tab w:val="left" w:pos="2040"/>
        </w:tabs>
        <w:ind w:left="2040" w:hanging="360"/>
      </w:pPr>
      <w:rPr>
        <w:rFonts w:hint="default" w:ascii="Wingdings" w:hAnsi="Wingdings"/>
      </w:rPr>
    </w:lvl>
  </w:abstractNum>
  <w:abstractNum w:abstractNumId="1">
    <w:nsid w:val="1184C1C7"/>
    <w:multiLevelType w:val="singleLevel"/>
    <w:tmpl w:val="1184C1C7"/>
    <w:lvl w:ilvl="0" w:tentative="0">
      <w:start w:val="1"/>
      <w:numFmt w:val="bullet"/>
      <w:pStyle w:val="12"/>
      <w:lvlText w:val=""/>
      <w:lvlJc w:val="left"/>
      <w:pPr>
        <w:tabs>
          <w:tab w:val="left" w:pos="780"/>
        </w:tabs>
        <w:ind w:left="780" w:hanging="360"/>
      </w:pPr>
      <w:rPr>
        <w:rFonts w:hint="default" w:ascii="Wingdings" w:hAnsi="Wingdings"/>
      </w:rPr>
    </w:lvl>
  </w:abstractNum>
  <w:abstractNum w:abstractNumId="2">
    <w:nsid w:val="4656DC8C"/>
    <w:multiLevelType w:val="singleLevel"/>
    <w:tmpl w:val="4656DC8C"/>
    <w:lvl w:ilvl="0" w:tentative="0">
      <w:start w:val="1"/>
      <w:numFmt w:val="decimal"/>
      <w:suff w:val="nothing"/>
      <w:lvlText w:val="（%1）"/>
      <w:lvlJc w:val="left"/>
    </w:lvl>
  </w:abstractNum>
  <w:abstractNum w:abstractNumId="3">
    <w:nsid w:val="4D9B69FD"/>
    <w:multiLevelType w:val="multilevel"/>
    <w:tmpl w:val="4D9B69FD"/>
    <w:lvl w:ilvl="0" w:tentative="0">
      <w:start w:val="1"/>
      <w:numFmt w:val="decimal"/>
      <w:lvlText w:val="%1"/>
      <w:lvlJc w:val="left"/>
      <w:pPr>
        <w:tabs>
          <w:tab w:val="left" w:pos="432"/>
        </w:tabs>
        <w:ind w:left="432" w:hanging="432"/>
      </w:pPr>
      <w:rPr>
        <w:rFonts w:hint="eastAsia"/>
      </w:rPr>
    </w:lvl>
    <w:lvl w:ilvl="1" w:tentative="0">
      <w:start w:val="1"/>
      <w:numFmt w:val="decimal"/>
      <w:pStyle w:val="38"/>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7A2F098D"/>
    <w:multiLevelType w:val="singleLevel"/>
    <w:tmpl w:val="7A2F098D"/>
    <w:lvl w:ilvl="0" w:tentative="0">
      <w:start w:val="3"/>
      <w:numFmt w:val="decimal"/>
      <w:suff w:val="nothing"/>
      <w:lvlText w:val="（%1）"/>
      <w:lvlJc w:val="left"/>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890F2C"/>
    <w:rsid w:val="000B0568"/>
    <w:rsid w:val="000C1690"/>
    <w:rsid w:val="001A7C69"/>
    <w:rsid w:val="001C0E60"/>
    <w:rsid w:val="00371C72"/>
    <w:rsid w:val="0041551E"/>
    <w:rsid w:val="004D714B"/>
    <w:rsid w:val="004F1E3F"/>
    <w:rsid w:val="00500950"/>
    <w:rsid w:val="005515F2"/>
    <w:rsid w:val="00681D0D"/>
    <w:rsid w:val="00813B32"/>
    <w:rsid w:val="00890F2C"/>
    <w:rsid w:val="008930D5"/>
    <w:rsid w:val="00C76BA4"/>
    <w:rsid w:val="00E05FE3"/>
    <w:rsid w:val="00ED2F5C"/>
    <w:rsid w:val="01B464A4"/>
    <w:rsid w:val="020C0B8A"/>
    <w:rsid w:val="027D02FE"/>
    <w:rsid w:val="02FC34C3"/>
    <w:rsid w:val="03073477"/>
    <w:rsid w:val="035B1C63"/>
    <w:rsid w:val="04B1359A"/>
    <w:rsid w:val="04B86163"/>
    <w:rsid w:val="04E55251"/>
    <w:rsid w:val="05313CA5"/>
    <w:rsid w:val="054840E4"/>
    <w:rsid w:val="056050F8"/>
    <w:rsid w:val="0582764B"/>
    <w:rsid w:val="05B12C95"/>
    <w:rsid w:val="061A5470"/>
    <w:rsid w:val="06293DA5"/>
    <w:rsid w:val="06AC0B73"/>
    <w:rsid w:val="06CD24E2"/>
    <w:rsid w:val="075014F5"/>
    <w:rsid w:val="079D055C"/>
    <w:rsid w:val="079F62E2"/>
    <w:rsid w:val="07A843F9"/>
    <w:rsid w:val="07B13B57"/>
    <w:rsid w:val="07F65A68"/>
    <w:rsid w:val="086F533E"/>
    <w:rsid w:val="087827F5"/>
    <w:rsid w:val="08852948"/>
    <w:rsid w:val="08C01BD2"/>
    <w:rsid w:val="09797E6E"/>
    <w:rsid w:val="09CE251B"/>
    <w:rsid w:val="0A9C11A5"/>
    <w:rsid w:val="0ABF65E6"/>
    <w:rsid w:val="0B210216"/>
    <w:rsid w:val="0B2B77D7"/>
    <w:rsid w:val="0C021824"/>
    <w:rsid w:val="0CA769A4"/>
    <w:rsid w:val="0CD62A3A"/>
    <w:rsid w:val="0CFE36D8"/>
    <w:rsid w:val="0D572FAD"/>
    <w:rsid w:val="0D760E3E"/>
    <w:rsid w:val="0E94690E"/>
    <w:rsid w:val="0EAF35B4"/>
    <w:rsid w:val="0F003C56"/>
    <w:rsid w:val="0F557518"/>
    <w:rsid w:val="0F6B6D3C"/>
    <w:rsid w:val="11610223"/>
    <w:rsid w:val="11A879CB"/>
    <w:rsid w:val="11E1462E"/>
    <w:rsid w:val="125A3098"/>
    <w:rsid w:val="127855B5"/>
    <w:rsid w:val="129014CA"/>
    <w:rsid w:val="12A30660"/>
    <w:rsid w:val="1338330D"/>
    <w:rsid w:val="13DC6560"/>
    <w:rsid w:val="141334FE"/>
    <w:rsid w:val="142D33D5"/>
    <w:rsid w:val="14432035"/>
    <w:rsid w:val="14893B61"/>
    <w:rsid w:val="14FC66CB"/>
    <w:rsid w:val="15A23712"/>
    <w:rsid w:val="15AF63D8"/>
    <w:rsid w:val="15C75962"/>
    <w:rsid w:val="167D744E"/>
    <w:rsid w:val="16A6101D"/>
    <w:rsid w:val="16ED307D"/>
    <w:rsid w:val="173C1341"/>
    <w:rsid w:val="175B4D0D"/>
    <w:rsid w:val="18474AFD"/>
    <w:rsid w:val="18673679"/>
    <w:rsid w:val="18C234D2"/>
    <w:rsid w:val="18FC2770"/>
    <w:rsid w:val="190366AF"/>
    <w:rsid w:val="199C51C6"/>
    <w:rsid w:val="19C62AAD"/>
    <w:rsid w:val="19E34404"/>
    <w:rsid w:val="1A3D43DF"/>
    <w:rsid w:val="1A71487B"/>
    <w:rsid w:val="1AE756D3"/>
    <w:rsid w:val="1AEB16B7"/>
    <w:rsid w:val="1AF6675C"/>
    <w:rsid w:val="1BC2050B"/>
    <w:rsid w:val="1BF956CF"/>
    <w:rsid w:val="1BFF63B1"/>
    <w:rsid w:val="1C033E16"/>
    <w:rsid w:val="1C1465F2"/>
    <w:rsid w:val="1CC2706C"/>
    <w:rsid w:val="1D1264FC"/>
    <w:rsid w:val="1D5B2A4B"/>
    <w:rsid w:val="1DD76EC5"/>
    <w:rsid w:val="1E6F2058"/>
    <w:rsid w:val="200B698E"/>
    <w:rsid w:val="2175668D"/>
    <w:rsid w:val="22387D8C"/>
    <w:rsid w:val="22511521"/>
    <w:rsid w:val="227B0841"/>
    <w:rsid w:val="22A05227"/>
    <w:rsid w:val="22E42126"/>
    <w:rsid w:val="2316763D"/>
    <w:rsid w:val="23235DFC"/>
    <w:rsid w:val="235C73C7"/>
    <w:rsid w:val="236B6EE6"/>
    <w:rsid w:val="23F54E4F"/>
    <w:rsid w:val="24037122"/>
    <w:rsid w:val="24350297"/>
    <w:rsid w:val="24461335"/>
    <w:rsid w:val="251458E0"/>
    <w:rsid w:val="25225E03"/>
    <w:rsid w:val="25F435D2"/>
    <w:rsid w:val="263F48D6"/>
    <w:rsid w:val="26623FE6"/>
    <w:rsid w:val="26715CFB"/>
    <w:rsid w:val="272C44C5"/>
    <w:rsid w:val="274E255F"/>
    <w:rsid w:val="27661AFD"/>
    <w:rsid w:val="2769772F"/>
    <w:rsid w:val="27995C12"/>
    <w:rsid w:val="28385A80"/>
    <w:rsid w:val="28697739"/>
    <w:rsid w:val="289E0F14"/>
    <w:rsid w:val="28C04968"/>
    <w:rsid w:val="28E71A18"/>
    <w:rsid w:val="28F116AC"/>
    <w:rsid w:val="293224EE"/>
    <w:rsid w:val="29B37AEF"/>
    <w:rsid w:val="29E452C9"/>
    <w:rsid w:val="2A1B323C"/>
    <w:rsid w:val="2A7C19A5"/>
    <w:rsid w:val="2B5C1C33"/>
    <w:rsid w:val="2B7E52A9"/>
    <w:rsid w:val="2BDB7C6F"/>
    <w:rsid w:val="2C5C1ACB"/>
    <w:rsid w:val="2C791270"/>
    <w:rsid w:val="2C7A7EFA"/>
    <w:rsid w:val="2C817C2E"/>
    <w:rsid w:val="2D035A86"/>
    <w:rsid w:val="2D357AAA"/>
    <w:rsid w:val="2D7B158E"/>
    <w:rsid w:val="2DAD55A6"/>
    <w:rsid w:val="2DFF3243"/>
    <w:rsid w:val="2E3D052D"/>
    <w:rsid w:val="2EA3213B"/>
    <w:rsid w:val="2EA520B5"/>
    <w:rsid w:val="2EF738BB"/>
    <w:rsid w:val="2EFD761D"/>
    <w:rsid w:val="2F2F2702"/>
    <w:rsid w:val="2F3C5BA7"/>
    <w:rsid w:val="2F6C75E3"/>
    <w:rsid w:val="2FAC44C0"/>
    <w:rsid w:val="305F62AA"/>
    <w:rsid w:val="309641D1"/>
    <w:rsid w:val="30AE6631"/>
    <w:rsid w:val="30C04A87"/>
    <w:rsid w:val="30C4138B"/>
    <w:rsid w:val="31F97FD7"/>
    <w:rsid w:val="32134E86"/>
    <w:rsid w:val="32562628"/>
    <w:rsid w:val="328533C1"/>
    <w:rsid w:val="3287755E"/>
    <w:rsid w:val="32C7709C"/>
    <w:rsid w:val="32DA75DE"/>
    <w:rsid w:val="32ED6E25"/>
    <w:rsid w:val="3303057F"/>
    <w:rsid w:val="33106133"/>
    <w:rsid w:val="33132824"/>
    <w:rsid w:val="33305F41"/>
    <w:rsid w:val="33EF3397"/>
    <w:rsid w:val="33F71BCC"/>
    <w:rsid w:val="343C7FF9"/>
    <w:rsid w:val="34A128E0"/>
    <w:rsid w:val="34CF784C"/>
    <w:rsid w:val="35A46254"/>
    <w:rsid w:val="35E143D0"/>
    <w:rsid w:val="35FA531F"/>
    <w:rsid w:val="370A1360"/>
    <w:rsid w:val="37734130"/>
    <w:rsid w:val="37925BDC"/>
    <w:rsid w:val="38312021"/>
    <w:rsid w:val="387D5FC2"/>
    <w:rsid w:val="389025D9"/>
    <w:rsid w:val="392A565E"/>
    <w:rsid w:val="39F9314B"/>
    <w:rsid w:val="3A5F3440"/>
    <w:rsid w:val="3AA12E7A"/>
    <w:rsid w:val="3AD75F7E"/>
    <w:rsid w:val="3B067D27"/>
    <w:rsid w:val="3B533320"/>
    <w:rsid w:val="3BA72DA7"/>
    <w:rsid w:val="3BF30917"/>
    <w:rsid w:val="3C67540A"/>
    <w:rsid w:val="3CD53CA6"/>
    <w:rsid w:val="3D0C417F"/>
    <w:rsid w:val="3DCA0BE3"/>
    <w:rsid w:val="3DD5193E"/>
    <w:rsid w:val="3DDF6D54"/>
    <w:rsid w:val="3E0F30CE"/>
    <w:rsid w:val="3E3F72C8"/>
    <w:rsid w:val="3F12422F"/>
    <w:rsid w:val="3F2F4DE1"/>
    <w:rsid w:val="3F9026F1"/>
    <w:rsid w:val="3FFA3C81"/>
    <w:rsid w:val="402E32EA"/>
    <w:rsid w:val="40563895"/>
    <w:rsid w:val="40592ECB"/>
    <w:rsid w:val="406E0B68"/>
    <w:rsid w:val="40926292"/>
    <w:rsid w:val="409E3FCC"/>
    <w:rsid w:val="40AA0BC3"/>
    <w:rsid w:val="40BB37FF"/>
    <w:rsid w:val="40D91F8A"/>
    <w:rsid w:val="40F417D7"/>
    <w:rsid w:val="41296327"/>
    <w:rsid w:val="417413FC"/>
    <w:rsid w:val="41BE1D71"/>
    <w:rsid w:val="41ED5368"/>
    <w:rsid w:val="42195B60"/>
    <w:rsid w:val="42A81FDA"/>
    <w:rsid w:val="437454B8"/>
    <w:rsid w:val="43B91524"/>
    <w:rsid w:val="43BA107A"/>
    <w:rsid w:val="441E5B35"/>
    <w:rsid w:val="44710F13"/>
    <w:rsid w:val="452F29DA"/>
    <w:rsid w:val="4546335C"/>
    <w:rsid w:val="45912351"/>
    <w:rsid w:val="45B44292"/>
    <w:rsid w:val="45BC6DF9"/>
    <w:rsid w:val="461116EF"/>
    <w:rsid w:val="46152F37"/>
    <w:rsid w:val="463D62C9"/>
    <w:rsid w:val="465E1311"/>
    <w:rsid w:val="46CC1F51"/>
    <w:rsid w:val="46D13242"/>
    <w:rsid w:val="475B07F9"/>
    <w:rsid w:val="47A93D24"/>
    <w:rsid w:val="47AE4623"/>
    <w:rsid w:val="47FD0B4D"/>
    <w:rsid w:val="481E1E96"/>
    <w:rsid w:val="48262E36"/>
    <w:rsid w:val="485F4779"/>
    <w:rsid w:val="49247038"/>
    <w:rsid w:val="49594EB0"/>
    <w:rsid w:val="49A65B34"/>
    <w:rsid w:val="49A9147D"/>
    <w:rsid w:val="49D4639E"/>
    <w:rsid w:val="4A5406D9"/>
    <w:rsid w:val="4A935209"/>
    <w:rsid w:val="4A9F6969"/>
    <w:rsid w:val="4B191E41"/>
    <w:rsid w:val="4B536EDA"/>
    <w:rsid w:val="4BB17E82"/>
    <w:rsid w:val="4BC3086E"/>
    <w:rsid w:val="4C980912"/>
    <w:rsid w:val="4CA517A6"/>
    <w:rsid w:val="4CAF130F"/>
    <w:rsid w:val="4E810A89"/>
    <w:rsid w:val="4EF253F0"/>
    <w:rsid w:val="4F2A1121"/>
    <w:rsid w:val="4F8A6DFE"/>
    <w:rsid w:val="50D11CD4"/>
    <w:rsid w:val="51C9028F"/>
    <w:rsid w:val="523F3331"/>
    <w:rsid w:val="526238F8"/>
    <w:rsid w:val="528454A3"/>
    <w:rsid w:val="529754ED"/>
    <w:rsid w:val="52A17693"/>
    <w:rsid w:val="542B06BE"/>
    <w:rsid w:val="54362463"/>
    <w:rsid w:val="54375778"/>
    <w:rsid w:val="547A0454"/>
    <w:rsid w:val="55137BA0"/>
    <w:rsid w:val="5538022B"/>
    <w:rsid w:val="55743852"/>
    <w:rsid w:val="55CF657E"/>
    <w:rsid w:val="56133501"/>
    <w:rsid w:val="56320613"/>
    <w:rsid w:val="571C50DC"/>
    <w:rsid w:val="57AE3ADC"/>
    <w:rsid w:val="58472D43"/>
    <w:rsid w:val="586D2F30"/>
    <w:rsid w:val="58DD3F37"/>
    <w:rsid w:val="59060650"/>
    <w:rsid w:val="5A1C2636"/>
    <w:rsid w:val="5A276988"/>
    <w:rsid w:val="5AA75D1B"/>
    <w:rsid w:val="5AEC7879"/>
    <w:rsid w:val="5BB57FC4"/>
    <w:rsid w:val="5BB82731"/>
    <w:rsid w:val="5C47587E"/>
    <w:rsid w:val="5C6739B4"/>
    <w:rsid w:val="5CA8382E"/>
    <w:rsid w:val="5CE1197E"/>
    <w:rsid w:val="5CFE4BFC"/>
    <w:rsid w:val="5D13264E"/>
    <w:rsid w:val="5DEA7F80"/>
    <w:rsid w:val="5E1F3BF3"/>
    <w:rsid w:val="5E52281E"/>
    <w:rsid w:val="5F603FDD"/>
    <w:rsid w:val="5F893C41"/>
    <w:rsid w:val="5FC66C44"/>
    <w:rsid w:val="5FD96977"/>
    <w:rsid w:val="600C444D"/>
    <w:rsid w:val="60634492"/>
    <w:rsid w:val="60D37DB0"/>
    <w:rsid w:val="61120392"/>
    <w:rsid w:val="61595B0C"/>
    <w:rsid w:val="615E35D8"/>
    <w:rsid w:val="61D2404F"/>
    <w:rsid w:val="621418F0"/>
    <w:rsid w:val="621A73FB"/>
    <w:rsid w:val="6372517F"/>
    <w:rsid w:val="639B6212"/>
    <w:rsid w:val="63B616A1"/>
    <w:rsid w:val="64656A2B"/>
    <w:rsid w:val="65096D76"/>
    <w:rsid w:val="655B1BDC"/>
    <w:rsid w:val="65A84C00"/>
    <w:rsid w:val="65C634AC"/>
    <w:rsid w:val="65FD206B"/>
    <w:rsid w:val="672002AE"/>
    <w:rsid w:val="674E2805"/>
    <w:rsid w:val="678C1E42"/>
    <w:rsid w:val="67AF2133"/>
    <w:rsid w:val="67B92F61"/>
    <w:rsid w:val="69585C6E"/>
    <w:rsid w:val="69B82B6A"/>
    <w:rsid w:val="6A477E92"/>
    <w:rsid w:val="6A691F91"/>
    <w:rsid w:val="6AAF6C52"/>
    <w:rsid w:val="6B2B4ED3"/>
    <w:rsid w:val="6B633325"/>
    <w:rsid w:val="6B7B5A09"/>
    <w:rsid w:val="6C904861"/>
    <w:rsid w:val="6C95479C"/>
    <w:rsid w:val="6D291FC5"/>
    <w:rsid w:val="6E0252EB"/>
    <w:rsid w:val="6E1E2CAF"/>
    <w:rsid w:val="6E38332C"/>
    <w:rsid w:val="6E8478BE"/>
    <w:rsid w:val="6E941B32"/>
    <w:rsid w:val="6F365B35"/>
    <w:rsid w:val="6FCC05BF"/>
    <w:rsid w:val="6FCC795E"/>
    <w:rsid w:val="6FD84D27"/>
    <w:rsid w:val="709D5112"/>
    <w:rsid w:val="70EB2F0E"/>
    <w:rsid w:val="711014F5"/>
    <w:rsid w:val="714A1E31"/>
    <w:rsid w:val="71B5124F"/>
    <w:rsid w:val="71FC3878"/>
    <w:rsid w:val="72014911"/>
    <w:rsid w:val="72921D50"/>
    <w:rsid w:val="72982558"/>
    <w:rsid w:val="72C2512D"/>
    <w:rsid w:val="72CE3606"/>
    <w:rsid w:val="73BE1CB4"/>
    <w:rsid w:val="746C52BA"/>
    <w:rsid w:val="75050C71"/>
    <w:rsid w:val="751C55A7"/>
    <w:rsid w:val="75F677E5"/>
    <w:rsid w:val="761C3752"/>
    <w:rsid w:val="761E4C8C"/>
    <w:rsid w:val="76614CFF"/>
    <w:rsid w:val="76C27D0D"/>
    <w:rsid w:val="77831FC1"/>
    <w:rsid w:val="778726D0"/>
    <w:rsid w:val="77E14132"/>
    <w:rsid w:val="795D5ACB"/>
    <w:rsid w:val="79CD46A2"/>
    <w:rsid w:val="7A1A0173"/>
    <w:rsid w:val="7A1D0296"/>
    <w:rsid w:val="7A223D2E"/>
    <w:rsid w:val="7B2A7C2F"/>
    <w:rsid w:val="7B81775A"/>
    <w:rsid w:val="7BDB5FFA"/>
    <w:rsid w:val="7BF66C8B"/>
    <w:rsid w:val="7C484810"/>
    <w:rsid w:val="7C8C7E8B"/>
    <w:rsid w:val="7D284642"/>
    <w:rsid w:val="7D7A7757"/>
    <w:rsid w:val="7D956A54"/>
    <w:rsid w:val="7E0E529B"/>
    <w:rsid w:val="7E83110C"/>
    <w:rsid w:val="7EAA134C"/>
    <w:rsid w:val="7ECC6C2A"/>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iPriority="0" w:semiHidden="0"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pPr>
    <w:rPr>
      <w:rFonts w:ascii="Times New Roman" w:hAnsi="Times New Roman" w:eastAsia="宋体" w:cs="Times New Roman"/>
      <w:snapToGrid w:val="0"/>
      <w:kern w:val="0"/>
      <w:sz w:val="24"/>
      <w:szCs w:val="24"/>
      <w:lang w:val="en-US" w:eastAsia="zh-CN" w:bidi="ar-SA"/>
      <w14:ligatures w14:val="none"/>
    </w:rPr>
  </w:style>
  <w:style w:type="paragraph" w:styleId="2">
    <w:name w:val="heading 1"/>
    <w:basedOn w:val="1"/>
    <w:next w:val="1"/>
    <w:link w:val="48"/>
    <w:qFormat/>
    <w:uiPriority w:val="99"/>
    <w:pPr>
      <w:keepNext/>
      <w:overflowPunct w:val="0"/>
      <w:ind w:firstLine="720" w:firstLineChars="200"/>
      <w:outlineLvl w:val="0"/>
    </w:pPr>
    <w:rPr>
      <w:b/>
      <w:bCs/>
      <w:color w:val="000000"/>
      <w:kern w:val="44"/>
      <w:szCs w:val="30"/>
    </w:rPr>
  </w:style>
  <w:style w:type="paragraph" w:styleId="3">
    <w:name w:val="heading 2"/>
    <w:basedOn w:val="1"/>
    <w:next w:val="1"/>
    <w:link w:val="49"/>
    <w:qFormat/>
    <w:uiPriority w:val="0"/>
    <w:pPr>
      <w:keepNext/>
      <w:keepLines/>
      <w:ind w:firstLine="720" w:firstLineChars="200"/>
      <w:outlineLvl w:val="1"/>
    </w:pPr>
    <w:rPr>
      <w:b/>
      <w:bCs/>
      <w:szCs w:val="32"/>
    </w:rPr>
  </w:style>
  <w:style w:type="paragraph" w:styleId="4">
    <w:name w:val="heading 3"/>
    <w:basedOn w:val="1"/>
    <w:next w:val="1"/>
    <w:link w:val="45"/>
    <w:qFormat/>
    <w:uiPriority w:val="0"/>
    <w:pPr>
      <w:keepNext/>
      <w:keepLines/>
      <w:spacing w:before="260" w:after="260" w:line="416" w:lineRule="auto"/>
      <w:outlineLvl w:val="2"/>
    </w:pPr>
    <w:rPr>
      <w:b/>
      <w:bCs/>
      <w:sz w:val="32"/>
      <w:szCs w:val="32"/>
    </w:rPr>
  </w:style>
  <w:style w:type="paragraph" w:styleId="5">
    <w:name w:val="heading 4"/>
    <w:basedOn w:val="1"/>
    <w:next w:val="6"/>
    <w:link w:val="50"/>
    <w:qFormat/>
    <w:uiPriority w:val="0"/>
    <w:pPr>
      <w:keepNext/>
      <w:keepLines/>
      <w:spacing w:before="280" w:after="290" w:line="376" w:lineRule="auto"/>
      <w:outlineLvl w:val="3"/>
    </w:pPr>
    <w:rPr>
      <w:rFonts w:ascii="Cambria" w:hAnsi="Cambria" w:cs="黑体"/>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semiHidden/>
    <w:unhideWhenUsed/>
    <w:qFormat/>
    <w:uiPriority w:val="99"/>
    <w:pPr>
      <w:jc w:val="left"/>
    </w:pPr>
  </w:style>
  <w:style w:type="paragraph" w:styleId="8">
    <w:name w:val="Body Text"/>
    <w:basedOn w:val="1"/>
    <w:next w:val="9"/>
    <w:link w:val="51"/>
    <w:unhideWhenUsed/>
    <w:qFormat/>
    <w:uiPriority w:val="0"/>
    <w:pPr>
      <w:spacing w:after="120"/>
    </w:pPr>
  </w:style>
  <w:style w:type="paragraph" w:styleId="9">
    <w:name w:val="Body Text First Indent"/>
    <w:basedOn w:val="8"/>
    <w:link w:val="52"/>
    <w:qFormat/>
    <w:uiPriority w:val="0"/>
    <w:pPr>
      <w:widowControl/>
      <w:spacing w:before="60" w:line="240" w:lineRule="auto"/>
      <w:ind w:right="113" w:firstLine="420"/>
    </w:pPr>
    <w:rPr>
      <w:sz w:val="21"/>
      <w:szCs w:val="20"/>
    </w:rPr>
  </w:style>
  <w:style w:type="paragraph" w:styleId="10">
    <w:name w:val="Body Text Indent"/>
    <w:basedOn w:val="1"/>
    <w:qFormat/>
    <w:uiPriority w:val="0"/>
    <w:pPr>
      <w:ind w:firstLine="540" w:firstLineChars="225"/>
    </w:pPr>
    <w:rPr>
      <w:rFonts w:ascii="Times New Roman"/>
      <w:szCs w:val="24"/>
    </w:rPr>
  </w:style>
  <w:style w:type="paragraph" w:styleId="11">
    <w:name w:val="List 2"/>
    <w:basedOn w:val="1"/>
    <w:unhideWhenUsed/>
    <w:qFormat/>
    <w:uiPriority w:val="0"/>
    <w:pPr>
      <w:spacing w:line="360" w:lineRule="auto"/>
      <w:ind w:left="100" w:leftChars="200" w:hanging="200" w:hangingChars="200"/>
      <w:contextualSpacing/>
    </w:pPr>
    <w:rPr>
      <w:rFonts w:ascii="Times New Roman" w:hAnsi="Times New Roman" w:eastAsia="仿宋" w:cs="Times New Roman"/>
      <w:sz w:val="28"/>
      <w:szCs w:val="30"/>
    </w:rPr>
  </w:style>
  <w:style w:type="paragraph" w:styleId="12">
    <w:name w:val="List Bullet 2"/>
    <w:basedOn w:val="1"/>
    <w:next w:val="13"/>
    <w:semiHidden/>
    <w:unhideWhenUsed/>
    <w:qFormat/>
    <w:uiPriority w:val="99"/>
    <w:pPr>
      <w:numPr>
        <w:ilvl w:val="0"/>
        <w:numId w:val="1"/>
      </w:numPr>
    </w:pPr>
  </w:style>
  <w:style w:type="paragraph" w:customStyle="1" w:styleId="13">
    <w:name w:val="xl70"/>
    <w:basedOn w:val="1"/>
    <w:next w:val="14"/>
    <w:qFormat/>
    <w:uiPriority w:val="0"/>
    <w:pPr>
      <w:widowControl/>
      <w:tabs>
        <w:tab w:val="left" w:pos="480"/>
      </w:tabs>
      <w:spacing w:before="280" w:after="280"/>
    </w:pPr>
    <w:rPr>
      <w:rFonts w:ascii="宋体"/>
    </w:rPr>
  </w:style>
  <w:style w:type="paragraph" w:customStyle="1" w:styleId="14">
    <w:name w:val="正文缩进1"/>
    <w:basedOn w:val="6"/>
    <w:next w:val="15"/>
    <w:qFormat/>
    <w:uiPriority w:val="0"/>
    <w:pPr>
      <w:tabs>
        <w:tab w:val="left" w:pos="480"/>
      </w:tabs>
      <w:ind w:firstLine="420"/>
    </w:pPr>
    <w:rPr>
      <w:szCs w:val="20"/>
    </w:rPr>
  </w:style>
  <w:style w:type="paragraph" w:customStyle="1" w:styleId="15">
    <w:name w:val="td1"/>
    <w:basedOn w:val="1"/>
    <w:next w:val="1"/>
    <w:qFormat/>
    <w:uiPriority w:val="0"/>
    <w:pPr>
      <w:widowControl/>
      <w:tabs>
        <w:tab w:val="left" w:pos="480"/>
      </w:tabs>
      <w:spacing w:before="280" w:after="280" w:line="300" w:lineRule="atLeast"/>
      <w:ind w:firstLine="200"/>
    </w:pPr>
    <w:rPr>
      <w:color w:val="000000"/>
      <w:sz w:val="18"/>
    </w:rPr>
  </w:style>
  <w:style w:type="paragraph" w:styleId="16">
    <w:name w:val="Plain Text"/>
    <w:basedOn w:val="1"/>
    <w:next w:val="1"/>
    <w:qFormat/>
    <w:uiPriority w:val="0"/>
    <w:pPr>
      <w:jc w:val="center"/>
    </w:pPr>
    <w:rPr>
      <w:rFonts w:ascii="宋体" w:hAnsi="Courier New"/>
      <w:sz w:val="24"/>
    </w:rPr>
  </w:style>
  <w:style w:type="paragraph" w:styleId="17">
    <w:name w:val="List Bullet 5"/>
    <w:basedOn w:val="1"/>
    <w:qFormat/>
    <w:uiPriority w:val="0"/>
    <w:pPr>
      <w:numPr>
        <w:ilvl w:val="0"/>
        <w:numId w:val="2"/>
      </w:numPr>
    </w:pPr>
  </w:style>
  <w:style w:type="paragraph" w:styleId="18">
    <w:name w:val="footer"/>
    <w:basedOn w:val="1"/>
    <w:link w:val="47"/>
    <w:unhideWhenUsed/>
    <w:qFormat/>
    <w:uiPriority w:val="99"/>
    <w:pPr>
      <w:tabs>
        <w:tab w:val="center" w:pos="4153"/>
        <w:tab w:val="right" w:pos="8306"/>
      </w:tabs>
    </w:pPr>
    <w:rPr>
      <w:sz w:val="18"/>
      <w:szCs w:val="18"/>
    </w:rPr>
  </w:style>
  <w:style w:type="paragraph" w:styleId="19">
    <w:name w:val="header"/>
    <w:basedOn w:val="1"/>
    <w:link w:val="46"/>
    <w:unhideWhenUsed/>
    <w:qFormat/>
    <w:uiPriority w:val="0"/>
    <w:pPr>
      <w:tabs>
        <w:tab w:val="center" w:pos="4153"/>
        <w:tab w:val="right" w:pos="8306"/>
      </w:tabs>
      <w:jc w:val="center"/>
    </w:pPr>
    <w:rPr>
      <w:sz w:val="18"/>
      <w:szCs w:val="18"/>
    </w:rPr>
  </w:style>
  <w:style w:type="paragraph" w:styleId="20">
    <w:name w:val="toc 1"/>
    <w:basedOn w:val="1"/>
    <w:next w:val="1"/>
    <w:qFormat/>
    <w:uiPriority w:val="39"/>
    <w:pPr>
      <w:tabs>
        <w:tab w:val="right" w:leader="dot" w:pos="8312"/>
      </w:tabs>
    </w:pPr>
    <w:rPr>
      <w:rFonts w:ascii="Times New Roman" w:hAnsi="Times New Roman" w:eastAsia="宋体" w:cs="Times New Roman"/>
      <w:b/>
      <w:sz w:val="28"/>
    </w:rPr>
  </w:style>
  <w:style w:type="paragraph" w:styleId="21">
    <w:name w:val="List"/>
    <w:basedOn w:val="1"/>
    <w:next w:val="1"/>
    <w:qFormat/>
    <w:uiPriority w:val="0"/>
    <w:pPr>
      <w:ind w:left="200" w:hanging="200" w:hangingChars="200"/>
    </w:pPr>
    <w:rPr>
      <w:rFonts w:ascii="Times New Roman" w:hAnsi="Times New Roman" w:eastAsia="宋体" w:cs="Times New Roman"/>
      <w:szCs w:val="24"/>
    </w:rPr>
  </w:style>
  <w:style w:type="paragraph" w:styleId="2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3">
    <w:name w:val="Normal (Web)"/>
    <w:basedOn w:val="1"/>
    <w:qFormat/>
    <w:uiPriority w:val="0"/>
    <w:pPr>
      <w:widowControl/>
      <w:spacing w:before="100" w:beforeAutospacing="1" w:after="100" w:afterAutospacing="1"/>
      <w:jc w:val="left"/>
    </w:pPr>
    <w:rPr>
      <w:rFonts w:ascii="宋体" w:hAnsi="宋体"/>
      <w:kern w:val="0"/>
      <w:sz w:val="24"/>
    </w:rPr>
  </w:style>
  <w:style w:type="paragraph" w:styleId="24">
    <w:name w:val="Title"/>
    <w:basedOn w:val="1"/>
    <w:next w:val="1"/>
    <w:link w:val="41"/>
    <w:qFormat/>
    <w:uiPriority w:val="10"/>
    <w:pPr>
      <w:spacing w:before="240" w:after="120"/>
      <w:ind w:firstLine="200" w:firstLineChars="200"/>
      <w:jc w:val="center"/>
      <w:textAlignment w:val="center"/>
      <w:outlineLvl w:val="2"/>
    </w:pPr>
    <w:rPr>
      <w:b/>
      <w:bCs/>
      <w:szCs w:val="32"/>
    </w:rPr>
  </w:style>
  <w:style w:type="paragraph" w:styleId="25">
    <w:name w:val="Body Text First Indent 2"/>
    <w:basedOn w:val="10"/>
    <w:qFormat/>
    <w:uiPriority w:val="0"/>
    <w:pPr>
      <w:ind w:firstLine="420" w:firstLineChars="200"/>
    </w:pPr>
    <w:rPr>
      <w:rFonts w:eastAsia="仿宋_GB2312"/>
      <w:snapToGrid w:val="0"/>
      <w:color w:val="000000"/>
      <w:sz w:val="28"/>
      <w:szCs w:val="32"/>
    </w:rPr>
  </w:style>
  <w:style w:type="table" w:styleId="27">
    <w:name w:val="Table Grid"/>
    <w:basedOn w:val="26"/>
    <w:qFormat/>
    <w:uiPriority w:val="0"/>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rPr>
  </w:style>
  <w:style w:type="character" w:styleId="30">
    <w:name w:val="Hyperlink"/>
    <w:basedOn w:val="28"/>
    <w:semiHidden/>
    <w:unhideWhenUsed/>
    <w:qFormat/>
    <w:uiPriority w:val="99"/>
    <w:rPr>
      <w:color w:val="0000FF"/>
      <w:u w:val="single"/>
    </w:rPr>
  </w:style>
  <w:style w:type="paragraph" w:customStyle="1" w:styleId="31">
    <w:name w:val="Default"/>
    <w:basedOn w:val="32"/>
    <w:next w:val="1"/>
    <w:qFormat/>
    <w:uiPriority w:val="0"/>
    <w:pPr>
      <w:autoSpaceDE w:val="0"/>
      <w:autoSpaceDN w:val="0"/>
    </w:pPr>
    <w:rPr>
      <w:rFonts w:hAnsi="Calibri" w:cs="宋体"/>
      <w:color w:val="000000"/>
      <w:sz w:val="24"/>
      <w:szCs w:val="24"/>
    </w:rPr>
  </w:style>
  <w:style w:type="paragraph" w:customStyle="1" w:styleId="32">
    <w:name w:val="1 表头"/>
    <w:basedOn w:val="1"/>
    <w:qFormat/>
    <w:uiPriority w:val="0"/>
    <w:pPr>
      <w:spacing w:line="240" w:lineRule="auto"/>
      <w:ind w:firstLine="0" w:firstLineChars="0"/>
      <w:jc w:val="center"/>
    </w:pPr>
    <w:rPr>
      <w:b/>
      <w:color w:val="000000"/>
      <w:sz w:val="21"/>
      <w:szCs w:val="21"/>
    </w:rPr>
  </w:style>
  <w:style w:type="paragraph" w:customStyle="1" w:styleId="33">
    <w:name w:val="li_正文"/>
    <w:basedOn w:val="1"/>
    <w:qFormat/>
    <w:uiPriority w:val="0"/>
    <w:pPr>
      <w:ind w:firstLine="200" w:firstLineChars="200"/>
      <w:jc w:val="left"/>
    </w:pPr>
    <w:rPr>
      <w:rFonts w:ascii="Calibri" w:hAnsi="Calibri"/>
      <w:sz w:val="28"/>
      <w:szCs w:val="28"/>
    </w:rPr>
  </w:style>
  <w:style w:type="paragraph" w:customStyle="1" w:styleId="34">
    <w:name w:val="表格内"/>
    <w:qFormat/>
    <w:uiPriority w:val="0"/>
    <w:pPr>
      <w:widowControl w:val="0"/>
      <w:adjustRightInd w:val="0"/>
      <w:snapToGrid w:val="0"/>
      <w:spacing w:line="360" w:lineRule="exact"/>
      <w:ind w:firstLine="420" w:firstLineChars="200"/>
      <w:jc w:val="center"/>
    </w:pPr>
    <w:rPr>
      <w:rFonts w:ascii="Times New Roman" w:hAnsi="Times New Roman" w:eastAsia="宋体" w:cs="Times New Roman"/>
      <w:snapToGrid w:val="0"/>
      <w:sz w:val="24"/>
      <w:szCs w:val="21"/>
      <w:lang w:val="en-US" w:eastAsia="zh-CN" w:bidi="ar-SA"/>
    </w:rPr>
  </w:style>
  <w:style w:type="paragraph" w:customStyle="1" w:styleId="35">
    <w:name w:val="表格"/>
    <w:basedOn w:val="6"/>
    <w:next w:val="1"/>
    <w:link w:val="36"/>
    <w:qFormat/>
    <w:uiPriority w:val="0"/>
    <w:pPr>
      <w:spacing w:beforeLines="10" w:afterLines="10" w:line="259" w:lineRule="auto"/>
      <w:jc w:val="center"/>
    </w:pPr>
    <w:rPr>
      <w:rFonts w:ascii="宋体" w:hAnsiTheme="minorHAnsi" w:eastAsiaTheme="minorEastAsia" w:cstheme="minorBidi"/>
      <w:snapToGrid/>
      <w:kern w:val="2"/>
      <w:sz w:val="21"/>
      <w:szCs w:val="22"/>
      <w14:ligatures w14:val="standardContextual"/>
    </w:rPr>
  </w:style>
  <w:style w:type="character" w:customStyle="1" w:styleId="36">
    <w:name w:val="表格 Char"/>
    <w:link w:val="35"/>
    <w:qFormat/>
    <w:locked/>
    <w:uiPriority w:val="0"/>
    <w:rPr>
      <w:rFonts w:ascii="宋体"/>
    </w:rPr>
  </w:style>
  <w:style w:type="paragraph" w:customStyle="1" w:styleId="37">
    <w:name w:val="无间隔1"/>
    <w:qFormat/>
    <w:uiPriority w:val="99"/>
    <w:pPr>
      <w:widowControl w:val="0"/>
    </w:pPr>
    <w:rPr>
      <w:rFonts w:ascii="Times New Roman" w:hAnsi="Times New Roman" w:eastAsia="仿宋_GB2312" w:cs="Times New Roman"/>
      <w:kern w:val="2"/>
      <w:sz w:val="28"/>
      <w:szCs w:val="21"/>
      <w:lang w:val="en-US" w:eastAsia="zh-CN" w:bidi="ar-SA"/>
    </w:rPr>
  </w:style>
  <w:style w:type="paragraph" w:customStyle="1" w:styleId="38">
    <w:name w:val="样式 标题 2 + 三号1"/>
    <w:basedOn w:val="3"/>
    <w:next w:val="1"/>
    <w:qFormat/>
    <w:uiPriority w:val="99"/>
    <w:pPr>
      <w:keepLines w:val="0"/>
      <w:numPr>
        <w:ilvl w:val="1"/>
        <w:numId w:val="3"/>
      </w:numPr>
      <w:tabs>
        <w:tab w:val="left" w:pos="718"/>
        <w:tab w:val="clear" w:pos="576"/>
      </w:tabs>
      <w:spacing w:line="480" w:lineRule="auto"/>
      <w:ind w:left="718"/>
      <w:jc w:val="left"/>
    </w:pPr>
    <w:rPr>
      <w:rFonts w:ascii="宋体" w:hAnsi="宋体"/>
      <w:kern w:val="0"/>
      <w:sz w:val="32"/>
    </w:rPr>
  </w:style>
  <w:style w:type="paragraph" w:customStyle="1" w:styleId="39">
    <w:name w:val="A-表格文字"/>
    <w:basedOn w:val="1"/>
    <w:next w:val="1"/>
    <w:qFormat/>
    <w:uiPriority w:val="0"/>
    <w:pPr>
      <w:autoSpaceDE w:val="0"/>
      <w:autoSpaceDN w:val="0"/>
      <w:adjustRightInd w:val="0"/>
      <w:jc w:val="center"/>
      <w:textAlignment w:val="center"/>
    </w:pPr>
    <w:rPr>
      <w:rFonts w:ascii="Times New Roman" w:hAnsi="Times New Roman"/>
      <w:kern w:val="0"/>
      <w:szCs w:val="21"/>
    </w:rPr>
  </w:style>
  <w:style w:type="paragraph" w:customStyle="1" w:styleId="40">
    <w:name w:val="表题"/>
    <w:basedOn w:val="1"/>
    <w:next w:val="1"/>
    <w:qFormat/>
    <w:uiPriority w:val="0"/>
    <w:pPr>
      <w:spacing w:before="50" w:beforeLines="50"/>
      <w:jc w:val="center"/>
      <w:textAlignment w:val="center"/>
    </w:pPr>
    <w:rPr>
      <w:b/>
      <w:szCs w:val="22"/>
    </w:rPr>
  </w:style>
  <w:style w:type="character" w:customStyle="1" w:styleId="41">
    <w:name w:val="标题 字符"/>
    <w:basedOn w:val="28"/>
    <w:link w:val="24"/>
    <w:qFormat/>
    <w:uiPriority w:val="10"/>
    <w:rPr>
      <w:rFonts w:ascii="Times New Roman" w:hAnsi="Times New Roman" w:eastAsia="宋体" w:cs="Times New Roman"/>
      <w:b/>
      <w:bCs/>
      <w:snapToGrid w:val="0"/>
      <w:kern w:val="0"/>
      <w:sz w:val="24"/>
      <w:szCs w:val="32"/>
      <w14:ligatures w14:val="none"/>
    </w:rPr>
  </w:style>
  <w:style w:type="paragraph" w:customStyle="1" w:styleId="42">
    <w:name w:val="正文格式"/>
    <w:basedOn w:val="9"/>
    <w:next w:val="43"/>
    <w:qFormat/>
    <w:uiPriority w:val="0"/>
    <w:pPr>
      <w:spacing w:line="360" w:lineRule="auto"/>
      <w:ind w:firstLine="560"/>
    </w:pPr>
    <w:rPr>
      <w:color w:val="000000"/>
      <w:lang w:val="zh-CN"/>
    </w:rPr>
  </w:style>
  <w:style w:type="paragraph" w:customStyle="1" w:styleId="43">
    <w:name w:val="_Style 5"/>
    <w:basedOn w:val="1"/>
    <w:qFormat/>
    <w:uiPriority w:val="0"/>
    <w:pPr>
      <w:ind w:firstLine="420"/>
    </w:pPr>
    <w:rPr>
      <w:rFonts w:ascii="Calibri" w:hAnsi="Calibri"/>
      <w:szCs w:val="22"/>
    </w:rPr>
  </w:style>
  <w:style w:type="paragraph" w:customStyle="1" w:styleId="44">
    <w:name w:val="正文1"/>
    <w:basedOn w:val="1"/>
    <w:next w:val="1"/>
    <w:qFormat/>
    <w:uiPriority w:val="0"/>
    <w:pPr>
      <w:adjustRightInd w:val="0"/>
      <w:snapToGrid w:val="0"/>
      <w:spacing w:line="500" w:lineRule="atLeast"/>
      <w:ind w:firstLine="567"/>
    </w:pPr>
    <w:rPr>
      <w:sz w:val="28"/>
    </w:rPr>
  </w:style>
  <w:style w:type="character" w:customStyle="1" w:styleId="45">
    <w:name w:val="标题 3 字符"/>
    <w:basedOn w:val="28"/>
    <w:link w:val="4"/>
    <w:qFormat/>
    <w:uiPriority w:val="0"/>
    <w:rPr>
      <w:rFonts w:ascii="Times New Roman" w:hAnsi="Times New Roman" w:eastAsia="宋体" w:cs="Times New Roman"/>
      <w:b/>
      <w:bCs/>
      <w:snapToGrid w:val="0"/>
      <w:kern w:val="0"/>
      <w:sz w:val="32"/>
      <w:szCs w:val="32"/>
      <w14:ligatures w14:val="none"/>
    </w:rPr>
  </w:style>
  <w:style w:type="character" w:customStyle="1" w:styleId="46">
    <w:name w:val="页眉 字符"/>
    <w:basedOn w:val="28"/>
    <w:link w:val="19"/>
    <w:qFormat/>
    <w:uiPriority w:val="0"/>
    <w:rPr>
      <w:sz w:val="18"/>
      <w:szCs w:val="18"/>
    </w:rPr>
  </w:style>
  <w:style w:type="character" w:customStyle="1" w:styleId="47">
    <w:name w:val="页脚 字符"/>
    <w:basedOn w:val="28"/>
    <w:link w:val="18"/>
    <w:qFormat/>
    <w:uiPriority w:val="99"/>
    <w:rPr>
      <w:sz w:val="18"/>
      <w:szCs w:val="18"/>
    </w:rPr>
  </w:style>
  <w:style w:type="character" w:customStyle="1" w:styleId="48">
    <w:name w:val="标题 1 字符"/>
    <w:basedOn w:val="28"/>
    <w:link w:val="2"/>
    <w:qFormat/>
    <w:uiPriority w:val="99"/>
    <w:rPr>
      <w:rFonts w:ascii="Times New Roman" w:hAnsi="Times New Roman" w:eastAsia="宋体" w:cs="Times New Roman"/>
      <w:b/>
      <w:bCs/>
      <w:snapToGrid w:val="0"/>
      <w:color w:val="000000"/>
      <w:kern w:val="44"/>
      <w:sz w:val="24"/>
      <w:szCs w:val="30"/>
      <w14:ligatures w14:val="none"/>
    </w:rPr>
  </w:style>
  <w:style w:type="character" w:customStyle="1" w:styleId="49">
    <w:name w:val="标题 2 字符"/>
    <w:basedOn w:val="28"/>
    <w:link w:val="3"/>
    <w:qFormat/>
    <w:uiPriority w:val="0"/>
    <w:rPr>
      <w:rFonts w:ascii="Times New Roman" w:hAnsi="Times New Roman" w:eastAsia="宋体" w:cs="Times New Roman"/>
      <w:b/>
      <w:bCs/>
      <w:snapToGrid w:val="0"/>
      <w:kern w:val="0"/>
      <w:sz w:val="24"/>
      <w:szCs w:val="32"/>
      <w14:ligatures w14:val="none"/>
    </w:rPr>
  </w:style>
  <w:style w:type="character" w:customStyle="1" w:styleId="50">
    <w:name w:val="标题 4 字符"/>
    <w:basedOn w:val="28"/>
    <w:link w:val="5"/>
    <w:qFormat/>
    <w:uiPriority w:val="0"/>
    <w:rPr>
      <w:rFonts w:ascii="Cambria" w:hAnsi="Cambria" w:eastAsia="宋体" w:cs="黑体"/>
      <w:b/>
      <w:bCs/>
      <w:snapToGrid w:val="0"/>
      <w:kern w:val="0"/>
      <w:sz w:val="28"/>
      <w:szCs w:val="28"/>
      <w14:ligatures w14:val="none"/>
    </w:rPr>
  </w:style>
  <w:style w:type="character" w:customStyle="1" w:styleId="51">
    <w:name w:val="正文文本 字符"/>
    <w:basedOn w:val="28"/>
    <w:link w:val="8"/>
    <w:qFormat/>
    <w:uiPriority w:val="0"/>
    <w:rPr>
      <w:rFonts w:ascii="Times New Roman" w:hAnsi="Times New Roman" w:eastAsia="宋体" w:cs="Times New Roman"/>
      <w:snapToGrid w:val="0"/>
      <w:kern w:val="0"/>
      <w:sz w:val="24"/>
      <w:szCs w:val="24"/>
      <w14:ligatures w14:val="none"/>
    </w:rPr>
  </w:style>
  <w:style w:type="character" w:customStyle="1" w:styleId="52">
    <w:name w:val="正文文本首行缩进 字符"/>
    <w:basedOn w:val="51"/>
    <w:link w:val="9"/>
    <w:qFormat/>
    <w:uiPriority w:val="0"/>
    <w:rPr>
      <w:rFonts w:ascii="Times New Roman" w:hAnsi="Times New Roman" w:eastAsia="宋体" w:cs="Times New Roman"/>
      <w:snapToGrid w:val="0"/>
      <w:kern w:val="0"/>
      <w:sz w:val="24"/>
      <w:szCs w:val="20"/>
      <w14:ligatures w14:val="none"/>
    </w:rPr>
  </w:style>
  <w:style w:type="paragraph" w:styleId="53">
    <w:name w:val="List Paragraph"/>
    <w:basedOn w:val="1"/>
    <w:qFormat/>
    <w:uiPriority w:val="34"/>
    <w:pPr>
      <w:ind w:firstLine="420" w:firstLineChars="200"/>
    </w:pPr>
  </w:style>
  <w:style w:type="paragraph" w:customStyle="1" w:styleId="54">
    <w:name w:val="Huskyero"/>
    <w:qFormat/>
    <w:uiPriority w:val="0"/>
    <w:pPr>
      <w:spacing w:line="360" w:lineRule="auto"/>
      <w:ind w:firstLine="200" w:firstLineChars="200"/>
    </w:pPr>
    <w:rPr>
      <w:rFonts w:ascii="Calibri" w:hAnsi="Calibri" w:eastAsia="宋体" w:cs="Times New Roman"/>
      <w:iCs/>
      <w:kern w:val="2"/>
      <w:sz w:val="24"/>
      <w:szCs w:val="24"/>
      <w:lang w:val="en-US" w:eastAsia="zh-CN" w:bidi="ar-SA"/>
    </w:rPr>
  </w:style>
  <w:style w:type="paragraph" w:customStyle="1" w:styleId="55">
    <w:name w:val="纯文本1"/>
    <w:basedOn w:val="1"/>
    <w:next w:val="16"/>
    <w:qFormat/>
    <w:uiPriority w:val="0"/>
    <w:pPr>
      <w:adjustRightInd w:val="0"/>
    </w:pPr>
    <w:rPr>
      <w:rFonts w:ascii="宋体" w:hAnsi="Courier New"/>
      <w:szCs w:val="20"/>
    </w:rPr>
  </w:style>
  <w:style w:type="paragraph" w:customStyle="1" w:styleId="56">
    <w:name w:val="表中文字"/>
    <w:basedOn w:val="1"/>
    <w:qFormat/>
    <w:uiPriority w:val="0"/>
    <w:pPr>
      <w:autoSpaceDE w:val="0"/>
      <w:autoSpaceDN w:val="0"/>
      <w:spacing w:line="240" w:lineRule="auto"/>
      <w:ind w:firstLine="0" w:firstLineChars="0"/>
      <w:jc w:val="center"/>
      <w:textAlignment w:val="bottom"/>
    </w:pPr>
    <w:rPr>
      <w:bCs/>
      <w:color w:val="000000"/>
      <w:sz w:val="21"/>
      <w:szCs w:val="21"/>
    </w:rPr>
  </w:style>
  <w:style w:type="paragraph" w:customStyle="1" w:styleId="57">
    <w:name w:val="0正文"/>
    <w:basedOn w:val="23"/>
    <w:qFormat/>
    <w:uiPriority w:val="0"/>
    <w:pPr>
      <w:adjustRightInd w:val="0"/>
      <w:snapToGrid w:val="0"/>
      <w:spacing w:before="0" w:beforeAutospacing="0" w:after="0" w:afterAutospacing="0" w:line="500" w:lineRule="exact"/>
      <w:ind w:firstLine="200" w:firstLineChars="200"/>
      <w:jc w:val="both"/>
    </w:pPr>
    <w:rPr>
      <w:rFonts w:ascii="Times New Roman" w:hAnsi="Times New Roman" w:eastAsia="宋体" w:cs="Times New Roman"/>
      <w:kern w:val="2"/>
    </w:rPr>
  </w:style>
  <w:style w:type="table" w:customStyle="1" w:styleId="58">
    <w:name w:val="Table Normal"/>
    <w:unhideWhenUsed/>
    <w:qFormat/>
    <w:uiPriority w:val="0"/>
    <w:tblPr>
      <w:tblCellMar>
        <w:top w:w="0" w:type="dxa"/>
        <w:left w:w="0" w:type="dxa"/>
        <w:bottom w:w="0" w:type="dxa"/>
        <w:right w:w="0" w:type="dxa"/>
      </w:tblCellMar>
    </w:tblPr>
  </w:style>
  <w:style w:type="paragraph" w:styleId="59">
    <w:name w:val="No Spacing"/>
    <w:basedOn w:val="21"/>
    <w:next w:val="1"/>
    <w:qFormat/>
    <w:uiPriority w:val="1"/>
    <w:pPr>
      <w:spacing w:line="240" w:lineRule="auto"/>
      <w:ind w:left="0" w:firstLine="0" w:firstLineChars="0"/>
      <w:jc w:val="center"/>
      <w:textAlignment w:val="center"/>
    </w:pPr>
    <w:rPr>
      <w:sz w:val="21"/>
      <w:szCs w:val="22"/>
    </w:rPr>
  </w:style>
  <w:style w:type="paragraph" w:customStyle="1" w:styleId="60">
    <w:name w:val="表格文字"/>
    <w:basedOn w:val="9"/>
    <w:next w:val="1"/>
    <w:qFormat/>
    <w:uiPriority w:val="0"/>
    <w:pPr>
      <w:widowControl w:val="0"/>
      <w:adjustRightInd w:val="0"/>
      <w:spacing w:line="240" w:lineRule="auto"/>
      <w:ind w:firstLine="0" w:firstLineChars="0"/>
      <w:jc w:val="center"/>
      <w:textAlignment w:val="baseline"/>
    </w:pPr>
    <w:rPr>
      <w:rFonts w:ascii="Times New Roman" w:hAnsi="Times New Roman" w:eastAsia="宋体" w:cs="Times New Roman"/>
      <w:szCs w:val="20"/>
    </w:rPr>
  </w:style>
  <w:style w:type="paragraph" w:customStyle="1" w:styleId="61">
    <w:name w:val="表头"/>
    <w:basedOn w:val="21"/>
    <w:next w:val="1"/>
    <w:qFormat/>
    <w:uiPriority w:val="0"/>
    <w:pPr>
      <w:autoSpaceDE w:val="0"/>
      <w:autoSpaceDN w:val="0"/>
      <w:adjustRightInd w:val="0"/>
      <w:spacing w:line="500" w:lineRule="exact"/>
      <w:jc w:val="center"/>
      <w:textAlignment w:val="baseline"/>
    </w:pPr>
    <w:rPr>
      <w:rFonts w:ascii="Times New Roman" w:hAnsi="Times New Roman" w:eastAsia="宋体"/>
      <w:b/>
      <w:kern w:val="0"/>
      <w:sz w:val="24"/>
    </w:rPr>
  </w:style>
  <w:style w:type="character" w:customStyle="1" w:styleId="62">
    <w:name w:val="font11"/>
    <w:basedOn w:val="28"/>
    <w:qFormat/>
    <w:uiPriority w:val="0"/>
    <w:rPr>
      <w:rFonts w:hint="eastAsia" w:ascii="宋体" w:hAnsi="宋体" w:eastAsia="宋体" w:cs="宋体"/>
      <w:color w:val="000000"/>
      <w:sz w:val="21"/>
      <w:szCs w:val="21"/>
      <w:u w:val="none"/>
    </w:rPr>
  </w:style>
  <w:style w:type="character" w:customStyle="1" w:styleId="63">
    <w:name w:val="font21"/>
    <w:basedOn w:val="28"/>
    <w:qFormat/>
    <w:uiPriority w:val="0"/>
    <w:rPr>
      <w:rFonts w:hint="default" w:ascii="Times New Roman" w:hAnsi="Times New Roman" w:cs="Times New Roman"/>
      <w:color w:val="000000"/>
      <w:sz w:val="21"/>
      <w:szCs w:val="21"/>
      <w:u w:val="none"/>
    </w:rPr>
  </w:style>
  <w:style w:type="paragraph" w:customStyle="1" w:styleId="64">
    <w:name w:val="g报告正文"/>
    <w:qFormat/>
    <w:uiPriority w:val="0"/>
    <w:pPr>
      <w:widowControl w:val="0"/>
      <w:wordWrap/>
      <w:topLinePunct/>
      <w:bidi w:val="0"/>
      <w:adjustRightInd w:val="0"/>
      <w:snapToGrid w:val="0"/>
      <w:spacing w:line="500" w:lineRule="exact"/>
      <w:ind w:firstLine="1040" w:firstLineChars="200"/>
      <w:jc w:val="both"/>
    </w:pPr>
    <w:rPr>
      <w:rFonts w:ascii="Times New Roman" w:hAnsi="Times New Roman" w:eastAsia="宋体" w:cs="Times New Roman"/>
      <w:kern w:val="24"/>
      <w:sz w:val="24"/>
      <w:szCs w:val="24"/>
      <w:lang w:val="en-US" w:eastAsia="zh-CN"/>
    </w:rPr>
  </w:style>
  <w:style w:type="paragraph" w:customStyle="1" w:styleId="65">
    <w:name w:val="g表头"/>
    <w:next w:val="64"/>
    <w:qFormat/>
    <w:uiPriority w:val="0"/>
    <w:pPr>
      <w:topLinePunct/>
      <w:adjustRightInd w:val="0"/>
      <w:snapToGrid w:val="0"/>
      <w:spacing w:line="400" w:lineRule="exact"/>
      <w:jc w:val="center"/>
    </w:pPr>
    <w:rPr>
      <w:rFonts w:ascii="Times New Roman" w:hAnsi="Times New Roman" w:eastAsia="宋体" w:cs="宋体"/>
      <w:b/>
      <w:bCs/>
      <w:kern w:val="21"/>
      <w:sz w:val="21"/>
      <w:szCs w:val="21"/>
    </w:rPr>
  </w:style>
  <w:style w:type="paragraph" w:customStyle="1" w:styleId="66">
    <w:name w:val="g表内居中"/>
    <w:qFormat/>
    <w:uiPriority w:val="99"/>
    <w:pPr>
      <w:widowControl w:val="0"/>
      <w:adjustRightInd w:val="0"/>
      <w:snapToGrid w:val="0"/>
      <w:spacing w:line="240" w:lineRule="auto"/>
      <w:jc w:val="center"/>
      <w:textAlignment w:val="baseline"/>
    </w:pPr>
    <w:rPr>
      <w:rFonts w:ascii="Times New Roman" w:hAnsi="Times New Roman" w:eastAsia="宋体" w:cs="Times New Roman"/>
      <w:kern w:val="21"/>
      <w:sz w:val="21"/>
      <w:szCs w:val="21"/>
    </w:rPr>
  </w:style>
  <w:style w:type="paragraph" w:customStyle="1" w:styleId="67">
    <w:name w:val="表格 32"/>
    <w:basedOn w:val="61"/>
    <w:qFormat/>
    <w:uiPriority w:val="0"/>
    <w:pPr>
      <w:jc w:val="center"/>
    </w:pPr>
    <w:rPr>
      <w:rFonts w:eastAsia="宋体"/>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wmf"/><Relationship Id="rId17" Type="http://schemas.openxmlformats.org/officeDocument/2006/relationships/oleObject" Target="embeddings/oleObject3.bin"/><Relationship Id="rId16" Type="http://schemas.openxmlformats.org/officeDocument/2006/relationships/image" Target="media/image3.emf"/><Relationship Id="rId15" Type="http://schemas.openxmlformats.org/officeDocument/2006/relationships/oleObject" Target="embeddings/oleObject2.bin"/><Relationship Id="rId14" Type="http://schemas.openxmlformats.org/officeDocument/2006/relationships/image" Target="media/image2.png"/><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34"/>
    <customShpInfo spid="_x0000_s1029"/>
  </customShpExts>
</s:customData>
</file>

<file path=customXml/item2.xml><?xml version="1.0" encoding="utf-8"?>
<contractReview xmlns="http://schemas.wps.cn/vas-ai-hub/contract-review">
  <reviewItems>
    <reviewItem>
      <errorID>023fc68e-20a3-4247-b4c8-7d7be8210915</errorID>
      <errorWord>"</errorWord>
      <group>L1_Format</group>
      <groupName>格式问题</groupName>
      <ability>L2_HalfPunc</ability>
      <abilityName>全半角检查</abilityName>
      <candidateList/>
      <explain>文本全半角错误。</explain>
      <paraID>45228C71</paraID>
      <start>14</start>
      <end>15</end>
      <status>ignored</status>
      <modifiedWord/>
      <trackRevisions>false</trackRevisions>
    </reviewItem>
    <reviewItem>
      <errorID>f5e92b9a-82d3-4783-9823-0f2c0dfb89ee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49262E5A</paraID>
      <start>28</start>
      <end>29</end>
      <status>ignored</status>
      <modifiedWord/>
      <trackRevisions>false</trackRevisions>
    </reviewItem>
    <reviewItem>
      <errorID>2b0b32cf-1d84-4c03-b140-cb2a32487755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597F8E99</paraID>
      <start>26</start>
      <end>27</end>
      <status>ignored</status>
      <modifiedWord/>
      <trackRevisions>false</trackRevisions>
    </reviewItem>
    <reviewItem>
      <errorID>20e11f84-0b72-4c8d-ab48-34ef3dcd217a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48FA7160</paraID>
      <start>88</start>
      <end>89</end>
      <status>ignored</status>
      <modifiedWord/>
      <trackRevisions>false</trackRevisions>
    </reviewItem>
    <reviewItem>
      <errorID>d1752e2a-c79e-4367-9f20-07e79eb414b8</errorID>
      <errorWord>--</errorWord>
      <group>L1_Punc</group>
      <groupName>标点问题</groupName>
      <ability>L2_Punc</ability>
      <abilityName>标点符号检查</abilityName>
      <candidateList>
        <item>——</item>
      </candidateList>
      <explain>破折号或连接号疑似使用错误。</explain>
      <paraID>495F0F56</paraID>
      <start>115</start>
      <end>117</end>
      <status>ignored</status>
      <modifiedWord/>
      <trackRevisions>false</trackRevisions>
    </reviewItem>
    <reviewItem>
      <errorID>a5d9adb4-5476-4988-a193-bac36c6012ed</errorID>
      <errorWord>垃圾处理厂</errorWord>
      <group>L1_Word</group>
      <groupName>字词问题</groupName>
      <ability>L2_Typo</ability>
      <abilityName>字词错误</abilityName>
      <candidateList>
        <item>垃圾处理场</item>
      </candidateList>
      <explain/>
      <paraID>495F0F56</paraID>
      <start>117</start>
      <end>122</end>
      <status>ignored</status>
      <modifiedWord/>
      <trackRevisions>false</trackRevisions>
    </reviewItem>
    <reviewItem>
      <errorID>20e7249e-eda4-4167-ac18-efbe5b49c6f8</errorID>
      <errorWord>-</errorWord>
      <group>L1_Format</group>
      <groupName>格式问题</groupName>
      <ability>L2_HalfPunc</ability>
      <abilityName>全半角检查</abilityName>
      <candidateList>
        <item>－</item>
      </candidateList>
      <explain>文本全半角错误。</explain>
      <paraID>14B373B6</paraID>
      <start>16</start>
      <end>17</end>
      <status>ignored</status>
      <modifiedWord/>
      <trackRevisions>false</trackRevisions>
    </reviewItem>
    <reviewItem>
      <errorID>a82d481f-d984-4ca8-9765-2a60a1803b7c</errorID>
      <errorWord>-</errorWord>
      <group>L1_Format</group>
      <groupName>格式问题</groupName>
      <ability>L2_HalfPunc</ability>
      <abilityName>全半角检查</abilityName>
      <candidateList>
        <item>－</item>
      </candidateList>
      <explain>文本全半角错误。</explain>
      <paraID>14B373B6</paraID>
      <start>23</start>
      <end>24</end>
      <status>ignored</status>
      <modifiedWord/>
      <trackRevisions>false</trackRevisions>
    </reviewItem>
    <reviewItem>
      <errorID>ac1783f2-f472-4954-a88d-0f4a2194aee0</errorID>
      <errorWord>&lt;</errorWord>
      <group>L1_Format</group>
      <groupName>格式问题</groupName>
      <ability>L2_HalfPunc</ability>
      <abilityName>全半角检查</abilityName>
      <candidateList>
        <item>〈</item>
      </candidateList>
      <explain>文本全半角错误。</explain>
      <paraID> 4D5D54A</paraID>
      <start>30</start>
      <end>31</end>
      <status>ignored</status>
      <modifiedWord/>
      <trackRevisions>false</trackRevisions>
    </reviewItem>
    <reviewItem>
      <errorID>c83f3da5-04ad-41a5-987f-dfb391b52f87</errorID>
      <errorWord>-</errorWord>
      <group>L1_Format</group>
      <groupName>格式问题</groupName>
      <ability>L2_HalfPunc</ability>
      <abilityName>全半角检查</abilityName>
      <candidateList>
        <item>－</item>
      </candidateList>
      <explain>文本全半角错误。</explain>
      <paraID>178EFF43</paraID>
      <start>164</start>
      <end>165</end>
      <status>ignored</status>
      <modifiedWord/>
      <trackRevisions>false</trackRevisions>
    </reviewItem>
    <reviewItem>
      <errorID>d3964b7f-1e0c-4f50-9b0e-95c2b6954d33</errorID>
      <errorWord>。</errorWord>
      <group>L1_Format</group>
      <groupName>格式问题</groupName>
      <ability>L2_HalfPunc</ability>
      <abilityName>全半角检查</abilityName>
      <candidateList>
        <item>.</item>
      </candidateList>
      <explain>文本全半角错误。</explain>
      <paraID>326C617E</paraID>
      <start>9</start>
      <end>10</end>
      <status>ignored</status>
      <modifiedWord/>
      <trackRevisions>false</trackRevisions>
    </reviewItem>
    <reviewItem>
      <errorID>a887b927-4029-4b5d-9d94-8a7a434a2e02</errorID>
      <errorWord>基础开挖</errorWord>
      <group>L1_Knowledge</group>
      <groupName>知识性问题</groupName>
      <ability>L2_Term</ability>
      <abilityName>专业术语</abilityName>
      <candidateList>
        <item>基坑开挖</item>
      </candidateList>
      <explain/>
      <paraID>630A6DBD</paraID>
      <start>3</start>
      <end>7</end>
      <status>ignored</status>
      <modifiedWord/>
      <trackRevisions>false</trackRevisions>
    </reviewItem>
    <reviewItem>
      <errorID>9d61a3a4-162f-4506-aedc-e3f88af6ccf8</errorID>
      <errorWord>（</errorWord>
      <group>L1_Format</group>
      <groupName>格式问题</groupName>
      <ability>L2_HalfPunc</ability>
      <abilityName>全半角检查</abilityName>
      <candidateList>
        <item>(</item>
      </candidateList>
      <explain>文本全半角错误。</explain>
      <paraID>7CDC0083</paraID>
      <start>2</start>
      <end>3</end>
      <status>ignored</status>
      <modifiedWord/>
      <trackRevisions>false</trackRevisions>
    </reviewItem>
    <reviewItem>
      <errorID>899bce2f-ce97-40ff-a8b1-404753ee98ef</errorID>
      <errorWord>）</errorWord>
      <group>L1_Format</group>
      <groupName>格式问题</groupName>
      <ability>L2_HalfPunc</ability>
      <abilityName>全半角检查</abilityName>
      <candidateList>
        <item>)</item>
      </candidateList>
      <explain>文本全半角错误。</explain>
      <paraID>7CDC0083</paraID>
      <start>8</start>
      <end>9</end>
      <status>ignored</status>
      <modifiedWord/>
      <trackRevisions>false</trackRevisions>
    </reviewItem>
    <reviewItem>
      <errorID>e8d966d4-279f-4b35-b79d-10957d8bffae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27E13F62</paraID>
      <start>16</start>
      <end>17</end>
      <status>ignored</status>
      <modifiedWord/>
      <trackRevisions>false</trackRevisions>
    </reviewItem>
    <reviewItem>
      <errorID>80f6c87e-cf4d-4503-9e63-44450df5a23f</errorID>
      <errorWord>)</errorWord>
      <group>L1_Format</group>
      <groupName>格式问题</groupName>
      <ability>L2_HalfPunc</ability>
      <abilityName>全半角检查</abilityName>
      <candidateList>
        <item>）</item>
      </candidateList>
      <explain>文本全半角错误。</explain>
      <paraID>21389F04</paraID>
      <start>49</start>
      <end>50</end>
      <status>ignored</status>
      <modifiedWord/>
      <trackRevisions>false</trackRevisions>
    </reviewItem>
    <reviewItem>
      <errorID>7f8ce295-2223-463d-bbe4-cdcc9450838d</errorID>
      <errorWord>)</errorWord>
      <group>L1_Format</group>
      <groupName>格式问题</groupName>
      <ability>L2_HalfPunc</ability>
      <abilityName>全半角检查</abilityName>
      <candidateList>
        <item>）</item>
      </candidateList>
      <explain>文本全半角错误。</explain>
      <paraID>21389F04</paraID>
      <start>60</start>
      <end>61</end>
      <status>ignored</status>
      <modifiedWord/>
      <trackRevisions>false</trackRevisions>
    </reviewItem>
    <reviewItem>
      <errorID>fd1bf97f-55fc-403f-bd84-fbd761949559</errorID>
      <errorWord>)</errorWord>
      <group>L1_Format</group>
      <groupName>格式问题</groupName>
      <ability>L2_HalfPunc</ability>
      <abilityName>全半角检查</abilityName>
      <candidateList>
        <item>）</item>
      </candidateList>
      <explain>文本全半角错误。</explain>
      <paraID>1536E4E2</paraID>
      <start>53</start>
      <end>54</end>
      <status>ignored</status>
      <modifiedWord/>
      <trackRevisions>false</trackRevisions>
    </reviewItem>
    <reviewItem>
      <errorID>fbd1e03f-7c35-4a8e-84ec-05b455e563a0</errorID>
      <errorWord>)</errorWord>
      <group>L1_Format</group>
      <groupName>格式问题</groupName>
      <ability>L2_HalfPunc</ability>
      <abilityName>全半角检查</abilityName>
      <candidateList>
        <item>）</item>
      </candidateList>
      <explain>文本全半角错误。</explain>
      <paraID>1536E4E2</paraID>
      <start>64</start>
      <end>65</end>
      <status>ignored</status>
      <modifiedWord/>
      <trackRevisions>false</trackRevisions>
    </reviewItem>
    <reviewItem>
      <errorID>024f3e92-7297-4ae6-98ff-3dadeb5c817b</errorID>
      <errorWord>(</errorWord>
      <group>L1_Format</group>
      <groupName>格式问题</groupName>
      <ability>L2_HalfPunc</ability>
      <abilityName>全半角检查</abilityName>
      <candidateList>
        <item>（</item>
      </candidateList>
      <explain>文本全半角错误。</explain>
      <paraID>65074311</paraID>
      <start>2</start>
      <end>3</end>
      <status>ignored</status>
      <modifiedWord/>
      <trackRevisions>false</trackRevisions>
    </reviewItem>
    <reviewItem>
      <errorID>b6a86a73-0b75-4521-8116-b521c1cac0ef</errorID>
      <errorWord>)</errorWord>
      <group>L1_Format</group>
      <groupName>格式问题</groupName>
      <ability>L2_HalfPunc</ability>
      <abilityName>全半角检查</abilityName>
      <candidateList>
        <item>）</item>
      </candidateList>
      <explain>文本全半角错误。</explain>
      <paraID>65074311</paraID>
      <start>4</start>
      <end>5</end>
      <status>ignored</status>
      <modifiedWord/>
      <trackRevisions>false</trackRevisions>
    </reviewItem>
    <reviewItem>
      <errorID>8794b7bc-b054-4d34-921b-925210f9aae1</errorID>
      <errorWord>期</errorWord>
      <group>L1_Knowledge</group>
      <groupName>知识性问题</groupName>
      <ability>L2_Knowledge</ability>
      <abilityName>其他知识</abilityName>
      <candidateList>
        <item>类</item>
      </candidateList>
      <explain/>
      <paraID> A9E0680</paraID>
      <start>135</start>
      <end>136</end>
      <status>ignored</status>
      <modifiedWord/>
      <trackRevisions>false</trackRevisions>
    </reviewItem>
    <reviewItem>
      <errorID>2eb377de-777f-4f87-983c-8283cfdca8c0</errorID>
      <errorWord>，</errorWord>
      <group>L1_Format</group>
      <groupName>格式问题</groupName>
      <ability>L2_HalfPunc</ability>
      <abilityName>全半角检查</abilityName>
      <candidateList>
        <item>, </item>
      </candidateList>
      <explain>文本全半角错误。</explain>
      <paraID>320FB9D4</paraID>
      <start>14</start>
      <end>15</end>
      <status>ignored</status>
      <modifiedWord/>
      <trackRevisions>false</trackRevisions>
    </reviewItem>
    <reviewItem>
      <errorID>9e60e31d-683b-4d91-8554-eaa217e4c9f7</errorID>
      <errorWord>（</errorWord>
      <group>L1_Format</group>
      <groupName>格式问题</groupName>
      <ability>L2_HalfPunc</ability>
      <abilityName>全半角检查</abilityName>
      <candidateList>
        <item>(</item>
      </candidateList>
      <explain>文本全半角错误。</explain>
      <paraID>5EEAAEC5</paraID>
      <start>0</start>
      <end>1</end>
      <status>ignored</status>
      <modifiedWord/>
      <trackRevisions>false</trackRevisions>
    </reviewItem>
    <reviewItem>
      <errorID>c247934d-172c-452a-9f47-e27c447ec5ed</errorID>
      <errorWord>）</errorWord>
      <group>L1_Format</group>
      <groupName>格式问题</groupName>
      <ability>L2_HalfPunc</ability>
      <abilityName>全半角检查</abilityName>
      <candidateList>
        <item>)</item>
      </candidateList>
      <explain>文本全半角错误。</explain>
      <paraID>5EEAAEC5</paraID>
      <start>5</start>
      <end>6</end>
      <status>ignored</status>
      <modifiedWord/>
      <trackRevisions>false</trackRevisions>
    </reviewItem>
    <reviewItem>
      <errorID>5ca07c3f-abd8-4433-a55e-3491f73669fd</errorID>
      <errorWord>（</errorWord>
      <group>L1_Format</group>
      <groupName>格式问题</groupName>
      <ability>L2_HalfPunc</ability>
      <abilityName>全半角检查</abilityName>
      <candidateList>
        <item>(</item>
      </candidateList>
      <explain>文本全半角错误。</explain>
      <paraID>30B28582</paraID>
      <start>0</start>
      <end>1</end>
      <status>ignored</status>
      <modifiedWord/>
      <trackRevisions>false</trackRevisions>
    </reviewItem>
    <reviewItem>
      <errorID>8d046bd2-60e9-4059-ac24-43ec058bf044</errorID>
      <errorWord>）</errorWord>
      <group>L1_Format</group>
      <groupName>格式问题</groupName>
      <ability>L2_HalfPunc</ability>
      <abilityName>全半角检查</abilityName>
      <candidateList>
        <item>)</item>
      </candidateList>
      <explain>文本全半角错误。</explain>
      <paraID>30B28582</paraID>
      <start>6</start>
      <end>7</end>
      <status>ignored</status>
      <modifiedWord/>
      <trackRevisions>false</trackRevisions>
    </reviewItem>
    <reviewItem>
      <errorID>6010b959-542c-4ecb-a3a6-0a0691173dd4</errorID>
      <errorWord>（</errorWord>
      <group>L1_Format</group>
      <groupName>格式问题</groupName>
      <ability>L2_HalfPunc</ability>
      <abilityName>全半角检查</abilityName>
      <candidateList>
        <item>(</item>
      </candidateList>
      <explain>文本全半角错误。</explain>
      <paraID>51E00E31</paraID>
      <start>0</start>
      <end>1</end>
      <status>ignored</status>
      <modifiedWord/>
      <trackRevisions>false</trackRevisions>
    </reviewItem>
    <reviewItem>
      <errorID>a2dca547-c639-4fab-836d-c2666efe3fd6</errorID>
      <errorWord>）</errorWord>
      <group>L1_Format</group>
      <groupName>格式问题</groupName>
      <ability>L2_HalfPunc</ability>
      <abilityName>全半角检查</abilityName>
      <candidateList>
        <item>)</item>
      </candidateList>
      <explain>文本全半角错误。</explain>
      <paraID>51E00E31</paraID>
      <start>2</start>
      <end>3</end>
      <status>ignored</status>
      <modifiedWord/>
      <trackRevisions>false</trackRevisions>
    </reviewItem>
    <reviewItem>
      <errorID>6827ec1b-9496-4dc3-857b-6acf22cc21f1</errorID>
      <errorWord>(</errorWord>
      <group>L1_Format</group>
      <groupName>格式问题</groupName>
      <ability>L2_HalfPunc</ability>
      <abilityName>全半角检查</abilityName>
      <candidateList>
        <item>（</item>
      </candidateList>
      <explain>文本全半角错误。</explain>
      <paraID>12F25E3B</paraID>
      <start>10</start>
      <end>11</end>
      <status>ignored</status>
      <modifiedWord/>
      <trackRevisions>false</trackRevisions>
    </reviewItem>
    <reviewItem>
      <errorID>056b9a64-fcd9-4b0c-b707-5d354ea75cb4</errorID>
      <errorWord>)</errorWord>
      <group>L1_Format</group>
      <groupName>格式问题</groupName>
      <ability>L2_HalfPunc</ability>
      <abilityName>全半角检查</abilityName>
      <candidateList>
        <item>）</item>
      </candidateList>
      <explain>文本全半角错误。</explain>
      <paraID>12F25E3B</paraID>
      <start>12</start>
      <end>13</end>
      <status>ignored</status>
      <modifiedWord/>
      <trackRevisions>false</trackRevisions>
    </reviewItem>
    <reviewItem>
      <errorID>d2739078-1298-431a-b004-ad5000cebcdd</errorID>
      <errorWord>处值</errorWord>
      <group>L1_Word</group>
      <groupName>字词问题</groupName>
      <ability>L2_Typo</ability>
      <abilityName>字词错误</abilityName>
      <candidateList>
        <item>处置</item>
      </candidateList>
      <explain>〈动〉❶处理：～失当｜～得宜。❷发落；惩治：依法～。</explain>
      <paraID>1F4C4CE0</paraID>
      <start>22</start>
      <end>24</end>
      <status>ignored</status>
      <modifiedWord/>
      <trackRevisions>false</trackRevisions>
    </reviewItem>
    <reviewItem>
      <errorID>f7bc5dd4-05de-437d-84ce-1e39fa79a7ad</errorID>
      <errorWord>)</errorWord>
      <group>L1_Format</group>
      <groupName>格式问题</groupName>
      <ability>L2_HalfPunc</ability>
      <abilityName>全半角检查</abilityName>
      <candidateList>
        <item>）</item>
      </candidateList>
      <explain>文本全半角错误。</explain>
      <paraID>1F4C4CE0</paraID>
      <start>29</start>
      <end>30</end>
      <status>ignored</status>
      <modifiedWord/>
      <trackRevisions>false</trackRevisions>
    </reviewItem>
    <reviewItem>
      <errorID>92cedf6f-78b0-4044-9a56-64fd0f355682</errorID>
      <errorWord>)</errorWord>
      <group>L1_Format</group>
      <groupName>格式问题</groupName>
      <ability>L2_HalfPunc</ability>
      <abilityName>全半角检查</abilityName>
      <candidateList>
        <item>）</item>
      </candidateList>
      <explain>文本全半角错误。</explain>
      <paraID>1C9D218D</paraID>
      <start>20</start>
      <end>21</end>
      <status>ignored</status>
      <modifiedWord/>
      <trackRevisions>false</trackRevisions>
    </reviewItem>
    <reviewItem>
      <errorID>1bc21733-8201-4989-93b5-9e6e04c40ea3</errorID>
      <errorWord>(</errorWord>
      <group>L1_Format</group>
      <groupName>格式问题</groupName>
      <ability>L2_HalfPunc</ability>
      <abilityName>全半角检查</abilityName>
      <candidateList>
        <item>（</item>
      </candidateList>
      <explain>文本全半角错误。</explain>
      <paraID>78C8F60A</paraID>
      <start>3</start>
      <end>4</end>
      <status>ignored</status>
      <modifiedWord/>
      <trackRevisions>false</trackRevisions>
    </reviewItem>
    <reviewItem>
      <errorID>da2c7397-5005-4347-a380-85ceefd989e6</errorID>
      <errorWord>)</errorWord>
      <group>L1_Format</group>
      <groupName>格式问题</groupName>
      <ability>L2_HalfPunc</ability>
      <abilityName>全半角检查</abilityName>
      <candidateList>
        <item>）</item>
      </candidateList>
      <explain>文本全半角错误。</explain>
      <paraID>78C8F60A</paraID>
      <start>7</start>
      <end>8</end>
      <status>ignored</status>
      <modifiedWord/>
      <trackRevisions>false</trackRevisions>
    </reviewItem>
    <reviewItem>
      <errorID>afd37f42-084c-4e9e-b5f2-6723526a77dd</errorID>
      <errorWord>(</errorWord>
      <group>L1_Format</group>
      <groupName>格式问题</groupName>
      <ability>L2_HalfPunc</ability>
      <abilityName>全半角检查</abilityName>
      <candidateList>
        <item>（</item>
      </candidateList>
      <explain>文本全半角错误。</explain>
      <paraID> DE8C264</paraID>
      <start>6</start>
      <end>7</end>
      <status>ignored</status>
      <modifiedWord/>
      <trackRevisions>false</trackRevisions>
    </reviewItem>
    <reviewItem>
      <errorID>709fae84-383f-4ffe-afe9-1ee8fa5afbd7</errorID>
      <errorWord>)</errorWord>
      <group>L1_Format</group>
      <groupName>格式问题</groupName>
      <ability>L2_HalfPunc</ability>
      <abilityName>全半角检查</abilityName>
      <candidateList>
        <item>）</item>
      </candidateList>
      <explain>文本全半角错误。</explain>
      <paraID> DE8C264</paraID>
      <start>10</start>
      <end>11</end>
      <status>ignored</status>
      <modifiedWord/>
      <trackRevisions>false</trackRevisions>
    </reviewItem>
    <reviewItem>
      <errorID>019b4643-905a-479b-8d3e-dda956f56eac</errorID>
      <errorWord>防晒措施</errorWord>
      <group>L1_Knowledge</group>
      <groupName>知识性问题</groupName>
      <ability>L2_Term</ability>
      <abilityName>专业术语</abilityName>
      <candidateList>
        <item>防雷措施</item>
      </candidateList>
      <explain/>
      <paraID>134EBC1B</paraID>
      <start>14</start>
      <end>18</end>
      <status>ignored</status>
      <modifiedWord/>
      <trackRevisions>false</trackRevisions>
    </reviewItem>
    <reviewItem>
      <errorID>ad71a471-8aaf-459e-8729-ddb95dfb96ad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EFA8A1C</paraID>
      <start>125</start>
      <end>126</end>
      <status>ignored</status>
      <modifiedWord/>
      <trackRevisions>false</trackRevisions>
    </reviewItem>
    <reviewItem>
      <errorID>7239670e-4756-49d0-be74-2132ba03cbe4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EFA8A1C</paraID>
      <start>164</start>
      <end>165</end>
      <status>ignored</status>
      <modifiedWord/>
      <trackRevisions>false</trackRevisions>
    </reviewItem>
    <reviewItem>
      <errorID>39b2cf29-8a0d-4300-a270-d5273e329cf8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36D2E152</paraID>
      <start>78</start>
      <end>79</end>
      <status>ignored</status>
      <modifiedWord/>
      <trackRevisions>false</trackRevisions>
    </reviewItem>
    <reviewItem>
      <errorID>f535b3bd-7483-446e-9259-bcf0c2d751bf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6694ED95</paraID>
      <start>20</start>
      <end>21</end>
      <status>ignored</status>
      <modifiedWord/>
      <trackRevisions>false</trackRevisions>
    </reviewItem>
    <reviewItem>
      <errorID>3bf82899-bf7a-466f-a501-f6b7210826dc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342745A3</paraID>
      <start>35</start>
      <end>36</end>
      <status>ignored</status>
      <modifiedWord/>
      <trackRevisions>false</trackRevisions>
    </reviewItem>
    <reviewItem>
      <errorID>beeda9cd-631e-415c-a2f6-689261f36948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6328EA83</paraID>
      <start>48</start>
      <end>49</end>
      <status>ignored</status>
      <modifiedWord/>
      <trackRevisions>false</trackRevisions>
    </reviewItem>
    <reviewItem>
      <errorID>1519dd1d-5224-4b44-8db7-3538ee863f76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6328EA83</paraID>
      <start>102</start>
      <end>103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c9cfc4-2ce0-4e1e-8735-6df00b024c6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31539</Words>
  <Characters>35552</Characters>
  <Lines>329</Lines>
  <Paragraphs>92</Paragraphs>
  <TotalTime>1</TotalTime>
  <ScaleCrop>false</ScaleCrop>
  <LinksUpToDate>false</LinksUpToDate>
  <CharactersWithSpaces>35769</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2023-05-13T02:57:00Z</dcterms:created>
  <dc:creator>437654827@qq.com</dc:creator>
  <cp:lastModifiedBy>Administrator</cp:lastModifiedBy>
  <cp:lastPrinted>2025-05-28T09:57:00Z</cp:lastPrinted>
  <dcterms:modified xsi:type="dcterms:W3CDTF">2026-01-09T08:14:48Z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BFAB6E3689BB44DB8F1663AC1CDC430E_13</vt:lpwstr>
  </property>
  <property fmtid="{D5CDD505-2E9C-101B-9397-08002B2CF9AE}" pid="4" name="KSOTemplateDocerSaveRecord">
    <vt:lpwstr>eyJoZGlkIjoiYWZjMjU2YmQzNWQzM2MzNTRlZDkyMjIwMjJiOTQ0ZWIiLCJ1c2VySWQiOiI2MDYzMjUzNDYifQ==</vt:lpwstr>
  </property>
</Properties>
</file>